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10-Q</w:t>
      </w:r>
    </w:p>
    <w:p>
      <w:pPr>
        <w:spacing w:after="0" w:line="215"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 xml:space="preserve">Quarterly Report Under Section 13 or 15(d) of the Securities Exchange Act of 1934 for the quarterly period ended </w:t>
      </w:r>
      <w:r>
        <w:rPr>
          <w:rFonts w:ascii="Arial" w:cs="Arial" w:eastAsia="Arial" w:hAnsi="Arial"/>
          <w:sz w:val="18"/>
          <w:szCs w:val="18"/>
          <w:b w:val="1"/>
          <w:bCs w:val="1"/>
          <w:color w:val="auto"/>
        </w:rPr>
        <w:t>September 30, 2016</w:t>
      </w:r>
    </w:p>
    <w:p>
      <w:pPr>
        <w:spacing w:after="0" w:line="229" w:lineRule="exact"/>
        <w:rPr>
          <w:sz w:val="24"/>
          <w:szCs w:val="24"/>
          <w:color w:val="auto"/>
        </w:rPr>
      </w:pPr>
    </w:p>
    <w:p>
      <w:pPr>
        <w:ind w:left="4340" w:right="1360" w:hanging="4332"/>
        <w:spacing w:after="0" w:line="528" w:lineRule="auto"/>
        <w:tabs>
          <w:tab w:leader="none" w:pos="615"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Under Section 13 or 15(d) of the Securities Exchange Act of 1934 for the transition period from _____ to _____. Commission File Number: </w:t>
      </w:r>
      <w:r>
        <w:rPr>
          <w:rFonts w:ascii="Arial" w:cs="Arial" w:eastAsia="Arial" w:hAnsi="Arial"/>
          <w:sz w:val="18"/>
          <w:szCs w:val="18"/>
          <w:b w:val="1"/>
          <w:bCs w:val="1"/>
          <w:u w:val="single" w:color="auto"/>
          <w:color w:val="auto"/>
        </w:rPr>
        <w:t>000-27239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-19685</wp:posOffset>
            </wp:positionV>
            <wp:extent cx="1466215"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7"/>
              </w:rPr>
              <w:t>NEVADA</w:t>
            </w:r>
          </w:p>
        </w:tc>
        <w:tc>
          <w:tcPr>
            <w:tcW w:w="5920" w:type="dxa"/>
            <w:vAlign w:val="bottom"/>
            <w:gridSpan w:val="2"/>
          </w:tcPr>
          <w:p>
            <w:pPr>
              <w:jc w:val="right"/>
              <w:ind w:right="2210"/>
              <w:spacing w:after="0"/>
              <w:rPr>
                <w:sz w:val="20"/>
                <w:szCs w:val="20"/>
                <w:color w:val="auto"/>
              </w:rPr>
            </w:pPr>
            <w:r>
              <w:rPr>
                <w:rFonts w:ascii="Arial" w:cs="Arial" w:eastAsia="Arial" w:hAnsi="Arial"/>
                <w:sz w:val="18"/>
                <w:szCs w:val="18"/>
                <w:b w:val="1"/>
                <w:bCs w:val="1"/>
                <w:color w:val="auto"/>
              </w:rPr>
              <w:t>45-4497941</w:t>
            </w:r>
          </w:p>
        </w:tc>
      </w:tr>
      <w:tr>
        <w:trPr>
          <w:trHeight w:val="224"/>
        </w:trPr>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60" w:type="dxa"/>
            <w:vAlign w:val="bottom"/>
          </w:tcPr>
          <w:p>
            <w:pPr>
              <w:spacing w:after="0"/>
              <w:rPr>
                <w:sz w:val="19"/>
                <w:szCs w:val="19"/>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0"/>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1"/>
              </w:rPr>
              <w:t>50 N. Laura Street, Suite 2500</w:t>
            </w: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34"/>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Jacksonville, FL</w:t>
            </w:r>
          </w:p>
        </w:tc>
        <w:tc>
          <w:tcPr>
            <w:tcW w:w="5920" w:type="dxa"/>
            <w:vAlign w:val="bottom"/>
            <w:gridSpan w:val="2"/>
          </w:tcPr>
          <w:p>
            <w:pPr>
              <w:jc w:val="right"/>
              <w:ind w:right="2410"/>
              <w:spacing w:after="0"/>
              <w:rPr>
                <w:sz w:val="20"/>
                <w:szCs w:val="20"/>
                <w:color w:val="auto"/>
              </w:rPr>
            </w:pPr>
            <w:r>
              <w:rPr>
                <w:rFonts w:ascii="Arial" w:cs="Arial" w:eastAsia="Arial" w:hAnsi="Arial"/>
                <w:sz w:val="18"/>
                <w:szCs w:val="18"/>
                <w:b w:val="1"/>
                <w:bCs w:val="1"/>
                <w:color w:val="auto"/>
              </w:rPr>
              <w:t>32202</w:t>
            </w:r>
          </w:p>
        </w:tc>
      </w:tr>
      <w:tr>
        <w:trPr>
          <w:trHeight w:val="224"/>
        </w:trPr>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Pr>
          <w:p>
            <w:pPr>
              <w:spacing w:after="0"/>
              <w:rPr>
                <w:sz w:val="19"/>
                <w:szCs w:val="19"/>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18"/>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904-516-5436</w:t>
            </w: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24"/>
        </w:trPr>
        <w:tc>
          <w:tcPr>
            <w:tcW w:w="5500" w:type="dxa"/>
            <w:vAlign w:val="bottom"/>
          </w:tcPr>
          <w:p>
            <w:pPr>
              <w:jc w:val="center"/>
              <w:spacing w:after="0"/>
              <w:rPr>
                <w:sz w:val="20"/>
                <w:szCs w:val="20"/>
                <w:color w:val="auto"/>
              </w:rPr>
            </w:pPr>
            <w:r>
              <w:rPr>
                <w:rFonts w:ascii="Arial" w:cs="Arial" w:eastAsia="Arial" w:hAnsi="Arial"/>
                <w:sz w:val="18"/>
                <w:szCs w:val="18"/>
                <w:color w:val="auto"/>
                <w:w w:val="88"/>
              </w:rPr>
              <w:t>(Issuer's telephone number)</w:t>
            </w:r>
          </w:p>
        </w:tc>
        <w:tc>
          <w:tcPr>
            <w:tcW w:w="46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sectPr>
          <w:pgSz w:w="11900" w:h="16838" w:orient="portrait"/>
          <w:cols w:equalWidth="0" w:num="1">
            <w:col w:w="11420"/>
          </w:cols>
          <w:pgMar w:left="240" w:top="472" w:right="239" w:bottom="1440" w:gutter="0" w:footer="0" w:header="0"/>
        </w:sectPr>
      </w:pPr>
    </w:p>
    <w:p>
      <w:pPr>
        <w:spacing w:after="0" w:line="11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(Do not check</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ind w:left="60"/>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51" w:lineRule="exact"/>
        <w:rPr>
          <w:sz w:val="24"/>
          <w:szCs w:val="24"/>
          <w:color w:val="auto"/>
        </w:rPr>
      </w:pPr>
    </w:p>
    <w:p>
      <w:pPr>
        <w:sectPr>
          <w:pgSz w:w="11900" w:h="16838" w:orient="portrait"/>
          <w:cols w:equalWidth="0" w:num="3">
            <w:col w:w="5000" w:space="720"/>
            <w:col w:w="160" w:space="20"/>
            <w:col w:w="5520"/>
          </w:cols>
          <w:pgMar w:left="240" w:top="472" w:right="23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if smaller reporting company)</w:t>
      </w:r>
    </w:p>
    <w:p>
      <w:pPr>
        <w:sectPr>
          <w:pgSz w:w="11900" w:h="16838" w:orient="portrait"/>
          <w:cols w:equalWidth="0" w:num="1">
            <w:col w:w="11420"/>
          </w:cols>
          <w:pgMar w:left="240" w:top="472" w:right="239" w:bottom="1440" w:gutter="0" w:footer="0" w:header="0"/>
          <w:type w:val="continuous"/>
        </w:sectPr>
      </w:pP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Arial" w:cs="Arial" w:eastAsia="Arial" w:hAnsi="Arial"/>
          <w:sz w:val="18"/>
          <w:szCs w:val="18"/>
          <w:b w:val="1"/>
          <w:bCs w:val="1"/>
          <w:color w:val="auto"/>
        </w:rPr>
        <w:t>x</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As of November 2, 2016, the Company had 8,379,101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159385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4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14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2016 and December 31, 2015</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140" w:type="dxa"/>
            <w:vAlign w:val="bottom"/>
            <w:gridSpan w:val="17"/>
            <w:shd w:val="clear" w:color="auto" w:fill="CCEEFF"/>
          </w:tcPr>
          <w:p>
            <w:pPr>
              <w:spacing w:after="0" w:line="17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Operations for the Three and Nine months ended September 30, 2016 and 2015</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140" w:type="dxa"/>
            <w:vAlign w:val="bottom"/>
            <w:gridSpan w:val="17"/>
            <w:shd w:val="clear" w:color="auto" w:fill="CCEEFF"/>
          </w:tcPr>
          <w:p>
            <w:pPr>
              <w:spacing w:after="0" w:line="176"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 of Stockholders' Equity (Deficit) for the Nine months ended September 30, 2016</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140" w:type="dxa"/>
            <w:vAlign w:val="bottom"/>
            <w:gridSpan w:val="17"/>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Nine months ended September 30, 2016 and 2015</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140" w:type="dxa"/>
            <w:vAlign w:val="bottom"/>
            <w:gridSpan w:val="17"/>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40" w:type="dxa"/>
            <w:vAlign w:val="bottom"/>
            <w:gridSpan w:val="17"/>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40" w:type="dxa"/>
            <w:vAlign w:val="bottom"/>
            <w:gridSpan w:val="17"/>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40" w:type="dxa"/>
            <w:vAlign w:val="bottom"/>
            <w:gridSpan w:val="17"/>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 OTHER INFORMATION</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40" w:type="dxa"/>
            <w:vAlign w:val="bottom"/>
            <w:gridSpan w:val="17"/>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140" w:type="dxa"/>
            <w:vAlign w:val="bottom"/>
            <w:gridSpan w:val="17"/>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40" w:type="dxa"/>
            <w:vAlign w:val="bottom"/>
            <w:gridSpan w:val="17"/>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40" w:type="dxa"/>
            <w:vAlign w:val="bottom"/>
            <w:gridSpan w:val="17"/>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40" w:type="dxa"/>
            <w:vAlign w:val="bottom"/>
            <w:gridSpan w:val="17"/>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140" w:type="dxa"/>
            <w:vAlign w:val="bottom"/>
            <w:gridSpan w:val="17"/>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140" w:type="dxa"/>
            <w:vAlign w:val="bottom"/>
            <w:gridSpan w:val="17"/>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720" w:type="dxa"/>
            <w:vAlign w:val="bottom"/>
            <w:tcBorders>
              <w:top w:val="single" w:sz="8" w:color="CCEEFF"/>
            </w:tcBorders>
            <w:gridSpan w:val="8"/>
          </w:tcPr>
          <w:p>
            <w:pPr>
              <w:ind w:left="20"/>
              <w:spacing w:after="0"/>
              <w:rPr>
                <w:sz w:val="20"/>
                <w:szCs w:val="20"/>
                <w:color w:val="auto"/>
              </w:rPr>
            </w:pPr>
            <w:r>
              <w:rPr>
                <w:rFonts w:ascii="Arial" w:cs="Arial" w:eastAsia="Arial" w:hAnsi="Arial"/>
                <w:sz w:val="18"/>
                <w:szCs w:val="18"/>
                <w:b w:val="1"/>
                <w:bCs w:val="1"/>
                <w:color w:val="auto"/>
              </w:rPr>
              <w:t>NOTE REGARDING REVERSE STOCK SPLIT</w:t>
            </w:r>
          </w:p>
        </w:tc>
        <w:tc>
          <w:tcPr>
            <w:tcW w:w="9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September 13, 2016, we filed a Certificate of Change pursuant to NRS 78.209 with the Secretary of State of the State of Nevada to effect a reverse split of our common stock at a ratio of one for twelve, effective on September 16, 2016. All historical share and per share amounts reflected in this report have been adjusted to reflect the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7220" w:type="dxa"/>
            <w:vAlign w:val="bottom"/>
          </w:tcPr>
          <w:p>
            <w:pPr>
              <w:ind w:left="80"/>
              <w:spacing w:after="0"/>
              <w:rPr>
                <w:sz w:val="20"/>
                <w:szCs w:val="20"/>
                <w:color w:val="auto"/>
              </w:rPr>
            </w:pPr>
            <w:r>
              <w:rPr>
                <w:rFonts w:ascii="Arial" w:cs="Arial" w:eastAsia="Arial" w:hAnsi="Arial"/>
                <w:sz w:val="18"/>
                <w:szCs w:val="18"/>
                <w:b w:val="1"/>
                <w:bCs w:val="1"/>
                <w:color w:val="auto"/>
              </w:rPr>
              <w:t>FINANCIAL INFORMATION</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220" w:type="dxa"/>
            <w:vAlign w:val="bottom"/>
          </w:tcPr>
          <w:p>
            <w:pPr>
              <w:ind w:left="140"/>
              <w:spacing w:after="0"/>
              <w:rPr>
                <w:sz w:val="20"/>
                <w:szCs w:val="20"/>
                <w:color w:val="auto"/>
              </w:rPr>
            </w:pPr>
            <w:r>
              <w:rPr>
                <w:rFonts w:ascii="Arial" w:cs="Arial" w:eastAsia="Arial" w:hAnsi="Arial"/>
                <w:sz w:val="18"/>
                <w:szCs w:val="18"/>
                <w:b w:val="1"/>
                <w:bCs w:val="1"/>
                <w:color w:val="auto"/>
              </w:rPr>
              <w:t>Financial Statements</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20" w:type="dxa"/>
            <w:vAlign w:val="bottom"/>
          </w:tcPr>
          <w:p>
            <w:pPr>
              <w:jc w:val="center"/>
              <w:ind w:left="2130"/>
              <w:spacing w:after="0"/>
              <w:rPr>
                <w:sz w:val="20"/>
                <w:szCs w:val="20"/>
                <w:color w:val="auto"/>
              </w:rPr>
            </w:pPr>
            <w:r>
              <w:rPr>
                <w:rFonts w:ascii="Arial" w:cs="Arial" w:eastAsia="Arial" w:hAnsi="Arial"/>
                <w:sz w:val="18"/>
                <w:szCs w:val="18"/>
                <w:b w:val="1"/>
                <w:bCs w:val="1"/>
                <w:color w:val="auto"/>
              </w:rPr>
              <w:t>TAPIMMUNE INC.</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20" w:type="dxa"/>
            <w:vAlign w:val="bottom"/>
          </w:tcPr>
          <w:p>
            <w:pPr>
              <w:jc w:val="center"/>
              <w:ind w:left="21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20" w:type="dxa"/>
            <w:vAlign w:val="bottom"/>
          </w:tcPr>
          <w:p>
            <w:pPr>
              <w:jc w:val="center"/>
              <w:ind w:left="2110"/>
              <w:spacing w:after="0"/>
              <w:rPr>
                <w:sz w:val="20"/>
                <w:szCs w:val="20"/>
                <w:color w:val="auto"/>
              </w:rPr>
            </w:pPr>
            <w:r>
              <w:rPr>
                <w:rFonts w:ascii="Arial" w:cs="Arial" w:eastAsia="Arial" w:hAnsi="Arial"/>
                <w:sz w:val="18"/>
                <w:szCs w:val="18"/>
                <w:b w:val="1"/>
                <w:bCs w:val="1"/>
                <w:color w:val="auto"/>
              </w:rPr>
              <w:t>(UNAUDITED)</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4"/>
              </w:rPr>
              <w:t>September 30,</w:t>
            </w:r>
          </w:p>
        </w:tc>
        <w:tc>
          <w:tcPr>
            <w:tcW w:w="10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20" w:type="dxa"/>
            <w:vAlign w:val="bottom"/>
            <w:shd w:val="clear" w:color="auto" w:fill="CCEEFF"/>
          </w:tcPr>
          <w:p>
            <w:pPr>
              <w:jc w:val="center"/>
              <w:ind w:right="650"/>
              <w:spacing w:after="0"/>
              <w:rPr>
                <w:sz w:val="20"/>
                <w:szCs w:val="20"/>
                <w:color w:val="auto"/>
              </w:rPr>
            </w:pPr>
            <w:r>
              <w:rPr>
                <w:rFonts w:ascii="Arial" w:cs="Arial" w:eastAsia="Arial" w:hAnsi="Arial"/>
                <w:sz w:val="18"/>
                <w:szCs w:val="18"/>
                <w:b w:val="1"/>
                <w:bCs w:val="1"/>
                <w:color w:val="auto"/>
                <w:w w:val="94"/>
              </w:rPr>
              <w:t>ASSETS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7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9,586,773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6,576,564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gridSpan w:val="2"/>
          </w:tcPr>
          <w:p>
            <w:pPr>
              <w:ind w:left="160"/>
              <w:spacing w:after="0"/>
              <w:rPr>
                <w:sz w:val="20"/>
                <w:szCs w:val="20"/>
                <w:color w:val="auto"/>
              </w:rPr>
            </w:pPr>
            <w:r>
              <w:rPr>
                <w:rFonts w:ascii="Arial" w:cs="Arial" w:eastAsia="Arial" w:hAnsi="Arial"/>
                <w:sz w:val="18"/>
                <w:szCs w:val="18"/>
                <w:color w:val="auto"/>
              </w:rPr>
              <w:t>Prepaid expenses and deposits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111,652</w:t>
            </w: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68,803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7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b w:val="1"/>
                <w:bCs w:val="1"/>
                <w:color w:val="auto"/>
                <w:w w:val="89"/>
              </w:rPr>
              <w:t>Total Assets</w:t>
            </w:r>
          </w:p>
        </w:tc>
        <w:tc>
          <w:tcPr>
            <w:tcW w:w="7220" w:type="dxa"/>
            <w:vAlign w:val="bottom"/>
          </w:tcPr>
          <w:p>
            <w:pPr>
              <w:spacing w:after="0"/>
              <w:rPr>
                <w:sz w:val="24"/>
                <w:szCs w:val="24"/>
                <w:color w:val="auto"/>
              </w:rPr>
            </w:pPr>
          </w:p>
        </w:tc>
        <w:tc>
          <w:tcPr>
            <w:tcW w:w="5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9,698,425</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6,645,367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7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20" w:type="dxa"/>
            <w:vAlign w:val="bottom"/>
          </w:tcPr>
          <w:p>
            <w:pPr>
              <w:jc w:val="center"/>
              <w:ind w:right="670"/>
              <w:spacing w:after="0"/>
              <w:rPr>
                <w:sz w:val="20"/>
                <w:szCs w:val="20"/>
                <w:color w:val="auto"/>
              </w:rPr>
            </w:pPr>
            <w:r>
              <w:rPr>
                <w:rFonts w:ascii="Arial" w:cs="Arial" w:eastAsia="Arial" w:hAnsi="Arial"/>
                <w:sz w:val="18"/>
                <w:szCs w:val="18"/>
                <w:b w:val="1"/>
                <w:bCs w:val="1"/>
                <w:color w:val="auto"/>
              </w:rPr>
              <w:t>LIABILITIES AND STOCKHOLDERS’ EQUITY (DEFICIT)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5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1,678,079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967,358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agreement obligations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492,365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492,365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160"/>
              <w:spacing w:after="0"/>
              <w:rPr>
                <w:sz w:val="20"/>
                <w:szCs w:val="20"/>
                <w:color w:val="auto"/>
              </w:rPr>
            </w:pPr>
            <w:r>
              <w:rPr>
                <w:rFonts w:ascii="Arial" w:cs="Arial" w:eastAsia="Arial" w:hAnsi="Arial"/>
                <w:sz w:val="18"/>
                <w:szCs w:val="18"/>
                <w:color w:val="auto"/>
              </w:rPr>
              <w:t>Derivative liability – warrants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29,000</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26,493,000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Promissory note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gridSpan w:val="2"/>
          </w:tcPr>
          <w:p>
            <w:pPr>
              <w:ind w:left="160"/>
              <w:spacing w:after="0"/>
              <w:rPr>
                <w:sz w:val="20"/>
                <w:szCs w:val="20"/>
                <w:color w:val="auto"/>
              </w:rPr>
            </w:pPr>
            <w:r>
              <w:rPr>
                <w:rFonts w:ascii="Arial" w:cs="Arial" w:eastAsia="Arial" w:hAnsi="Arial"/>
                <w:sz w:val="18"/>
                <w:szCs w:val="18"/>
                <w:color w:val="auto"/>
              </w:rPr>
              <w:t>Promissory note, related party</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2,204,444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28,005,723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8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Convertible preferred stock, $0.001 par value — 5,000,000 shares authorized: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Series A, $0.001 par value, 1,250,000 shares designated, -0- shares issued and outstanding</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160"/>
              <w:spacing w:after="0"/>
              <w:rPr>
                <w:sz w:val="20"/>
                <w:szCs w:val="20"/>
                <w:color w:val="auto"/>
              </w:rPr>
            </w:pPr>
            <w:r>
              <w:rPr>
                <w:rFonts w:ascii="Arial" w:cs="Arial" w:eastAsia="Arial" w:hAnsi="Arial"/>
                <w:sz w:val="18"/>
                <w:szCs w:val="18"/>
                <w:color w:val="auto"/>
              </w:rPr>
              <w:t>Series B, $0.001 par value, 1,500,000 shares designated, -0- shares issued and outstanding</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$0.001 par value, 41,666,667 shares authorized, 8,395,768 and 5,882,976 shares issued and</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September 30, 2016 and December 31, 2015, respectively</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8,396</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151,724,573</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112,142,187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(144,238,988)</w:t>
            </w: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(133,508,427)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3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7,493,981</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(21,360,356</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5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9,698,425</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6,645,367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238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1,109,332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968,759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3,343,248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2,324,432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1,612,305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769,219</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3,557,701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1,579,754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(2,721,637)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(1,737,978)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(6,900,949)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(3,904,186)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Changes in fair value of derivative liabilities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684,000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30,266,000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5,925,000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(28,485,585)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 gain</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Grant income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231,200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debt settlement agreements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(24,697)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(135,640)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(2,102,962)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28,503,325</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(878,561)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7"/>
              </w:rPr>
              <w:t>(32,413,693)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Basic Net Income (Loss) per Share</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(0.29)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7.04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Weighted Average Number of Common Shares Outstanding, Basic</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7,281,000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4,048,750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6,370,000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w w:val="96"/>
              </w:rPr>
              <w:t>Weighted Average Number of Common Shares Outstanding, diluted</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7,281,000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6,745,416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6,935,000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3,054,297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04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Common Stock</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Paid In</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shares</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Amount</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Capital</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Deficit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5,882,976</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5,884</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112,142,187</w:t>
            </w:r>
          </w:p>
        </w:tc>
        <w:tc>
          <w:tcPr>
            <w:tcW w:w="2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(133,508,427</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(21,360,356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private placement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653,166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3,134,543</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3,135,196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Finders’ fee and legal costs relating to private placements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(804,070)</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(804,070)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shares issued as inducement on August 10, 2016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4,499,250</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(4,500,000)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3"/>
              </w:rPr>
              <w:t>Fair value of series F and F-1 warrants issued as inducement in August 2016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5,352,000</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(5,352,000)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Reclassification of fair value of derivative liabilities to equity on amendment</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of warrant agreements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15,465,000</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15,465,000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5,999,000</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Finders’ fee on exercise of warrants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(516,651)</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(516,651)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fair value of derivative liabilities at exercise date</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5,074,000</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debt settlement agreements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70,305</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99,435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1,309,009</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1,309,108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(878,561)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(878,561)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8,395,768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8,396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151,724,573</w:t>
            </w: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(144,238,988)</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7,493,981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Nine months ended</w:t>
            </w: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4"/>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September 30,</w:t>
            </w: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(878,561)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(32,413,693)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Changes in fair value of derivative liabilities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(5,925,000)</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28,485,585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debt settlement agreements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70,315</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Stock based compensation</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1,309,109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261,805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(42,849)</w:t>
            </w:r>
          </w:p>
        </w:tc>
        <w:tc>
          <w:tcPr>
            <w:tcW w:w="1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(55,782)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710,720</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204,956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5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(4,756,266</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(3,492,432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Private placements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3,135,196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Finders’ fee and legal costs on private placements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(804,070)</w:t>
            </w:r>
          </w:p>
        </w:tc>
        <w:tc>
          <w:tcPr>
            <w:tcW w:w="1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(137,986)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promissory note</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Repayment of promissory note – related party</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(23,000)</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warrants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7,427,998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Finders’ fee on exercise of warrants</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(516,651)</w:t>
            </w:r>
          </w:p>
        </w:tc>
        <w:tc>
          <w:tcPr>
            <w:tcW w:w="1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(316,508)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7,766,475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9,437,504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3,010,209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5,945,072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beginning of period</w:t>
            </w:r>
          </w:p>
        </w:tc>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6,576,564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141,944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end of period</w:t>
            </w:r>
          </w:p>
        </w:tc>
        <w:tc>
          <w:tcPr>
            <w:tcW w:w="15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9,586,773</w:t>
            </w:r>
          </w:p>
        </w:tc>
        <w:tc>
          <w:tcPr>
            <w:tcW w:w="2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6,087,016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Cash paid for interest</w:t>
            </w:r>
          </w:p>
        </w:tc>
        <w:tc>
          <w:tcPr>
            <w:tcW w:w="16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8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Cash paid for taxes</w:t>
            </w:r>
          </w:p>
        </w:tc>
        <w:tc>
          <w:tcPr>
            <w:tcW w:w="15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Nine months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September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w w:val="92"/>
              </w:rPr>
              <w:t>Reclassification of accrued liability upon issuance of common shares relating to Dr. Glynn Wilson’s compensation</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settled in common stock</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issuance of series F and F-1 warrants as inducement in August 2016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5,352,000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shares issued as inducement on August 10, 2016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fair value of derivative liabilities to equity on amendment of warrant agreements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issuance of warrants in January and March 2015 financing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9,313,000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Issuance of additional warrants in May 28, 2015 transaction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6,133,000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Derivative Warrant Liabilities to Equity at Exercise Date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5,074,000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11,745,000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940" w:type="dxa"/>
            <w:vAlign w:val="bottom"/>
            <w:gridSpan w:val="5"/>
          </w:tcPr>
          <w:p>
            <w:pPr>
              <w:jc w:val="center"/>
              <w:ind w:left="1350"/>
              <w:spacing w:after="0"/>
              <w:rPr>
                <w:sz w:val="20"/>
                <w:szCs w:val="20"/>
                <w:color w:val="auto"/>
              </w:rPr>
            </w:pPr>
            <w:r>
              <w:rPr>
                <w:rFonts w:ascii="Arial" w:cs="Arial" w:eastAsia="Arial" w:hAnsi="Arial"/>
                <w:sz w:val="18"/>
                <w:szCs w:val="18"/>
                <w:color w:val="auto"/>
                <w:w w:val="88"/>
              </w:rPr>
              <w:t>See accompanying notes to these unaudited condensed consolidated financial statements.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400" w:type="dxa"/>
            <w:vAlign w:val="bottom"/>
            <w:tcBorders>
              <w:bottom w:val="single" w:sz="8" w:color="auto"/>
            </w:tcBorders>
          </w:tcPr>
          <w:p>
            <w:pPr>
              <w:jc w:val="right"/>
              <w:ind w:right="2450"/>
              <w:spacing w:after="0"/>
              <w:rPr>
                <w:sz w:val="20"/>
                <w:szCs w:val="20"/>
                <w:color w:val="auto"/>
              </w:rPr>
            </w:pPr>
            <w:r>
              <w:rPr>
                <w:rFonts w:ascii="Arial" w:cs="Arial" w:eastAsia="Arial" w:hAnsi="Arial"/>
                <w:sz w:val="18"/>
                <w:szCs w:val="18"/>
                <w:color w:val="auto"/>
              </w:rPr>
              <w:t>- 5 -</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results for the statement of operations are not necessarily indicative of results to be expected for the year ending December 31, 2016 or for any future interim period. The condensed consolidated balance sheet at December 31, 2015 has been derived from 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2015, and notes thereto included in the Company’s annual report on Form 10-K.</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3:</w:t>
        <w:tab/>
        <w:t>LIQUIDITY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From inception, the Company has been funded by a combination of equity and debt financings.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2016, the Company had cash and cash equivalents of approximately $9,587,000. Historically, the Company had net losses and negative cash flows from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The financial statements do not include any adjustments that might result from the outcome of these uncertainties.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tabs>
          <w:tab w:leader="none" w:pos="960" w:val="left"/>
        </w:tabs>
        <w:rPr>
          <w:sz w:val="20"/>
          <w:szCs w:val="20"/>
          <w:color w:val="auto"/>
        </w:rPr>
      </w:pPr>
      <w:r>
        <w:rPr>
          <w:rFonts w:ascii="Arial" w:cs="Arial" w:eastAsia="Arial" w:hAnsi="Arial"/>
          <w:sz w:val="18"/>
          <w:szCs w:val="18"/>
          <w:b w:val="1"/>
          <w:bCs w:val="1"/>
          <w:color w:val="auto"/>
        </w:rPr>
        <w:t>NOTE 4:</w:t>
        <w:tab/>
        <w:t>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the Company’s significant accounting policies to those previously disclosed in the Company’s annual report on Form 10-K, which was filed with the SEC on April 14, 2016 other than the one disclosed below relating to grant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grant income in accordance with the terms stipulated under the grant awarded to the Company’s collaborators at the Mayo Foundation from the U. S. Department of Defense. In various situations, the Company receives certain payments from the U.S. Department of Defense for reimbursement of clinical supplies. These payments are non-refundable, and are not dependent on the Company’s ongoing future performance. The Company has adopted a policy of recognizing these payments as grant income when received.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Accounting Standards Update (“ASU”), No. 2016-09 - In March 2016, the Financial Accounting Standards Board (the “FASB”) issued ASU No. 2016-09, Compensation-Stock Compensation. The areas for simplification in this update involve several aspects of the accounting for share-based payment transactions, including the income tax consequences, classification of awards as either equity or liabilities, and classification on the statement of cash flows. Some of the specific changes associated with the update include all excess tax benefits and tax deficiencies (including tax benefits of dividends on share-based payment awards) being recognized as income tax expense or benefit in the income statement. The tax effects of exercised or vested awards should be treated as discrete items in the reporting period in which they occur. An entity also should recognize excess tax benefits regardless of whether the benefit reduces taxes payable in the current period. An entity can make an entity-wide accounting policy election to either estimate the number of awards that are expected to vest (current GAAP) or account for forfeitures when they occur. ASU 2016-09 is effective for fiscal years beginning after December 15, 2016, including interim periods within those fiscal years.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evaluated the impact of ASU No. 2016-09 and has determined that the adoption of the impact of forfeitures, net of income taxes, will not have a material impact on the Company’s future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NET INCOME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income (loss) per common share is computed by dividing net income by the weighted average number of common shares outstanding during the reporting period. Diluted income per common share is computed similar to basic income per common share except that it reflects the potential dilution that could occur if dilutive securities or other obligations to issue common stock were exercised or converted into common stock.</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(loss) per-share amounts for all periods have been retroactively adjusted to reflect the Company’s 1-for-12 reverse stock split, which was effective September 16, 2016.</w:t>
      </w:r>
    </w:p>
    <w:p>
      <w:pPr>
        <w:sectPr>
          <w:pgSz w:w="11900" w:h="16838" w:orient="portrait"/>
          <w:cols w:equalWidth="0" w:num="1">
            <w:col w:w="11420"/>
          </w:cols>
          <w:pgMar w:left="240" w:top="904"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income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3"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Less: Non cash income from changes in fair value of derivative liabilities Net income (loss) - diluted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outstanding - basic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Common stock warrants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outstanding - diluted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per share data: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62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For the Three Months Ended</w:t>
            </w:r>
          </w:p>
        </w:tc>
        <w:tc>
          <w:tcPr>
            <w:tcW w:w="140" w:type="dxa"/>
            <w:vAlign w:val="bottom"/>
          </w:tcPr>
          <w:p>
            <w:pPr>
              <w:spacing w:after="0"/>
              <w:rPr>
                <w:sz w:val="18"/>
                <w:szCs w:val="18"/>
                <w:color w:val="auto"/>
              </w:rPr>
            </w:pPr>
          </w:p>
        </w:tc>
        <w:tc>
          <w:tcPr>
            <w:tcW w:w="24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2"/>
              </w:rPr>
              <w:t>For the Nine Months Ended</w:t>
            </w:r>
          </w:p>
        </w:tc>
      </w:tr>
      <w:tr>
        <w:trPr>
          <w:trHeight w:val="234"/>
        </w:trPr>
        <w:tc>
          <w:tcPr>
            <w:tcW w:w="120" w:type="dxa"/>
            <w:vAlign w:val="bottom"/>
          </w:tcPr>
          <w:p>
            <w:pPr>
              <w:spacing w:after="0"/>
              <w:rPr>
                <w:sz w:val="20"/>
                <w:szCs w:val="20"/>
                <w:color w:val="auto"/>
              </w:rPr>
            </w:pPr>
          </w:p>
        </w:tc>
        <w:tc>
          <w:tcPr>
            <w:tcW w:w="26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24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1"/>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(2,102,962)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28,503,325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(878,561)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w w:val="97"/>
              </w:rPr>
              <w:t>(32,413,693)</w:t>
            </w:r>
          </w:p>
        </w:tc>
      </w:tr>
      <w:tr>
        <w:trPr>
          <w:trHeight w:val="244"/>
        </w:trPr>
        <w:tc>
          <w:tcPr>
            <w:tcW w:w="12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(2,856,000)</w:t>
            </w:r>
          </w:p>
        </w:tc>
        <w:tc>
          <w:tcPr>
            <w:tcW w:w="18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10"/>
        </w:trPr>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(2,102,962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28,503,325</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(3,734,561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(32,413,693</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411"/>
        </w:trPr>
        <w:tc>
          <w:tcPr>
            <w:tcW w:w="12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7,281,000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4,048,750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6,370,000</w:t>
            </w:r>
          </w:p>
        </w:tc>
        <w:tc>
          <w:tcPr>
            <w:tcW w:w="1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3,054,297</w:t>
            </w:r>
          </w:p>
        </w:tc>
        <w:tc>
          <w:tcPr>
            <w:tcW w:w="40" w:type="dxa"/>
            <w:vAlign w:val="bottom"/>
          </w:tcPr>
          <w:p>
            <w:pPr>
              <w:spacing w:after="0"/>
              <w:rPr>
                <w:sz w:val="24"/>
                <w:szCs w:val="24"/>
                <w:color w:val="auto"/>
              </w:rPr>
            </w:pPr>
          </w:p>
        </w:tc>
      </w:tr>
      <w:tr>
        <w:trPr>
          <w:trHeight w:val="230"/>
        </w:trPr>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2,663,333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565,000</w:t>
            </w: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33,333</w:t>
            </w: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0"/>
        </w:trPr>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6,745,416</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6,935,000</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3,054,297</w:t>
            </w:r>
          </w:p>
        </w:tc>
        <w:tc>
          <w:tcPr>
            <w:tcW w:w="40" w:type="dxa"/>
            <w:vAlign w:val="bottom"/>
          </w:tcPr>
          <w:p>
            <w:pPr>
              <w:spacing w:after="0"/>
              <w:rPr>
                <w:sz w:val="18"/>
                <w:szCs w:val="18"/>
                <w:color w:val="auto"/>
              </w:rPr>
            </w:pPr>
          </w:p>
        </w:tc>
      </w:tr>
      <w:tr>
        <w:trPr>
          <w:trHeight w:val="627"/>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(10.61)</w:t>
            </w:r>
          </w:p>
        </w:tc>
      </w:tr>
      <w:tr>
        <w:trPr>
          <w:trHeight w:val="257"/>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(0.54)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(10.61)</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-1740535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-1457325</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-1165860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-891540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-599440</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-316865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340"/>
          </w:cols>
          <w:pgMar w:left="240" w:top="904" w:right="239" w:bottom="1440" w:gutter="0" w:footer="0" w:header="0"/>
          <w:type w:val="continuous"/>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9" w:name="page10"/>
    <w:bookmarkEnd w:id="9"/>
    <w:p>
      <w:pPr>
        <w:ind w:right="120"/>
        <w:spacing w:after="0" w:line="277" w:lineRule="auto"/>
        <w:rPr>
          <w:sz w:val="20"/>
          <w:szCs w:val="20"/>
          <w:color w:val="auto"/>
        </w:rPr>
      </w:pPr>
      <w:r>
        <w:rPr>
          <w:rFonts w:ascii="Arial" w:cs="Arial" w:eastAsia="Arial" w:hAnsi="Arial"/>
          <w:sz w:val="18"/>
          <w:szCs w:val="18"/>
          <w:color w:val="auto"/>
        </w:rPr>
        <w:t>The following securities, rounded to the thousand, were not included in the diluted net loss per share calculation because their effect was anti-dilutive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96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Nine Months Ended September 30,</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432,000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Common stock warrants - equity treatment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5,054,000</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211,000</w:t>
            </w:r>
          </w:p>
        </w:tc>
        <w:tc>
          <w:tcPr>
            <w:tcW w:w="0" w:type="dxa"/>
            <w:vAlign w:val="bottom"/>
          </w:tcPr>
          <w:p>
            <w:pPr>
              <w:spacing w:after="0"/>
              <w:rPr>
                <w:sz w:val="1"/>
                <w:szCs w:val="1"/>
                <w:color w:val="auto"/>
              </w:rPr>
            </w:pPr>
          </w:p>
        </w:tc>
      </w:tr>
      <w:tr>
        <w:trPr>
          <w:trHeight w:val="24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 liability treatment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Potentially dilutive securities</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vMerge w:val="continue"/>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5,492,000</w:t>
            </w:r>
          </w:p>
        </w:tc>
        <w:tc>
          <w:tcPr>
            <w:tcW w:w="200" w:type="dxa"/>
            <w:vAlign w:val="bottom"/>
            <w:vMerge w:val="continue"/>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6:</w:t>
        <w:tab/>
        <w:t>DERIVATIVE LIABILITY -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summary of quantitative information with respect to valuation methodology and significant unobservable inputs used for the Company’s common stock purchase warrants that are categorized within Level 3 of the fair value hierarchy for the nine months ended 2016 and 2015 is as follows:</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Arial" w:cs="Arial" w:eastAsia="Arial" w:hAnsi="Arial"/>
                <w:sz w:val="18"/>
                <w:szCs w:val="18"/>
                <w:b w:val="1"/>
                <w:bCs w:val="1"/>
                <w:color w:val="auto"/>
              </w:rPr>
              <w:t>Share Purchase Warrants</w:t>
            </w:r>
          </w:p>
        </w:tc>
        <w:tc>
          <w:tcPr>
            <w:tcW w:w="80" w:type="dxa"/>
            <w:vAlign w:val="bottom"/>
          </w:tcPr>
          <w:p>
            <w:pPr>
              <w:spacing w:after="0"/>
              <w:rPr>
                <w:sz w:val="20"/>
                <w:szCs w:val="20"/>
                <w:color w:val="auto"/>
              </w:rPr>
            </w:pPr>
          </w:p>
        </w:tc>
        <w:tc>
          <w:tcPr>
            <w:tcW w:w="3280" w:type="dxa"/>
            <w:vAlign w:val="bottom"/>
            <w:gridSpan w:val="6"/>
          </w:tcPr>
          <w:p>
            <w:pPr>
              <w:ind w:left="40"/>
              <w:spacing w:after="0"/>
              <w:rPr>
                <w:sz w:val="20"/>
                <w:szCs w:val="20"/>
                <w:color w:val="auto"/>
              </w:rPr>
            </w:pPr>
            <w:r>
              <w:rPr>
                <w:rFonts w:ascii="Arial" w:cs="Arial" w:eastAsia="Arial" w:hAnsi="Arial"/>
                <w:sz w:val="18"/>
                <w:szCs w:val="18"/>
                <w:b w:val="1"/>
                <w:bCs w:val="1"/>
                <w:color w:val="auto"/>
                <w:w w:val="95"/>
              </w:rPr>
              <w:t>Weighted Average Inputs for the Period</w:t>
            </w:r>
          </w:p>
        </w:tc>
      </w:tr>
      <w:tr>
        <w:trPr>
          <w:trHeight w:val="191"/>
        </w:trPr>
        <w:tc>
          <w:tcPr>
            <w:tcW w:w="6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1"/>
              </w:rPr>
              <w:t>For the Nine</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3"/>
              </w:rPr>
              <w:t>For the Nine</w:t>
            </w:r>
          </w:p>
        </w:tc>
        <w:tc>
          <w:tcPr>
            <w:tcW w:w="160" w:type="dxa"/>
            <w:vAlign w:val="bottom"/>
          </w:tcPr>
          <w:p>
            <w:pPr>
              <w:spacing w:after="0"/>
              <w:rPr>
                <w:sz w:val="16"/>
                <w:szCs w:val="16"/>
                <w:color w:val="auto"/>
              </w:rPr>
            </w:pPr>
          </w:p>
        </w:tc>
      </w:tr>
      <w:tr>
        <w:trPr>
          <w:trHeight w:val="216"/>
        </w:trPr>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Months Ending</w:t>
            </w:r>
          </w:p>
        </w:tc>
        <w:tc>
          <w:tcPr>
            <w:tcW w:w="10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Months Ending</w:t>
            </w:r>
          </w:p>
        </w:tc>
      </w:tr>
      <w:tr>
        <w:trPr>
          <w:trHeight w:val="216"/>
        </w:trPr>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 of valuation</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60" w:type="dxa"/>
            <w:vAlign w:val="bottom"/>
            <w:tcBorders>
              <w:bottom w:val="single" w:sz="8" w:color="CCEEFF"/>
            </w:tcBorders>
          </w:tcPr>
          <w:p>
            <w:pPr>
              <w:spacing w:after="0"/>
              <w:rPr>
                <w:sz w:val="20"/>
                <w:szCs w:val="20"/>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Contractual term (years)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Risk-free rate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Measured at Fair Value on a Recurring Basis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accounting standards define fair value as the amount that would be received to sell an asset or paid to transfer a liability in an orderly transaction between market participants. As such, fair value is determined based upon assumptions that market participants would use in pricing an asset or liability. Fair value measurements are rated on a three-tier hierarchy as follows:</w:t>
      </w:r>
    </w:p>
    <w:p>
      <w:pPr>
        <w:spacing w:after="0" w:line="18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assets or liabilities in active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inputs: Inputs, other than quoted prices included in Level 1, that are observable either directly or indirectly;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3 inputs: Unobservable inputs for which there is little or no market data, which require the reporting entity to develop its own assumptions.</w:t>
      </w:r>
    </w:p>
    <w:p>
      <w:pPr>
        <w:spacing w:after="0" w:line="200" w:lineRule="exact"/>
        <w:rPr>
          <w:rFonts w:ascii="Arial" w:cs="Arial" w:eastAsia="Arial" w:hAnsi="Arial"/>
          <w:sz w:val="16"/>
          <w:szCs w:val="16"/>
          <w:color w:val="auto"/>
        </w:rPr>
      </w:pPr>
    </w:p>
    <w:p>
      <w:pPr>
        <w:spacing w:after="0" w:line="249" w:lineRule="exact"/>
        <w:rPr>
          <w:rFonts w:ascii="Arial" w:cs="Arial" w:eastAsia="Arial" w:hAnsi="Arial"/>
          <w:sz w:val="16"/>
          <w:szCs w:val="16"/>
          <w:color w:val="auto"/>
        </w:rPr>
      </w:pPr>
    </w:p>
    <w:p>
      <w:pPr>
        <w:ind w:left="5680" w:hanging="109"/>
        <w:spacing w:after="0"/>
        <w:tabs>
          <w:tab w:leader="none" w:pos="5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are summarized below and disclosed on the balance sheet under Derivative liability – warrants: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jc w:val="center"/>
              <w:ind w:left="730"/>
              <w:spacing w:after="0"/>
              <w:rPr>
                <w:sz w:val="20"/>
                <w:szCs w:val="20"/>
                <w:color w:val="auto"/>
              </w:rPr>
            </w:pPr>
            <w:r>
              <w:rPr>
                <w:rFonts w:ascii="Arial" w:cs="Arial" w:eastAsia="Arial" w:hAnsi="Arial"/>
                <w:sz w:val="18"/>
                <w:szCs w:val="18"/>
                <w:b w:val="1"/>
                <w:bCs w:val="1"/>
                <w:color w:val="auto"/>
                <w:w w:val="88"/>
              </w:rPr>
              <w:t>As of September 30, 2016</w:t>
            </w: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jc w:val="center"/>
              <w:ind w:left="730"/>
              <w:spacing w:after="0"/>
              <w:rPr>
                <w:sz w:val="20"/>
                <w:szCs w:val="20"/>
                <w:color w:val="auto"/>
              </w:rPr>
            </w:pPr>
            <w:r>
              <w:rPr>
                <w:rFonts w:ascii="Arial" w:cs="Arial" w:eastAsia="Arial" w:hAnsi="Arial"/>
                <w:sz w:val="18"/>
                <w:szCs w:val="18"/>
                <w:b w:val="1"/>
                <w:bCs w:val="1"/>
                <w:color w:val="auto"/>
                <w:w w:val="91"/>
              </w:rPr>
              <w:t>Fair Value Measurements</w:t>
            </w: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Fair Value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Level 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29,000</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29,000</w:t>
            </w:r>
          </w:p>
        </w:tc>
        <w:tc>
          <w:tcPr>
            <w:tcW w:w="80" w:type="dxa"/>
            <w:vAlign w:val="bottom"/>
            <w:shd w:val="clear" w:color="auto" w:fill="CCEEFF"/>
          </w:tcPr>
          <w:p>
            <w:pPr>
              <w:spacing w:after="0"/>
              <w:rPr>
                <w:sz w:val="19"/>
                <w:szCs w:val="19"/>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29,000</w:t>
            </w:r>
          </w:p>
        </w:tc>
        <w:tc>
          <w:tcPr>
            <w:tcW w:w="2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3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center"/>
              <w:ind w:left="730"/>
              <w:spacing w:after="0"/>
              <w:rPr>
                <w:sz w:val="20"/>
                <w:szCs w:val="20"/>
                <w:color w:val="auto"/>
              </w:rPr>
            </w:pPr>
            <w:r>
              <w:rPr>
                <w:rFonts w:ascii="Arial" w:cs="Arial" w:eastAsia="Arial" w:hAnsi="Arial"/>
                <w:sz w:val="18"/>
                <w:szCs w:val="18"/>
                <w:b w:val="1"/>
                <w:bCs w:val="1"/>
                <w:color w:val="auto"/>
                <w:w w:val="89"/>
              </w:rPr>
              <w:t>As of December 31, 2015</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jc w:val="center"/>
              <w:ind w:left="730"/>
              <w:spacing w:after="0"/>
              <w:rPr>
                <w:sz w:val="20"/>
                <w:szCs w:val="20"/>
                <w:color w:val="auto"/>
              </w:rPr>
            </w:pPr>
            <w:r>
              <w:rPr>
                <w:rFonts w:ascii="Arial" w:cs="Arial" w:eastAsia="Arial" w:hAnsi="Arial"/>
                <w:sz w:val="18"/>
                <w:szCs w:val="18"/>
                <w:b w:val="1"/>
                <w:bCs w:val="1"/>
                <w:color w:val="auto"/>
                <w:w w:val="91"/>
              </w:rPr>
              <w:t>Fair Value Measurements</w:t>
            </w: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Fair Value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Level 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8"/>
                <w:szCs w:val="18"/>
                <w:color w:val="auto"/>
              </w:rPr>
            </w:pP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26,493,000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26,493,000</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26,493,000</w:t>
            </w:r>
          </w:p>
        </w:tc>
        <w:tc>
          <w:tcPr>
            <w:tcW w:w="80" w:type="dxa"/>
            <w:vAlign w:val="bottom"/>
            <w:shd w:val="clear" w:color="auto" w:fill="CCEEFF"/>
          </w:tcPr>
          <w:p>
            <w:pPr>
              <w:spacing w:after="0"/>
              <w:rPr>
                <w:sz w:val="19"/>
                <w:szCs w:val="19"/>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26,493,000</w:t>
            </w:r>
          </w:p>
        </w:tc>
        <w:tc>
          <w:tcPr>
            <w:tcW w:w="2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26,493,000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26,493,000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nine months ended September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Level 3 liabilities measured at fair value for the nine months ended September 30, 2016:</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Balance –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93471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3471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 of derivative liabilities to equity at exercise date</w:t>
      </w:r>
    </w:p>
    <w:p>
      <w:pPr>
        <w:spacing w:after="0" w:line="9" w:lineRule="exact"/>
        <w:rPr>
          <w:sz w:val="20"/>
          <w:szCs w:val="20"/>
          <w:color w:val="auto"/>
        </w:rPr>
      </w:pPr>
    </w:p>
    <w:p>
      <w:pPr>
        <w:ind w:right="52"/>
        <w:spacing w:after="0" w:line="250" w:lineRule="auto"/>
        <w:rPr>
          <w:sz w:val="20"/>
          <w:szCs w:val="20"/>
          <w:color w:val="auto"/>
        </w:rPr>
      </w:pPr>
      <w:r>
        <w:rPr>
          <w:rFonts w:ascii="Arial" w:cs="Arial" w:eastAsia="Arial" w:hAnsi="Arial"/>
          <w:sz w:val="18"/>
          <w:szCs w:val="18"/>
          <w:color w:val="auto"/>
        </w:rPr>
        <w:t>Reclassification of fair value of derivative liabilities to equity on amendment of warrant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593471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3471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 in fair value of warrant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Balance –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93471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34710" cy="16319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Amendment Transaction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8"/>
        <w:spacing w:after="0"/>
        <w:rPr>
          <w:sz w:val="20"/>
          <w:szCs w:val="20"/>
          <w:color w:val="auto"/>
        </w:rPr>
      </w:pPr>
      <w:r>
        <w:rPr>
          <w:rFonts w:ascii="Arial" w:cs="Arial" w:eastAsia="Arial" w:hAnsi="Arial"/>
          <w:sz w:val="17"/>
          <w:szCs w:val="17"/>
          <w:u w:val="single" w:color="auto"/>
          <w:color w:val="auto"/>
        </w:rPr>
        <w:t>Derivative liability – warrants</w:t>
      </w:r>
    </w:p>
    <w:p>
      <w:pPr>
        <w:spacing w:after="0" w:line="35" w:lineRule="exact"/>
        <w:rPr>
          <w:sz w:val="20"/>
          <w:szCs w:val="20"/>
          <w:color w:val="auto"/>
        </w:rPr>
      </w:pPr>
    </w:p>
    <w:p>
      <w:pPr>
        <w:ind w:left="1348" w:hanging="1348"/>
        <w:spacing w:after="0"/>
        <w:tabs>
          <w:tab w:leader="none" w:pos="1348" w:val="left"/>
        </w:tabs>
        <w:numPr>
          <w:ilvl w:val="0"/>
          <w:numId w:val="4"/>
        </w:numPr>
        <w:rPr>
          <w:rFonts w:ascii="Arial" w:cs="Arial" w:eastAsia="Arial" w:hAnsi="Arial"/>
          <w:sz w:val="17"/>
          <w:szCs w:val="17"/>
          <w:color w:val="auto"/>
        </w:rPr>
      </w:pPr>
      <w:r>
        <w:rPr>
          <w:rFonts w:ascii="Arial" w:cs="Arial" w:eastAsia="Arial" w:hAnsi="Arial"/>
          <w:sz w:val="17"/>
          <w:szCs w:val="17"/>
          <w:color w:val="auto"/>
        </w:rPr>
        <w:t>26,493,000</w:t>
      </w:r>
    </w:p>
    <w:p>
      <w:pPr>
        <w:spacing w:after="0" w:line="34" w:lineRule="exact"/>
        <w:rPr>
          <w:rFonts w:ascii="Arial" w:cs="Arial" w:eastAsia="Arial" w:hAnsi="Arial"/>
          <w:sz w:val="17"/>
          <w:szCs w:val="17"/>
          <w:color w:val="auto"/>
        </w:rPr>
      </w:pPr>
    </w:p>
    <w:p>
      <w:pPr>
        <w:ind w:left="1388"/>
        <w:spacing w:after="0"/>
        <w:rPr>
          <w:rFonts w:ascii="Arial" w:cs="Arial" w:eastAsia="Arial" w:hAnsi="Arial"/>
          <w:sz w:val="17"/>
          <w:szCs w:val="17"/>
          <w:color w:val="auto"/>
        </w:rPr>
      </w:pPr>
      <w:r>
        <w:rPr>
          <w:rFonts w:ascii="Arial" w:cs="Arial" w:eastAsia="Arial" w:hAnsi="Arial"/>
          <w:sz w:val="16"/>
          <w:szCs w:val="16"/>
          <w:color w:val="auto"/>
        </w:rPr>
        <w:t>(5,074,000)</w:t>
      </w:r>
    </w:p>
    <w:p>
      <w:pPr>
        <w:spacing w:after="0" w:line="234" w:lineRule="exact"/>
        <w:rPr>
          <w:sz w:val="20"/>
          <w:szCs w:val="20"/>
          <w:color w:val="auto"/>
        </w:rPr>
      </w:pPr>
    </w:p>
    <w:p>
      <w:pPr>
        <w:jc w:val="right"/>
        <w:ind w:right="2080"/>
        <w:spacing w:after="0"/>
        <w:rPr>
          <w:sz w:val="20"/>
          <w:szCs w:val="20"/>
          <w:color w:val="auto"/>
        </w:rPr>
      </w:pPr>
      <w:r>
        <w:rPr>
          <w:rFonts w:ascii="Arial" w:cs="Arial" w:eastAsia="Arial" w:hAnsi="Arial"/>
          <w:sz w:val="18"/>
          <w:szCs w:val="18"/>
          <w:color w:val="auto"/>
        </w:rPr>
        <w:t>(15,465,000)</w:t>
      </w:r>
    </w:p>
    <w:p>
      <w:pPr>
        <w:spacing w:after="0" w:line="23" w:lineRule="exact"/>
        <w:rPr>
          <w:sz w:val="20"/>
          <w:szCs w:val="20"/>
          <w:color w:val="auto"/>
        </w:rPr>
      </w:pPr>
    </w:p>
    <w:p>
      <w:pPr>
        <w:jc w:val="right"/>
        <w:ind w:right="2080"/>
        <w:spacing w:after="0"/>
        <w:rPr>
          <w:sz w:val="20"/>
          <w:szCs w:val="20"/>
          <w:color w:val="auto"/>
        </w:rPr>
      </w:pPr>
      <w:r>
        <w:rPr>
          <w:rFonts w:ascii="Arial" w:cs="Arial" w:eastAsia="Arial" w:hAnsi="Arial"/>
          <w:sz w:val="18"/>
          <w:szCs w:val="18"/>
          <w:color w:val="auto"/>
        </w:rPr>
        <w:t>(5,925,000)</w:t>
      </w:r>
    </w:p>
    <w:p>
      <w:pPr>
        <w:spacing w:after="0" w:line="35" w:lineRule="exact"/>
        <w:rPr>
          <w:sz w:val="20"/>
          <w:szCs w:val="20"/>
          <w:color w:val="auto"/>
        </w:rPr>
      </w:pPr>
    </w:p>
    <w:p>
      <w:pPr>
        <w:ind w:left="8"/>
        <w:spacing w:after="0"/>
        <w:tabs>
          <w:tab w:leader="none" w:pos="1648"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3722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6392" w:space="720"/>
            <w:col w:w="4308"/>
          </w:cols>
          <w:pgMar w:left="240" w:top="908" w:right="239" w:bottom="1440" w:gutter="0" w:footer="0" w:header="0"/>
          <w:type w:val="continuous"/>
        </w:sectPr>
      </w:pPr>
    </w:p>
    <w:p>
      <w:pPr>
        <w:spacing w:after="0" w:line="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2016, the Company and holders of an aggregate of 3,096,665 outstanding Series A Warrants, Series A-1 Warrants, Series C Warrants, Series C-1 Warrants, Series D Warrants, Series D-1 Warrants, Series E Warrants and Series E-1 Warrants entered into warrant amendment agreements (the “Amended Warrants”) in which they agreed to amend the terms of the outstanding series warrants to remove provisions that had previously precluded equity classification treatment on the Company’s balance sheets.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consideration for such amendment and the exercise of the Series C Warrants and Series C-1 Warrants, the Company issued an aggregate of 750,000 additional shares of common stock to such warrant holders and new five-year warrants to purchase 1,000,000 shares of Company common stock at an exercise price of $7.20 per share. The value of the shares and fair value of the warrants was treated as dividend on the statement of stockholders’ equity of $4.5 million.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Amended Warrants was re-measured immediately prior to the date of amendment with changes in fair value recorded as a gain of $556,000 in the statement of operations and $15.5 million was reclassified to equity.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1" w:name="page12"/>
    <w:bookmarkEnd w:id="11"/>
    <w:p>
      <w:pPr>
        <w:spacing w:after="0"/>
        <w:tabs>
          <w:tab w:leader="none" w:pos="9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components of stock-based compensation expense in the condensed consolidated statements of operations for the three and nine months ended September 30, 2016 and 2015,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Arial" w:cs="Arial" w:eastAsia="Arial" w:hAnsi="Arial"/>
                <w:sz w:val="18"/>
                <w:szCs w:val="18"/>
                <w:b w:val="1"/>
                <w:bCs w:val="1"/>
                <w:color w:val="auto"/>
                <w:w w:val="93"/>
              </w:rPr>
              <w:t>Three Months Ended September 30,</w:t>
            </w:r>
          </w:p>
        </w:tc>
        <w:tc>
          <w:tcPr>
            <w:tcW w:w="2880" w:type="dxa"/>
            <w:vAlign w:val="bottom"/>
            <w:gridSpan w:val="9"/>
          </w:tcPr>
          <w:p>
            <w:pPr>
              <w:ind w:left="10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573,137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13,244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1,309,109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261,805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Total stock-based compensation</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573,137</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13,244</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1,309,109</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261,805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60" w:type="dxa"/>
            <w:vAlign w:val="bottom"/>
            <w:gridSpan w:val="4"/>
          </w:tcPr>
          <w:p>
            <w:pPr>
              <w:spacing w:after="0"/>
              <w:rPr>
                <w:sz w:val="20"/>
                <w:szCs w:val="20"/>
                <w:color w:val="auto"/>
              </w:rPr>
            </w:pPr>
            <w:r>
              <w:rPr>
                <w:rFonts w:ascii="Arial" w:cs="Arial" w:eastAsia="Arial" w:hAnsi="Arial"/>
                <w:sz w:val="18"/>
                <w:szCs w:val="18"/>
                <w:color w:val="auto"/>
              </w:rPr>
              <w:t>A summary of the Company’s stock option activity is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w w:val="87"/>
              </w:rPr>
              <w:t>Weighted Average</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Weighted Average</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Exercise Price</w:t>
            </w:r>
          </w:p>
        </w:tc>
        <w:tc>
          <w:tcPr>
            <w:tcW w:w="18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Remaining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Stock Options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per Share</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w w:val="96"/>
              </w:rPr>
              <w:t>Contractual Life</w:t>
            </w:r>
          </w:p>
        </w:tc>
        <w:tc>
          <w:tcPr>
            <w:tcW w:w="200" w:type="dxa"/>
            <w:vAlign w:val="bottom"/>
          </w:tcPr>
          <w:p>
            <w:pPr>
              <w:spacing w:after="0"/>
              <w:rPr>
                <w:sz w:val="20"/>
                <w:szCs w:val="20"/>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Intrinsic Value</w:t>
            </w: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298,679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Granted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tcPr>
          <w:p>
            <w:pPr>
              <w:ind w:left="300"/>
              <w:spacing w:after="0"/>
              <w:rPr>
                <w:sz w:val="20"/>
                <w:szCs w:val="20"/>
                <w:color w:val="auto"/>
              </w:rPr>
            </w:pPr>
            <w:r>
              <w:rPr>
                <w:rFonts w:ascii="Arial" w:cs="Arial" w:eastAsia="Arial" w:hAnsi="Arial"/>
                <w:sz w:val="18"/>
                <w:szCs w:val="18"/>
                <w:color w:val="auto"/>
              </w:rPr>
              <w:t>Exercised</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Forfeited/Cancelled</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228.00</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80" w:type="dxa"/>
            <w:vAlign w:val="bottom"/>
            <w:vMerge w:val="continue"/>
          </w:tcPr>
          <w:p>
            <w:pPr>
              <w:spacing w:after="0"/>
              <w:rPr>
                <w:sz w:val="21"/>
                <w:szCs w:val="21"/>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2016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432,013</w:t>
            </w:r>
          </w:p>
        </w:tc>
        <w:tc>
          <w:tcPr>
            <w:tcW w:w="1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 w:type="dxa"/>
            <w:vAlign w:val="bottom"/>
            <w:vMerge w:val="restart"/>
          </w:tcPr>
          <w:p>
            <w:pPr>
              <w:spacing w:after="0"/>
              <w:rPr>
                <w:sz w:val="17"/>
                <w:szCs w:val="17"/>
                <w:color w:val="auto"/>
              </w:rPr>
            </w:pPr>
          </w:p>
        </w:tc>
        <w:tc>
          <w:tcPr>
            <w:tcW w:w="3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September 30, 2016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262,395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stock-based compensation cost related to unvested awards not yet recognized and the weighted average periods over which the awards are expected to be recognized as of September 30, 2016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Unrecognized stock-based compensation cost:</w:t>
            </w:r>
          </w:p>
        </w:tc>
        <w:tc>
          <w:tcPr>
            <w:tcW w:w="1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1,081,000</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Expected weighted average period compensation costs to be recognized (years):</w:t>
            </w:r>
          </w:p>
        </w:tc>
        <w:tc>
          <w:tcPr>
            <w:tcW w:w="18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1.75</w:t>
            </w:r>
          </w:p>
        </w:tc>
      </w:tr>
    </w:tbl>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September 30, 2016, the Company had an outstanding promissory note in the amount of $5,000 as compared to two outstanding promissory notes totaling $30,000 at December 31, 2015. The promissory note outstanding at September 30, 2016 bears 10% annual interest.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2016, the Company paid a $25,000 promissory note and $6,524 of accrued interest in final settlement.</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PROMISSORY NOTE,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2015, the Company had an outstanding promissory note in the amount of $23,000 owed to an officer of the Company. The promissory note bore no interest charges and had no fixed repayment terms. In September 2016, the note was paid in full.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spacing w:after="0"/>
        <w:tabs>
          <w:tab w:leader="none" w:pos="9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September 16, 2016, the Company effected a one for twelve reverse stock-split of our issued and outstanding common stock and has retroactively adjusted our common shares outstanding, options and warrants amounts outstanding. The Company has presented its share data for and as of all periods presented on this basis. The par value was not adjusted as a result of the one for twelve reverse stock split. All prior period share transactions included in the Company’s stock transactions and balances have been retroactively restated.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Private placements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2016 and August 25, 2016, the Company completed private placements of units with certain accredited investors. The units consisted of (i) one share of the Company’s common stock, par value $0.001 per share and (ii) one five-year warrant to purchase one share of Company common stock for $6.00. The Company issued and sold an aggregate of 653,166 units at a purchase price per unit of $4.80 for an aggregate of approximately $3.1 million. The Company incurred approximately $0.8 million in agency fees and legal costs.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issued five-year warrants to the placement agent in the offering providing for the purchase of up to 65,317 shares of Company common stock for $4.80 per share.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registration rights agreements entered into in connection with the private placements, the Company is required to file a registration statement with the Securities and Exchange Commission registering for resale (a) the common stock issued in the private placement offering; (b) the shares of common stock issuable upon the exercise of the five-year warrants; and (c) the shares of common stock issuable upon the exercise of the warrants issued to the placement agent. The Company is required to file the registration statement within 120 days of the August 10, 2016 closing or by December 8, 2016. The Company is also required to ensure that the registration statement is declared effective within 90 calendar days after filing with the Securities and Exchange Commission, or by March 8, 2017.</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registration rights agreements, should the Company fail to meet the above criteria, the Company is subject to pay the investors liquidated damages. The liquidated damages shall be a cash sum payment calculated at a rate of ten percent (10%) per annum of the aggregate purchase price for the registrable securities or aggregate amount upon exercise of the placement agent warrants.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applicable U.S. generally accepted accounting principles, a contingent obligation to make future payments must be recorded if the transfer of consideration under a registration payment arrangement is probable and can be reasonably estimated. The Company has determined that should it be required to pay liquidated damages to the investors of the private placements, the aggregate contingent liability it would be required to record would be approximately $29,000 per month for each month it fails or is estimated to fail to meet the above criteria.</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At the August 10, 2016 and August 26,2016 private placement closings, and on September 30, 2016, the Company concluded that it is not probable that it will be required to remit any payments to the investors for failing to obtain an effective registration statement or failing to maintain its effectiveness.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Amendment Transaction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2016, the Company and holders of an aggregate of 3,096,665 outstanding Series A Warrants, Series A-1 Warrants, Series C Warrants, Series C-1 Warrants, Series D Warrants, Series D-1 Warrants, Series E Warrants and Series E-1 Warrants entered into warrant amendment agreements (the “Amended Warrants”) in which they agreed to amend the terms of the outstanding series warrants to remove provisions that had previously precluded equity classification treatment on the Company’s balance sheets.</w:t>
      </w:r>
    </w:p>
    <w:p>
      <w:pPr>
        <w:spacing w:after="0" w:line="18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consideration for such amendment and the exercise of the Series C Warrants and Series C-1 Warrants, the Company issued an aggregate of 750,000 additional shares of common stock to such warrant holders and new five-year warrants to purchase 1,000,000 shares of Company common stock at an exercise price of $7.20 per share. The value of the shares and fair value of the warrants was treated as dividend on the statement of stockholders’ equity of $4.5 million.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u w:val="single" w:color="auto"/>
          <w:color w:val="auto"/>
        </w:rPr>
        <w:t>Share Purchase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share purchase warrants as of September 30, 2016 and changes during the period is presented below:</w:t>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auto"/>
                <w:w w:val="95"/>
              </w:rPr>
              <w:t>Weighted Average</w:t>
            </w:r>
          </w:p>
        </w:tc>
      </w:tr>
      <w:tr>
        <w:trPr>
          <w:trHeight w:val="230"/>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Warrants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Exercise Price</w:t>
            </w: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4,343,000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780" w:type="dxa"/>
            <w:vAlign w:val="bottom"/>
          </w:tcPr>
          <w:p>
            <w:pPr>
              <w:ind w:left="140"/>
              <w:spacing w:after="0"/>
              <w:rPr>
                <w:sz w:val="20"/>
                <w:szCs w:val="20"/>
                <w:color w:val="auto"/>
              </w:rPr>
            </w:pPr>
            <w:r>
              <w:rPr>
                <w:rFonts w:ascii="Arial" w:cs="Arial" w:eastAsia="Arial" w:hAnsi="Arial"/>
                <w:sz w:val="18"/>
                <w:szCs w:val="18"/>
                <w:color w:val="auto"/>
              </w:rPr>
              <w:t>Expired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2016</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2016, the Company issued 60,000 common shares as part of consulting agreements. The fair value of the common stock of approximately $414,000 was recognized as stock-based compensation in general and administrative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Settlement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2016, the Company issued 10,191 common shares as part of debt conversion agreements from 2014. The fair value of the common stock of approximately $70,000 was recognized as loss on debt settlement agreements in other income (expense).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2016, the Company paid $27,000 for a promissory note from 2008 and related $38,000 of accrued interest. The $65,000 payment was recognized as loss on debt settlement agreements in other income (expense).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11:</w:t>
        <w:tab/>
        <w:t>GRANT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2016, the Company received approximately $231,000 of grant awarded to Mayo Foundation from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Department of Defense for the Phase II Clinical Trial of TPIV 200. The grant paid for the clinical supplies purchased by the Company.</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12:</w:t>
        <w:tab/>
        <w:t>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November 2015, the Company entered into an employment agreement with Dr. Glynn Wilson, the Company’s Chief Executive Officer, President and Chairman of the Company. As part of the agreement, Dr. Wilson was awarded 19,018 fully vested common shares in March 2016. The fair value of the common stock of approximately $146,000 was recognized as stock-based compensation in general and administrative expense.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2016, the Company entered into an employment agreement with Dr. John Bonfiglio relating to his appointment as the Company’s President and Chief Operating Officer. As part of the agreement, Dr. Bonfiglio was awarded 20,833 common shares, which will vest upon the earlier of (i) the listing of the Company’s common stock on a national securities exchange in the United States or (ii) the first anniversary of the employment agreement, so long as Dr. Bonfiglio is employed with the Company. The fair value of the common stock of approximately $103,000 was recognized as stock-based compensation in general and administrative expense.</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August 2016, the Company appointed Michael Loiacono as the Company’s Chief Financial Officer, Chief Accounting Officer, Secretary and Treasurer. In connection with Mr. Loiacono’s appointment he entered into an employment agreement with the Company. The employment agreement provides that Mr. Loiacono’s base salary will be $200,000 per year and he is eligible for an annual performance bonus of up to 50% of his base salary. The term of the employment agreement is for two years and will be automatically extended for an additional 12 months unless terminated by Mr. Loiacono or the Company.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The following should be read in conjunction with our unaudited consolidated interim financial statements and related notes for the three and nine months ended September 30, 2016 included in this quarterly report, as well as our Annual Report on Form 10-K for the year ended December 31,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Cancer Vaccines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clinical-stage immuno-oncology company specializing in the development of innovative peptide and gene-based immunotherapeutics and vaccines for the treatment of cancer &amp; metastatic disease. We are also developing a proprietary technology to improve the ability of the cellular immune system to recognize and destroy diseased cells. This DNA expression technology named Polystart is in preclinical development.</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enhance shareholder value and taking into account development timelines, we plan to focus on advancing our clinical programs including our Folate Receptor Alpha program for breast and ovarian cancer and our HER2/neu peptide antigen program into Phase II clinical trials. In parallel, we plan to complete the preclinical development of our Polystart technology as an integral component of our prime-and-boost vaccine methodology.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Immunotherapy Industry for Cancer</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Immuno-oncology has become the most rapidly growing sector in the pharmaceutical and biotech industry. The approval and success of checkpoint inhibitors Yervoy and Opdivo (Bristol Myers Squibb) and Keytruda (Merck &amp; Co.) together with the development of CAR T-cell therapies (Juno Therapeutics, Kite Pharma) has provided much momentum in this sector. In addition, new evidence points to the increasing use of combination immunotherapies for the treatment of cancer. This has provided greater opportunities for the successful development of T-cell vaccines in combination with other approaches.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Technology in Development-Clinical</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Folate Alpha Breast and Ovarian Cancer – Mayo Clinic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Folate Receptor Alpha is expressed in over 80% of triple negative breast cancers and in addition, over 90% of ovarian cancers, for which the only treatment options are surgery, radiation and chemotherapy, leaving a very important and urgent clinical need for a new therapeutic. Time to recurrence is relatively short for these types of cancer and survival prognosis is extremely poor after recurrence. In the United States alone, there are approximately 30,000 ovarian cancer patients and 40,000 triple negative breast cancer patients newly diagnosed every year.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TPIV 200 Folate Receptor Alpha</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24 patient Phase I clinical trial has been completed. The vaccine is well tolerated and safe and 20 out of 21 evaluable patients showed positive immune responses providing a strong rationale rational for progressing to phase II trials. GMP manufacturing for Phase II trials is progressing well towards a commercial formulation and final analyses of clinical plans are near completion. On July 27, 2015, TapImmune exercised its option agreement with Mayo Clinic with the signing of a worldwide exclusive license agreement to commercialize a proprietary folate receptor alpha vaccine technology for all cancer indications. As part of this Agreement, the IND for the folate receptor alpha Phase I trial was transferred from Mayo to TapImmune for amendment for the Company’s Phase II Clinical Trials on our lead product.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15, 2015, we announced that our collaborators at the Mayo Clinic had been awarded a grant of $13.3 million from the U.S. Department of Defense. This grant, commencing September 15, 2015, will cover the costs for a 280 patient Phase II Clinical Trial of Folate Receptor Alpha Vaccine in patients with Triple Negative Breast Cancer. TapImmune will work closely with Mayo Clinic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9, 2015, we announced that we received Orphan Drug Designation from the U.S. Food &amp; Drug Administration’s Office of Orphan Products Development (OOPD) for our cancer vaccine TPIV 200 in the treatment of ovarian cancer. The TPIV 200 ovarian cancer clinical program will now receive benefits including tax credits on clinical research and 7-year market exclusivity upon receiving marketing approval. TPIV 200 is a multi-epitope peptide vaccine that targets Folate Receptor Alpha which is overexpressed in multiple cancers.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3, 2016 we announced that the U.S. Food &amp; Drug Administration (FDA) has designated the investigation of multiple-epitope Folate Receptor Alpha Peptide Vaccine (TPIV 200) with GM-CSF adjuvant for maintenance therapy in subjects with platinum-sensitive advanced ovarian cancer who achieved stable disease or partial response following completion of standard of care chemotherapy, as a Fast Track Development Program. A Phase 2 study in this indication is being readied for initiation by the end of 2016.</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currently enrolling a Company sponsored triple negative breast cancer study at 8 clinical sites nation-wide. The study will enroll 80 patients. It is open-label and designed to look at dosing regimens, immune responses and efficacy.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also announced the start of an ovarian cancer study sponsored by Memorial Sloan Kettering Cancer Center in New York City in collaboration with Astra Zeneca Pharmaceuticals. This study is currently enrolling platinum resistant ovarian cancer patients and is designed to look at the effects of combination therapy with Astra Zeneca’s checkpoint inhibitor durvalamab. The study will enroll 40 patients and is open label. Although we have no business relationship with Astra Zeneca, we are paying for half of the clinical study plus providing our TPIV 200 for the study.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Phase I Human Clinical Trials – HER2/neu+ Breast Cancer – Mayo Clinic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Patient dosing has been completed. Final safety analysis on all the patients treated is complete and shown to be safe. In addition, 19 out of 20 evaluable patients showed robust T-cell immune responses to the antigens in the vaccine composition providing a solid case for advancement to Phase II in 2015. An additional secondary endpoint incorporated into this Phase I Trial will be a two year follow on recording time to disease recurrence in the participating breast cancer patients.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in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Technology-Preclinical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Polystart</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 converted the previously filed U.S. Provisional Patent Application on Polystart into a full Patent Application, and in February 2016 we received a Notice of Allowance from the U.S. Patent and Trademark Office (USPTO) for a patent application entitled, “A chimeric nucleic acid molecule with non-AUG initiation sequences.” The term of this patent extends to March 17, 2034. Additional patent filings are in progress. We plan to develop PolyStart as both a stand-alone therapy and as a ‘boost strategy’ to be used synergistically with our peptide-based vaccines for breast and ovarian cancer.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Current State of the Company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clinical-stage immunotherapy company specializing in the development of innovative peptide and gene-based immunotherapeutics and vaccines for the treatment of cancer. We now plan to conduct multiple Phase II clinical trials on our vaccines. The largest of these studies in triple-negative breast cancer is totally funded by a $13.3 million grant from the U.S. Department of Defense to our collaborators at the Mayo Clinic in Jacksonville, Florida. A Company-sponsored trial in triple negative breast cancer started during the second quarter of 2016 with recruitment at multiple sites and treatment of first patients. We believe that our development pipeline is strong and provides us the opportunity to continue to expand on collaborations with leading institutions and corporations.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strength of our science and development approaches is becoming more widely appreciated, particularly as our clinical program has now generated positive interim data on both clinical programs in Breast and Ovarian Cancer.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be focused on our entry into Phase II Triple Negative Cancer Trials including application for Fast Track &amp; Orphan Drug Status as well as planning for Phase II HER2/neu Breast Cancer Trials.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prosecute our PolyStart patent filings and develop new constructs to facilitate collaborative efforts in our current clinical indications and those where others have already indicated interest in combination therapies.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these fundamental programs and corporate activities have positioned TapImmune to capitalize on the acceptance of immunotherapy as a leading therapeutic strategy in cancer and infectious disease.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TapImmune’s Pipeline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152400</wp:posOffset>
            </wp:positionV>
            <wp:extent cx="5240020" cy="3490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40020" cy="349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 pipeline of potential immunotherapies under development. Phase I clinical programs on HER2/neu for breast and ovarian cancer have been completed and strong immune responses in over 90% of patients treated has provided the rationale and catalyst to advance these programs to Phase II clinical trials.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both"/>
        <w:spacing w:after="0" w:line="286" w:lineRule="auto"/>
        <w:rPr>
          <w:sz w:val="20"/>
          <w:szCs w:val="20"/>
          <w:color w:val="auto"/>
        </w:rPr>
      </w:pPr>
      <w:r>
        <w:rPr>
          <w:rFonts w:ascii="Arial" w:cs="Arial" w:eastAsia="Arial" w:hAnsi="Arial"/>
          <w:sz w:val="17"/>
          <w:szCs w:val="17"/>
          <w:color w:val="auto"/>
        </w:rPr>
        <w:t>In addition to the exciting clinical developments, our peptide vaccine technology may be coupled with our recently developed in-house Polystart nucleic acid-based technology designed to make vaccines significantly more effective by producing four times the required peptides for the immune systems to recognize and act on. Our nucleic acid-based systems can also incorporate “TAP” which stands for Transporter associated with Antigen Presentation.</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have three active patent families that we are supporting:</w:t>
      </w:r>
    </w:p>
    <w:p>
      <w:pPr>
        <w:spacing w:after="0" w:line="225" w:lineRule="exact"/>
        <w:rPr>
          <w:sz w:val="20"/>
          <w:szCs w:val="20"/>
          <w:color w:val="auto"/>
        </w:rPr>
      </w:pPr>
    </w:p>
    <w:p>
      <w:pPr>
        <w:ind w:firstLine="8"/>
        <w:spacing w:after="0" w:line="277" w:lineRule="auto"/>
        <w:tabs>
          <w:tab w:leader="none" w:pos="198"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patents on PolyStart expression vector (owned by TapImmune and filed in 2014: this IP covers the use with TAP). The Company announced the allowance of this patent in February 2016.</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patents on HER2/neu Class II and Class I antigens: exclusive license from Mayo Foundation;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patents on Folate Receptor Alpha antigens: exclusive license from Mayo Foundation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While the pathway to successful product development takes time, we believe we have put in place significant for success. The strength of our product pipeline and access to leading scientists and institutions gives us a unique opportunity to make a major contribution to global health care.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for prostate cancer and Yervoy™ for metastatic melanoma, progression of the areas of checkpoint inhibitors and adoptive T-cell therapy and multiple approaches reaching Phase II and Phase III status.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through our combination of technologies, we are well positioned to be a leading player in this emerging market. It is important to note that many of the late stage immunotherapies currently in development do not represent competition to our programs, but instead offer synergistic opportunities to partner our antigen based immunotherapeutics, and Polystart expression system. Thus, the use of naturally processed T-cell antigens discovered using samples derived from cancer patients plus our Polystart expression technology to improve antigen presentation to T-cells could not only produce an effective cancer vaccine in its own right but also to enhance the efficacy of other immunotherapy approaches such as CAR-T and PD1 inhibitors for example.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Company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Her2neu License Agreement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7, 2016 we announced that we exercised our option agreement with Mayo Clinic and signed a worldwide license agreement to a proprietary HER2neu vaccine technology. The license gives us the right to develop and commercialize the technology in any cancer indication in which the Her2neu antigen is overexpressed.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II Trials Started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26, 2016 we announced plans to participate in a Phase 2 trial of our cancer vaccine, TPIV 200, a multi-epitope anti-folate receptor vaccine (FRα), in combination with durvalumab (MEDI4736), an anti-PD-L1 antibody, in patients with platinum-resistant ovarian cancer. The study started with the enrollment and treatment of patients in the second quarter of 2016 at Memorial Sloan Kettering Cancer Center in New York and is being led by Jason Konner, M.D. as Principal Investigator. On June 21, 2016, we announced the treatment of the first patient in a company-sponsored Phase II trial in triple negative breast cancer as part of a multi-center study.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April 7, 2016, we announced that we have successfully completed formulation development, scale-up, GMP (Good Manufacturing Practice) manufacturing, and the release of TPIV 200, our multi-epitope folate receptor peptide vaccine for breast and ovarian cancer. The manufactured product contains five peptide antigens freeze dried in a single vial, ready for injection after reconstitution and addition of granulocyte-macrophage colony-stimulating factor (GM-CSF). TPIV 200 doses are now available for the upcoming Phase II clinical trials in both triple negative breast cancer and ovarian cancer.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u w:val="single" w:color="auto"/>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2 TPIV 200 Trial in Triple Negative Breast Cancer</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opened 8 clinical sites and begun treating patients in a Phase 2 trial of our Folate Receptor Alpha cancer vaccine, TPIV 200, in the treatment of triple negative breast cancer, one of the most difficult to treat cancers representing a clear unmet medical need. The open-label, 80 patient clinical trial is designed to evaluate dosing regimens, adjuvants, efficacy, and immune responses in women with triple negative breast cancer. Key data from the trial is expected to be included in a future New Drug Application submission to the FDA for marketing clearance. This trial is sponsored and conducted by TapImmune.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2 Trial at Memorial Sloan Kettering of TPIV 200 in Ovarian Cancer</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Phase 2 study of TPIV 200 in ovarian cancer patients who are not responsive to platinum, a commonly used chemotherapy for ovarian cancer, sponsored by Memorial Sloan Kettering Cancer Center, and in collaboration with AstraZeneca and TapImmune, has begun enrollment for a 40 patient study. The open-label study is designed to evaluate a combination therapy which includes our TPIV 200 T-cell vaccine and AstraZeneca’s checkpoint inhibitor, durvalumab. Because they are unresponsive to platinum, these patients have no real options left. If the combination therapy proves effective, we believe it would address a critical unmet need. TPIV 200 has received Orphan Drug designation for use in the treatment of ovarian cancer.</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Enrollment to Commence in Q4 2016: Phase 2 Mayo Clinic-U.S. DOD Trial of TPIV 200 in Triple Negative Breast Cancer </w:t>
      </w:r>
      <w:r>
        <w:rPr>
          <w:rFonts w:ascii="Arial" w:cs="Arial" w:eastAsia="Arial" w:hAnsi="Arial"/>
          <w:sz w:val="16"/>
          <w:szCs w:val="16"/>
          <w:color w:val="auto"/>
        </w:rPr>
        <w:t>We anticipate this Phase 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study of TPIV 200 in the treatment of triple negative breast cancer, conducted by the Mayo Clinic and sponsored by the U.S. Department of Defense (DOD), will begin to enroll patients in the fourth quarter of this year. The anticipated 280 patient study will be led by Dr. Keith Knutson of the Mayo Clinic in Jacksonville, Florida. Dr. Knutson is the inventor of the technology and an advisor to TapImmune. While TapImmune is supplying doses of TPIV 200 for the trial, the remaining costs associated with conducting this study will be funded by a $13.3 million grant made by the DOD to the Mayo Clinic.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Sites to Open in Q4 2016: Phase 2 TPIV 200 Trial in Platinum-Sensitive Ovarian Cancer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By the end of 2016, we expect to have at least one clinical site open in a Phase 2 trial of TPIV 200 in 80 ovarian cancer patients who are responsive to platinum. We have received the FDA’s Fast Track designation to develop TPIV 200 as a maintenance therapy in combination with platinum, in platinum responsive ovarian cancer. This multi-center, double-blind efficacy study is sponsored and conducted by TapImmune.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IND with FDA for TPIV 110 in Q4 2016 or in Q1 2017: Phase 2 Protocol Now in Preparation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reformulated our second cancer vaccine product, TPIV 110, following very strong safety and immune responses from a Phase 1 Mayo Clinic study. TPIV 110 targets Her2/neu, which makes it applicable to breast, ovarian and colorectal cancer. The reformulated product adds a fifth antigen which should produce an even more robust immune response activating both CD4+ and CD8+ T-cells. We have requested a pre-Investigational New Drug (IND) meeting with the FDA and submitted questions to the FDA related to opening the IND. A response from the FDA is expected in September and we anticipate having an open IND by year-end pending comments from FDA. The protocol for a Phase 2 trial of TPIV 110 in the treatment of Her2/neu positive breast cancer patients has been designed and is now being reviewed by our Scientific Advisory Board and collaborators.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TPIV Products are Off-the-Shelf, Commercially Viable, with Excellent Potential Margins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continuously working on improving our product formulation and supply. We believe TPIV 200 and TPIV 110 are both very stable, off-the-shelf, lyophilized products that only require reconstitution at the clinical site before injection. We believe the investments we have made in the formulation work we have performed will result in a commercially viable product with excellent potential profit margins.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Robust Product Data &amp; Independent Vetting Key to High-Value Collaborations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 Phase 1 data produced for both TPIV 200 and TPIV 100 in collaboration with the Mayo Clinic are the driving force behind the high-value collaborations we have been able to maintain and establish with organizations including Mayo Clinic, AstraZeneca, Sloan Kettering, and the U.S. Department of Defense. As we move forward into advancing the Phase 2 studies, some of which are represent collaboration with prestigious third party organizations, we believe this represents further independent vetting of potential of our technology.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Company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16, 2016, at the opening of trading, we effected a one-for-twelve reverse split of our common shares. The common shares began trading on a split-adjusted basis on September 16, 2016. The reverse stock split was effected in connection with the Company’s intent to apply to list the common stock on the NASDAQ Capital Market. On November 2, 2016, we received notification that we were approved for listing on The Nasdaq Capital Market. Our common stock is expected to begin trading on The Nasdaq Capital Market at the opening of trading on Tuesday, November 8, 2016 under the ticker symbol, TPIV.</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historical financial results have been adjusted to reflect a reduction in the number of shares of our outstanding common stock from 62,890,763 shares to 5,240,897 shares at September 30, 2015 and from 70,550,763 shares to 5,879,230 shares at December 31, 2015. In addition, effective upon the reverse stock split, the number of authorized shares of our common stock was reduced from 500 million shares to 41,666,667 shares. All fractional shares resulting from the reverse stock split were rounded up to the nearest whole share. All share data herein has been retroactively adjusted for the reverse stock split. The par value was not adjusted as a result of the one for twelve reverse stock split.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2016 Private Placement Transaction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2016 and August 25, 2016, the Company completed private placements of units with certain accredited investors. The units consisted of (i) one share of the Company’s common stock, par value $0.001 per share and (ii) one five-year warrant to purchase one share of Company common stock for $6.00. The Company issued and sold an aggregate of 653,166 units at a purchase price per unit of $4.80 for an aggregate of approximately $3.1 million. The Company incurred approximately $0.8 million in agency fees and legal costs.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issued five-year warrants to the placement agent in the offering providing for the purchase of up to 65,317 shares of Company common stock for $4.80 per share.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registration rights agreements entered into in connection with the private placements, the Company is required to file a registration statement with the Securities and Exchange Commission registering for resale (a) the common stock issued in the private placement offering; (b) the shares of common stock issuable upon the exercise of the five-year warrants; and (c) the shares of common stock issuable upon the exercise of the warrants issued to the placement agent. The Company is required to file the registration statement within 120 days of the August 10, 2016 closing or by December 8, 2016. The Company is also required to ensure that the registration statement is declared effective within 90 calendar days after filing with the Securities and Exchange Commission, or by March 8, 2017.</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registration rights agreements, should the Company fail to meet the above criteria, the Company is subject to pay the investors liquidated damages. The liquidated damages shall be a cash sum payment calculated at a rate of ten percent (10%) per annum of the aggregate purchase price for the registrable securities or aggregate amount upon exercise of the placement agent warrants.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applicable U.S. generally accepted accounting principles, a contingent obligation to make future payments must be recorded if the transfer of consideration under a registration payment arrangement is probable and can be reasonably estimated. The Company has determined that should it be required to pay liquidated damages to the investors of the private placements, the aggregate contingent liability it would be required to record would be approximately $29,000 per month for each month it fails or is estimated to fail to meet the above criteria.</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At the August 10, 2016 and August 26,2016 private placement closings, and on September 30, 2016, the Company concluded that it is not probable that it will be required to remit any payments to the investors for failing to obtain an effective registration statement or failing to maintain its effectiveness.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2016 Warrant Exercises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11, 2016, holders of an aggregate of 583,333 outstanding Series C Warrants and 416,667 Series C-1 Warrants, each providing for the purchase of one share of our common stock for $6.00 per share, exercised their warrants for an aggregate exercise price of $6,000,000.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2016 Warrant Amendments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Simultaneous with the exercise of the warrants, we and holders of an aggregate of 3,096,665 outstanding Series A Warrants, Series A-1 Warrants, Series C Warrants, Series C-1 Warrants, Series D Warrants, Series D-1 Warrants, Series E Warrants and Series E-1 Warrants (the “Outstanding Series Warrants”) entered into Warrant Amendment Agreements (the “Amendment Agreement”), in which they agreed to amend the terms of the Outstanding Series Warrants to remove provisions from the Outstanding Series Warrants that had previously caused them to be classified as a derivative liability as opposed to equity on our balance sheet. In consideration for such amendment and the exercise of the Series C Warrants and Series C-1 Warrants, we issued an aggregate of 750,000 additional shares of common stock to such warrant holders and new five-year warrants to purchase 1 million shares of our common stock at an exercise price of $7.20 per share (the “Series F and F-1Warrants”).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The following table reflects the status of the outstanding warrants from the January 2015, March 2015, and August 2016 private placement financings (including placement agent warrants) following the Amendment Agreement and private placement:</w:t>
      </w:r>
    </w:p>
    <w:p>
      <w:pPr>
        <w:spacing w:after="0" w:line="180" w:lineRule="exact"/>
        <w:rPr>
          <w:sz w:val="20"/>
          <w:szCs w:val="20"/>
          <w:color w:val="auto"/>
        </w:rPr>
      </w:pPr>
    </w:p>
    <w:p>
      <w:pPr>
        <w:ind w:left="1140"/>
        <w:spacing w:after="0"/>
        <w:tabs>
          <w:tab w:leader="none" w:pos="2880" w:val="left"/>
          <w:tab w:leader="none" w:pos="4800" w:val="left"/>
          <w:tab w:leader="none" w:pos="6160" w:val="left"/>
        </w:tabs>
        <w:rPr>
          <w:sz w:val="20"/>
          <w:szCs w:val="20"/>
          <w:color w:val="auto"/>
        </w:rPr>
      </w:pPr>
      <w:r>
        <w:rPr>
          <w:rFonts w:ascii="Arial" w:cs="Arial" w:eastAsia="Arial" w:hAnsi="Arial"/>
          <w:sz w:val="18"/>
          <w:szCs w:val="18"/>
          <w:b w:val="1"/>
          <w:bCs w:val="1"/>
          <w:color w:val="auto"/>
        </w:rPr>
        <w:t>Series</w:t>
      </w:r>
      <w:r>
        <w:rPr>
          <w:sz w:val="20"/>
          <w:szCs w:val="20"/>
          <w:color w:val="auto"/>
        </w:rPr>
        <w:tab/>
      </w:r>
      <w:r>
        <w:rPr>
          <w:rFonts w:ascii="Arial" w:cs="Arial" w:eastAsia="Arial" w:hAnsi="Arial"/>
          <w:sz w:val="18"/>
          <w:szCs w:val="18"/>
          <w:b w:val="1"/>
          <w:bCs w:val="1"/>
          <w:color w:val="auto"/>
        </w:rPr>
        <w:t>Outstanding Warrants</w:t>
      </w:r>
      <w:r>
        <w:rPr>
          <w:sz w:val="20"/>
          <w:szCs w:val="20"/>
          <w:color w:val="auto"/>
        </w:rPr>
        <w:tab/>
      </w:r>
      <w:r>
        <w:rPr>
          <w:rFonts w:ascii="Arial" w:cs="Arial" w:eastAsia="Arial" w:hAnsi="Arial"/>
          <w:sz w:val="18"/>
          <w:szCs w:val="18"/>
          <w:b w:val="1"/>
          <w:bCs w:val="1"/>
          <w:color w:val="auto"/>
        </w:rPr>
        <w:t>Exercise Price</w:t>
      </w:r>
      <w:r>
        <w:rPr>
          <w:sz w:val="20"/>
          <w:szCs w:val="20"/>
          <w:color w:val="auto"/>
        </w:rPr>
        <w:tab/>
      </w:r>
      <w:r>
        <w:rPr>
          <w:rFonts w:ascii="Arial" w:cs="Arial" w:eastAsia="Arial" w:hAnsi="Arial"/>
          <w:sz w:val="16"/>
          <w:szCs w:val="16"/>
          <w:b w:val="1"/>
          <w:bCs w:val="1"/>
          <w:color w:val="auto"/>
        </w:rPr>
        <w:t>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17145</wp:posOffset>
            </wp:positionV>
            <wp:extent cx="579755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p>
      <w:pPr>
        <w:spacing w:after="0" w:line="47"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780" w:type="dxa"/>
            <w:vAlign w:val="bottom"/>
            <w:gridSpan w:val="3"/>
          </w:tcPr>
          <w:p>
            <w:pPr>
              <w:spacing w:after="0" w:line="176" w:lineRule="exact"/>
              <w:rPr>
                <w:sz w:val="20"/>
                <w:szCs w:val="20"/>
                <w:color w:val="auto"/>
              </w:rPr>
            </w:pPr>
            <w:r>
              <w:rPr>
                <w:rFonts w:ascii="Arial" w:cs="Arial" w:eastAsia="Arial" w:hAnsi="Arial"/>
                <w:sz w:val="18"/>
                <w:szCs w:val="18"/>
                <w:color w:val="auto"/>
              </w:rPr>
              <w:t>A</w:t>
            </w:r>
          </w:p>
        </w:tc>
        <w:tc>
          <w:tcPr>
            <w:tcW w:w="1740" w:type="dxa"/>
            <w:vAlign w:val="bottom"/>
          </w:tcPr>
          <w:p>
            <w:pPr>
              <w:jc w:val="right"/>
              <w:spacing w:after="0" w:line="176" w:lineRule="exact"/>
              <w:rPr>
                <w:sz w:val="20"/>
                <w:szCs w:val="20"/>
                <w:color w:val="auto"/>
              </w:rPr>
            </w:pPr>
            <w:r>
              <w:rPr>
                <w:rFonts w:ascii="Arial" w:cs="Arial" w:eastAsia="Arial" w:hAnsi="Arial"/>
                <w:sz w:val="18"/>
                <w:szCs w:val="18"/>
                <w:color w:val="auto"/>
              </w:rPr>
              <w:t>214,433</w:t>
            </w:r>
          </w:p>
        </w:tc>
        <w:tc>
          <w:tcPr>
            <w:tcW w:w="2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gridSpan w:val="3"/>
          </w:tcPr>
          <w:p>
            <w:pPr>
              <w:spacing w:after="0"/>
              <w:rPr>
                <w:sz w:val="20"/>
                <w:szCs w:val="20"/>
                <w:color w:val="auto"/>
              </w:rPr>
            </w:pPr>
            <w:r>
              <w:rPr>
                <w:rFonts w:ascii="Arial" w:cs="Arial" w:eastAsia="Arial" w:hAnsi="Arial"/>
                <w:sz w:val="18"/>
                <w:szCs w:val="18"/>
                <w:color w:val="auto"/>
              </w:rPr>
              <w:t>C</w:t>
            </w:r>
          </w:p>
        </w:tc>
        <w:tc>
          <w:tcPr>
            <w:tcW w:w="1740" w:type="dxa"/>
            <w:vAlign w:val="bottom"/>
          </w:tcPr>
          <w:p>
            <w:pPr>
              <w:jc w:val="right"/>
              <w:spacing w:after="0"/>
              <w:rPr>
                <w:sz w:val="20"/>
                <w:szCs w:val="20"/>
                <w:color w:val="auto"/>
              </w:rPr>
            </w:pPr>
            <w:r>
              <w:rPr>
                <w:rFonts w:ascii="Arial" w:cs="Arial" w:eastAsia="Arial" w:hAnsi="Arial"/>
                <w:sz w:val="18"/>
                <w:szCs w:val="18"/>
                <w:color w:val="auto"/>
              </w:rPr>
              <w:t>424,433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80" w:type="dxa"/>
            <w:vAlign w:val="bottom"/>
            <w:gridSpan w:val="3"/>
          </w:tcPr>
          <w:p>
            <w:pPr>
              <w:spacing w:after="0"/>
              <w:rPr>
                <w:sz w:val="20"/>
                <w:szCs w:val="20"/>
                <w:color w:val="auto"/>
              </w:rPr>
            </w:pPr>
            <w:r>
              <w:rPr>
                <w:rFonts w:ascii="Arial" w:cs="Arial" w:eastAsia="Arial" w:hAnsi="Arial"/>
                <w:sz w:val="18"/>
                <w:szCs w:val="18"/>
                <w:color w:val="auto"/>
              </w:rPr>
              <w:t>D</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610,000</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gridSpan w:val="3"/>
            <w:vMerge w:val="restart"/>
          </w:tcPr>
          <w:p>
            <w:pPr>
              <w:spacing w:after="0"/>
              <w:rPr>
                <w:sz w:val="20"/>
                <w:szCs w:val="20"/>
                <w:color w:val="auto"/>
              </w:rPr>
            </w:pPr>
            <w:r>
              <w:rPr>
                <w:rFonts w:ascii="Arial" w:cs="Arial" w:eastAsia="Arial" w:hAnsi="Arial"/>
                <w:sz w:val="18"/>
                <w:szCs w:val="18"/>
                <w:color w:val="auto"/>
              </w:rPr>
              <w:t>E</w:t>
            </w:r>
          </w:p>
        </w:tc>
        <w:tc>
          <w:tcPr>
            <w:tcW w:w="17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3"/>
            <w:vMerge w:val="continue"/>
          </w:tcPr>
          <w:p>
            <w:pPr>
              <w:spacing w:after="0"/>
              <w:rPr>
                <w:sz w:val="18"/>
                <w:szCs w:val="18"/>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616,100</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3"/>
          </w:tcPr>
          <w:p>
            <w:pPr>
              <w:spacing w:after="0"/>
              <w:rPr>
                <w:sz w:val="20"/>
                <w:szCs w:val="20"/>
                <w:color w:val="auto"/>
              </w:rPr>
            </w:pPr>
            <w:r>
              <w:rPr>
                <w:rFonts w:ascii="Arial" w:cs="Arial" w:eastAsia="Arial" w:hAnsi="Arial"/>
                <w:sz w:val="18"/>
                <w:szCs w:val="18"/>
                <w:color w:val="auto"/>
              </w:rPr>
              <w:t>A-1</w:t>
            </w:r>
          </w:p>
        </w:tc>
        <w:tc>
          <w:tcPr>
            <w:tcW w:w="1740" w:type="dxa"/>
            <w:vAlign w:val="bottom"/>
          </w:tcPr>
          <w:p>
            <w:pPr>
              <w:jc w:val="right"/>
              <w:spacing w:after="0"/>
              <w:rPr>
                <w:sz w:val="20"/>
                <w:szCs w:val="20"/>
                <w:color w:val="auto"/>
              </w:rPr>
            </w:pPr>
            <w:r>
              <w:rPr>
                <w:rFonts w:ascii="Arial" w:cs="Arial" w:eastAsia="Arial" w:hAnsi="Arial"/>
                <w:sz w:val="18"/>
                <w:szCs w:val="18"/>
                <w:color w:val="auto"/>
              </w:rPr>
              <w:t>418,750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gridSpan w:val="3"/>
          </w:tcPr>
          <w:p>
            <w:pPr>
              <w:spacing w:after="0"/>
              <w:rPr>
                <w:sz w:val="20"/>
                <w:szCs w:val="20"/>
                <w:color w:val="auto"/>
              </w:rPr>
            </w:pPr>
            <w:r>
              <w:rPr>
                <w:rFonts w:ascii="Arial" w:cs="Arial" w:eastAsia="Arial" w:hAnsi="Arial"/>
                <w:sz w:val="18"/>
                <w:szCs w:val="18"/>
                <w:color w:val="auto"/>
              </w:rPr>
              <w:t>C-1</w:t>
            </w:r>
          </w:p>
        </w:tc>
        <w:tc>
          <w:tcPr>
            <w:tcW w:w="1740" w:type="dxa"/>
            <w:vAlign w:val="bottom"/>
          </w:tcPr>
          <w:p>
            <w:pPr>
              <w:jc w:val="right"/>
              <w:spacing w:after="0"/>
              <w:rPr>
                <w:sz w:val="20"/>
                <w:szCs w:val="20"/>
                <w:color w:val="auto"/>
              </w:rPr>
            </w:pPr>
            <w:r>
              <w:rPr>
                <w:rFonts w:ascii="Arial" w:cs="Arial" w:eastAsia="Arial" w:hAnsi="Arial"/>
                <w:sz w:val="18"/>
                <w:szCs w:val="18"/>
                <w:color w:val="auto"/>
              </w:rPr>
              <w:t>2,083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gridSpan w:val="3"/>
          </w:tcPr>
          <w:p>
            <w:pPr>
              <w:spacing w:after="0"/>
              <w:rPr>
                <w:sz w:val="20"/>
                <w:szCs w:val="20"/>
                <w:color w:val="auto"/>
              </w:rPr>
            </w:pPr>
            <w:r>
              <w:rPr>
                <w:rFonts w:ascii="Arial" w:cs="Arial" w:eastAsia="Arial" w:hAnsi="Arial"/>
                <w:sz w:val="18"/>
                <w:szCs w:val="18"/>
                <w:color w:val="auto"/>
              </w:rPr>
              <w:t>D-1</w:t>
            </w:r>
          </w:p>
        </w:tc>
        <w:tc>
          <w:tcPr>
            <w:tcW w:w="1740" w:type="dxa"/>
            <w:vAlign w:val="bottom"/>
          </w:tcPr>
          <w:p>
            <w:pPr>
              <w:jc w:val="right"/>
              <w:spacing w:after="0"/>
              <w:rPr>
                <w:sz w:val="20"/>
                <w:szCs w:val="20"/>
                <w:color w:val="auto"/>
              </w:rPr>
            </w:pPr>
            <w:r>
              <w:rPr>
                <w:rFonts w:ascii="Arial" w:cs="Arial" w:eastAsia="Arial" w:hAnsi="Arial"/>
                <w:sz w:val="18"/>
                <w:szCs w:val="18"/>
                <w:color w:val="auto"/>
              </w:rPr>
              <w:t>416,667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gridSpan w:val="3"/>
          </w:tcPr>
          <w:p>
            <w:pPr>
              <w:spacing w:after="0"/>
              <w:rPr>
                <w:sz w:val="20"/>
                <w:szCs w:val="20"/>
                <w:color w:val="auto"/>
              </w:rPr>
            </w:pPr>
            <w:r>
              <w:rPr>
                <w:rFonts w:ascii="Arial" w:cs="Arial" w:eastAsia="Arial" w:hAnsi="Arial"/>
                <w:sz w:val="18"/>
                <w:szCs w:val="18"/>
                <w:color w:val="auto"/>
              </w:rPr>
              <w:t>E-1</w:t>
            </w:r>
          </w:p>
        </w:tc>
        <w:tc>
          <w:tcPr>
            <w:tcW w:w="1740" w:type="dxa"/>
            <w:vAlign w:val="bottom"/>
          </w:tcPr>
          <w:p>
            <w:pPr>
              <w:jc w:val="right"/>
              <w:spacing w:after="0"/>
              <w:rPr>
                <w:sz w:val="20"/>
                <w:szCs w:val="20"/>
                <w:color w:val="auto"/>
              </w:rPr>
            </w:pPr>
            <w:r>
              <w:rPr>
                <w:rFonts w:ascii="Arial" w:cs="Arial" w:eastAsia="Arial" w:hAnsi="Arial"/>
                <w:sz w:val="18"/>
                <w:szCs w:val="18"/>
                <w:color w:val="auto"/>
              </w:rPr>
              <w:t>418,750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gridSpan w:val="3"/>
          </w:tcPr>
          <w:p>
            <w:pPr>
              <w:spacing w:after="0"/>
              <w:rPr>
                <w:sz w:val="20"/>
                <w:szCs w:val="20"/>
                <w:color w:val="auto"/>
              </w:rPr>
            </w:pPr>
            <w:r>
              <w:rPr>
                <w:rFonts w:ascii="Arial" w:cs="Arial" w:eastAsia="Arial" w:hAnsi="Arial"/>
                <w:sz w:val="18"/>
                <w:szCs w:val="18"/>
                <w:color w:val="auto"/>
              </w:rPr>
              <w:t>F</w:t>
            </w:r>
          </w:p>
        </w:tc>
        <w:tc>
          <w:tcPr>
            <w:tcW w:w="1740" w:type="dxa"/>
            <w:vAlign w:val="bottom"/>
          </w:tcPr>
          <w:p>
            <w:pPr>
              <w:jc w:val="right"/>
              <w:spacing w:after="0"/>
              <w:rPr>
                <w:sz w:val="20"/>
                <w:szCs w:val="20"/>
                <w:color w:val="auto"/>
              </w:rPr>
            </w:pPr>
            <w:r>
              <w:rPr>
                <w:rFonts w:ascii="Arial" w:cs="Arial" w:eastAsia="Arial" w:hAnsi="Arial"/>
                <w:sz w:val="18"/>
                <w:szCs w:val="18"/>
                <w:color w:val="auto"/>
              </w:rPr>
              <w:t>583,333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gridSpan w:val="3"/>
          </w:tcPr>
          <w:p>
            <w:pPr>
              <w:spacing w:after="0"/>
              <w:rPr>
                <w:sz w:val="20"/>
                <w:szCs w:val="20"/>
                <w:color w:val="auto"/>
              </w:rPr>
            </w:pPr>
            <w:r>
              <w:rPr>
                <w:rFonts w:ascii="Arial" w:cs="Arial" w:eastAsia="Arial" w:hAnsi="Arial"/>
                <w:sz w:val="18"/>
                <w:szCs w:val="18"/>
                <w:color w:val="auto"/>
              </w:rPr>
              <w:t>F-1</w:t>
            </w:r>
          </w:p>
        </w:tc>
        <w:tc>
          <w:tcPr>
            <w:tcW w:w="1740" w:type="dxa"/>
            <w:vAlign w:val="bottom"/>
          </w:tcPr>
          <w:p>
            <w:pPr>
              <w:jc w:val="right"/>
              <w:spacing w:after="0"/>
              <w:rPr>
                <w:sz w:val="20"/>
                <w:szCs w:val="20"/>
                <w:color w:val="auto"/>
              </w:rPr>
            </w:pPr>
            <w:r>
              <w:rPr>
                <w:rFonts w:ascii="Arial" w:cs="Arial" w:eastAsia="Arial" w:hAnsi="Arial"/>
                <w:sz w:val="18"/>
                <w:szCs w:val="18"/>
                <w:color w:val="auto"/>
              </w:rPr>
              <w:t>416,667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gridSpan w:val="3"/>
          </w:tcPr>
          <w:p>
            <w:pPr>
              <w:spacing w:after="0"/>
              <w:rPr>
                <w:sz w:val="20"/>
                <w:szCs w:val="20"/>
                <w:color w:val="auto"/>
              </w:rPr>
            </w:pPr>
            <w:r>
              <w:rPr>
                <w:rFonts w:ascii="Arial" w:cs="Arial" w:eastAsia="Arial" w:hAnsi="Arial"/>
                <w:sz w:val="18"/>
                <w:szCs w:val="18"/>
                <w:color w:val="auto"/>
              </w:rPr>
              <w:t>PIPE Warrants</w:t>
            </w:r>
          </w:p>
        </w:tc>
        <w:tc>
          <w:tcPr>
            <w:tcW w:w="1740" w:type="dxa"/>
            <w:vAlign w:val="bottom"/>
          </w:tcPr>
          <w:p>
            <w:pPr>
              <w:jc w:val="right"/>
              <w:spacing w:after="0"/>
              <w:rPr>
                <w:sz w:val="20"/>
                <w:szCs w:val="20"/>
                <w:color w:val="auto"/>
              </w:rPr>
            </w:pPr>
            <w:r>
              <w:rPr>
                <w:rFonts w:ascii="Arial" w:cs="Arial" w:eastAsia="Arial" w:hAnsi="Arial"/>
                <w:sz w:val="18"/>
                <w:szCs w:val="18"/>
                <w:color w:val="auto"/>
              </w:rPr>
              <w:t>653,166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80" w:type="dxa"/>
            <w:vAlign w:val="bottom"/>
            <w:gridSpan w:val="3"/>
          </w:tcPr>
          <w:p>
            <w:pPr>
              <w:spacing w:after="0"/>
              <w:rPr>
                <w:sz w:val="20"/>
                <w:szCs w:val="20"/>
                <w:color w:val="auto"/>
              </w:rPr>
            </w:pPr>
            <w:r>
              <w:rPr>
                <w:rFonts w:ascii="Arial" w:cs="Arial" w:eastAsia="Arial" w:hAnsi="Arial"/>
                <w:sz w:val="18"/>
                <w:szCs w:val="18"/>
                <w:color w:val="auto"/>
              </w:rPr>
              <w:t>Broker Warrants</w:t>
            </w:r>
          </w:p>
        </w:tc>
        <w:tc>
          <w:tcPr>
            <w:tcW w:w="1740" w:type="dxa"/>
            <w:vAlign w:val="bottom"/>
          </w:tcPr>
          <w:p>
            <w:pPr>
              <w:jc w:val="right"/>
              <w:spacing w:after="0"/>
              <w:rPr>
                <w:sz w:val="20"/>
                <w:szCs w:val="20"/>
                <w:color w:val="auto"/>
              </w:rPr>
            </w:pPr>
            <w:r>
              <w:rPr>
                <w:rFonts w:ascii="Arial" w:cs="Arial" w:eastAsia="Arial" w:hAnsi="Arial"/>
                <w:sz w:val="18"/>
                <w:szCs w:val="18"/>
                <w:color w:val="auto"/>
              </w:rPr>
              <w:t>65,317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1.20</w:t>
            </w: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01/13/2020</w:t>
            </w:r>
          </w:p>
        </w:tc>
      </w:tr>
      <w:tr>
        <w:trPr>
          <w:trHeight w:val="216"/>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6.00</w:t>
            </w:r>
          </w:p>
        </w:tc>
        <w:tc>
          <w:tcPr>
            <w:tcW w:w="4100" w:type="dxa"/>
            <w:vAlign w:val="bottom"/>
          </w:tcPr>
          <w:p>
            <w:pPr>
              <w:spacing w:after="0"/>
              <w:rPr>
                <w:sz w:val="20"/>
                <w:szCs w:val="20"/>
                <w:color w:val="auto"/>
              </w:rPr>
            </w:pPr>
            <w:r>
              <w:rPr>
                <w:rFonts w:ascii="Arial" w:cs="Arial" w:eastAsia="Arial" w:hAnsi="Arial"/>
                <w:sz w:val="18"/>
                <w:szCs w:val="18"/>
                <w:color w:val="auto"/>
              </w:rPr>
              <w:t>01/13/2020</w:t>
            </w:r>
          </w:p>
        </w:tc>
      </w:tr>
      <w:tr>
        <w:trPr>
          <w:trHeight w:val="216"/>
        </w:trPr>
        <w:tc>
          <w:tcPr>
            <w:tcW w:w="5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5"/>
              </w:rPr>
              <w:t>Between 07/16/2020 and 08/13/2020 and 08/19/2020</w:t>
            </w:r>
          </w:p>
        </w:tc>
      </w:tr>
      <w:tr>
        <w:trPr>
          <w:trHeight w:val="216"/>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9.00</w:t>
            </w:r>
          </w:p>
        </w:tc>
        <w:tc>
          <w:tcPr>
            <w:tcW w:w="4100" w:type="dxa"/>
            <w:vAlign w:val="bottom"/>
          </w:tcPr>
          <w:p>
            <w:pPr>
              <w:spacing w:after="0"/>
              <w:rPr>
                <w:sz w:val="20"/>
                <w:szCs w:val="20"/>
                <w:color w:val="auto"/>
              </w:rPr>
            </w:pPr>
            <w:r>
              <w:rPr>
                <w:rFonts w:ascii="Arial" w:cs="Arial" w:eastAsia="Arial" w:hAnsi="Arial"/>
                <w:sz w:val="18"/>
                <w:szCs w:val="18"/>
                <w:color w:val="auto"/>
              </w:rPr>
              <w:t>and 09/09/2020</w:t>
            </w:r>
          </w:p>
        </w:tc>
      </w:tr>
      <w:tr>
        <w:trPr>
          <w:trHeight w:val="216"/>
        </w:trPr>
        <w:tc>
          <w:tcPr>
            <w:tcW w:w="5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5"/>
              </w:rPr>
              <w:t>Between 10/01/2020 and 11/12/2020 and 11/30/2020</w:t>
            </w:r>
          </w:p>
        </w:tc>
      </w:tr>
      <w:tr>
        <w:trPr>
          <w:trHeight w:val="216"/>
        </w:trPr>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15.00</w:t>
            </w:r>
          </w:p>
        </w:tc>
        <w:tc>
          <w:tcPr>
            <w:tcW w:w="4100" w:type="dxa"/>
            <w:vAlign w:val="bottom"/>
          </w:tcPr>
          <w:p>
            <w:pPr>
              <w:spacing w:after="0"/>
              <w:rPr>
                <w:sz w:val="20"/>
                <w:szCs w:val="20"/>
                <w:color w:val="auto"/>
              </w:rPr>
            </w:pPr>
            <w:r>
              <w:rPr>
                <w:rFonts w:ascii="Arial" w:cs="Arial" w:eastAsia="Arial" w:hAnsi="Arial"/>
                <w:sz w:val="18"/>
                <w:szCs w:val="18"/>
                <w:color w:val="auto"/>
              </w:rPr>
              <w:t>and 12/09/2020</w:t>
            </w:r>
          </w:p>
        </w:tc>
      </w:tr>
      <w:tr>
        <w:trPr>
          <w:trHeight w:val="216"/>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1.20</w:t>
            </w:r>
          </w:p>
        </w:tc>
        <w:tc>
          <w:tcPr>
            <w:tcW w:w="4100" w:type="dxa"/>
            <w:vAlign w:val="bottom"/>
          </w:tcPr>
          <w:p>
            <w:pPr>
              <w:spacing w:after="0"/>
              <w:rPr>
                <w:sz w:val="20"/>
                <w:szCs w:val="20"/>
                <w:color w:val="auto"/>
              </w:rPr>
            </w:pPr>
            <w:r>
              <w:rPr>
                <w:rFonts w:ascii="Arial" w:cs="Arial" w:eastAsia="Arial" w:hAnsi="Arial"/>
                <w:sz w:val="18"/>
                <w:szCs w:val="18"/>
                <w:color w:val="auto"/>
              </w:rPr>
              <w:t>03/09/2020</w:t>
            </w:r>
          </w:p>
        </w:tc>
      </w:tr>
      <w:tr>
        <w:trPr>
          <w:trHeight w:val="216"/>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6.00</w:t>
            </w:r>
          </w:p>
        </w:tc>
        <w:tc>
          <w:tcPr>
            <w:tcW w:w="4100" w:type="dxa"/>
            <w:vAlign w:val="bottom"/>
          </w:tcPr>
          <w:p>
            <w:pPr>
              <w:spacing w:after="0"/>
              <w:rPr>
                <w:sz w:val="20"/>
                <w:szCs w:val="20"/>
                <w:color w:val="auto"/>
              </w:rPr>
            </w:pPr>
            <w:r>
              <w:rPr>
                <w:rFonts w:ascii="Arial" w:cs="Arial" w:eastAsia="Arial" w:hAnsi="Arial"/>
                <w:sz w:val="18"/>
                <w:szCs w:val="18"/>
                <w:color w:val="auto"/>
              </w:rPr>
              <w:t>01/13/2020</w:t>
            </w:r>
          </w:p>
        </w:tc>
      </w:tr>
      <w:tr>
        <w:trPr>
          <w:trHeight w:val="216"/>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9.00</w:t>
            </w:r>
          </w:p>
        </w:tc>
        <w:tc>
          <w:tcPr>
            <w:tcW w:w="4100" w:type="dxa"/>
            <w:vAlign w:val="bottom"/>
          </w:tcPr>
          <w:p>
            <w:pPr>
              <w:spacing w:after="0"/>
              <w:rPr>
                <w:sz w:val="20"/>
                <w:szCs w:val="20"/>
                <w:color w:val="auto"/>
              </w:rPr>
            </w:pPr>
            <w:r>
              <w:rPr>
                <w:rFonts w:ascii="Arial" w:cs="Arial" w:eastAsia="Arial" w:hAnsi="Arial"/>
                <w:sz w:val="18"/>
                <w:szCs w:val="18"/>
                <w:color w:val="auto"/>
              </w:rPr>
              <w:t>Between 08/19/2020 and 09/09/2020</w:t>
            </w:r>
          </w:p>
        </w:tc>
      </w:tr>
      <w:tr>
        <w:trPr>
          <w:trHeight w:val="216"/>
        </w:trPr>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15.00</w:t>
            </w:r>
          </w:p>
        </w:tc>
        <w:tc>
          <w:tcPr>
            <w:tcW w:w="4100" w:type="dxa"/>
            <w:vAlign w:val="bottom"/>
          </w:tcPr>
          <w:p>
            <w:pPr>
              <w:spacing w:after="0"/>
              <w:rPr>
                <w:sz w:val="20"/>
                <w:szCs w:val="20"/>
                <w:color w:val="auto"/>
              </w:rPr>
            </w:pPr>
            <w:r>
              <w:rPr>
                <w:rFonts w:ascii="Arial" w:cs="Arial" w:eastAsia="Arial" w:hAnsi="Arial"/>
                <w:sz w:val="18"/>
                <w:szCs w:val="18"/>
                <w:color w:val="auto"/>
              </w:rPr>
              <w:t>06/16/2020</w:t>
            </w:r>
          </w:p>
        </w:tc>
      </w:tr>
      <w:tr>
        <w:trPr>
          <w:trHeight w:val="216"/>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7.20</w:t>
            </w:r>
          </w:p>
        </w:tc>
        <w:tc>
          <w:tcPr>
            <w:tcW w:w="4100" w:type="dxa"/>
            <w:vAlign w:val="bottom"/>
          </w:tcPr>
          <w:p>
            <w:pPr>
              <w:spacing w:after="0"/>
              <w:rPr>
                <w:sz w:val="20"/>
                <w:szCs w:val="20"/>
                <w:color w:val="auto"/>
              </w:rPr>
            </w:pPr>
            <w:r>
              <w:rPr>
                <w:rFonts w:ascii="Arial" w:cs="Arial" w:eastAsia="Arial" w:hAnsi="Arial"/>
                <w:sz w:val="18"/>
                <w:szCs w:val="18"/>
                <w:color w:val="auto"/>
              </w:rPr>
              <w:t>8/11/2021</w:t>
            </w:r>
          </w:p>
        </w:tc>
      </w:tr>
      <w:tr>
        <w:trPr>
          <w:trHeight w:val="216"/>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7.20</w:t>
            </w:r>
          </w:p>
        </w:tc>
        <w:tc>
          <w:tcPr>
            <w:tcW w:w="4100" w:type="dxa"/>
            <w:vAlign w:val="bottom"/>
          </w:tcPr>
          <w:p>
            <w:pPr>
              <w:spacing w:after="0"/>
              <w:rPr>
                <w:sz w:val="20"/>
                <w:szCs w:val="20"/>
                <w:color w:val="auto"/>
              </w:rPr>
            </w:pPr>
            <w:r>
              <w:rPr>
                <w:rFonts w:ascii="Arial" w:cs="Arial" w:eastAsia="Arial" w:hAnsi="Arial"/>
                <w:sz w:val="18"/>
                <w:szCs w:val="18"/>
                <w:color w:val="auto"/>
              </w:rPr>
              <w:t>8/11/2021</w:t>
            </w:r>
          </w:p>
        </w:tc>
      </w:tr>
      <w:tr>
        <w:trPr>
          <w:trHeight w:val="216"/>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6.00</w:t>
            </w:r>
          </w:p>
        </w:tc>
        <w:tc>
          <w:tcPr>
            <w:tcW w:w="4100" w:type="dxa"/>
            <w:vAlign w:val="bottom"/>
          </w:tcPr>
          <w:p>
            <w:pPr>
              <w:spacing w:after="0"/>
              <w:rPr>
                <w:sz w:val="20"/>
                <w:szCs w:val="20"/>
                <w:color w:val="auto"/>
              </w:rPr>
            </w:pPr>
            <w:r>
              <w:rPr>
                <w:rFonts w:ascii="Arial" w:cs="Arial" w:eastAsia="Arial" w:hAnsi="Arial"/>
                <w:sz w:val="18"/>
                <w:szCs w:val="18"/>
                <w:color w:val="auto"/>
              </w:rPr>
              <w:t>8/11/2021</w:t>
            </w:r>
          </w:p>
        </w:tc>
      </w:tr>
      <w:tr>
        <w:trPr>
          <w:trHeight w:val="230"/>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4.80</w:t>
            </w:r>
          </w:p>
        </w:tc>
        <w:tc>
          <w:tcPr>
            <w:tcW w:w="4100" w:type="dxa"/>
            <w:vAlign w:val="bottom"/>
          </w:tcPr>
          <w:p>
            <w:pPr>
              <w:spacing w:after="0"/>
              <w:rPr>
                <w:sz w:val="20"/>
                <w:szCs w:val="20"/>
                <w:color w:val="auto"/>
              </w:rPr>
            </w:pPr>
            <w:r>
              <w:rPr>
                <w:rFonts w:ascii="Arial" w:cs="Arial" w:eastAsia="Arial" w:hAnsi="Arial"/>
                <w:sz w:val="18"/>
                <w:szCs w:val="18"/>
                <w:color w:val="auto"/>
              </w:rPr>
              <w:t>8/11/2021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-1645920</wp:posOffset>
            </wp:positionV>
            <wp:extent cx="5797550"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97550" cy="27432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-1097280</wp:posOffset>
            </wp:positionV>
            <wp:extent cx="579755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-822325</wp:posOffset>
            </wp:positionV>
            <wp:extent cx="579755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-548005</wp:posOffset>
            </wp:positionV>
            <wp:extent cx="579755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-273685</wp:posOffset>
            </wp:positionV>
            <wp:extent cx="579755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680"/>
            <w:col w:w="5820"/>
          </w:cols>
          <w:pgMar w:left="240" w:top="908"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 of Executive Officers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18, 2016 we announced that Dr. John Bonfiglio, a consultant and a member of our Board of Directors, was appointed as our President and Chief Operating Officer and entered into an employment agreement with us. Concurrent with such appointment we amended the employment agreement of Dr. Wilson for Dr. Wilson to relinquish the office of President.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25, 2016 we announced that Michael J. Loiacono, a consultant, was appointed as our Chief Financial Officer, Chief Accounting Officer, Secretary and Treasurer and entered into an employment agreement with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consolidated financial statements and the judgments and assumptions used are consistent with those described under Part II, Item 7 of our Annual Report on Form 10-K for the year ended December 31, 2015.</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this discussion of the Company’s results of operations and financial condition, amounts, other than per-share amounts, have been rounded to the nearest thousand dollars.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2016 Compared to Three Months Ended September 30, 2015</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recorded a net loss of $2,103,000 or ($0.29) basic and diluted per share during the three months ended September 30, 2016 compared to a net income of $28,503,000 or $7.04 basic and $4.23 diluted per share during the three months ended September 30, 2015.</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costs increased to $2,722,000 during the three months ended September 30, 2016 compared to $1,738,000 in the prior period. Significant changes in operating expenses are outlined as follows:</w:t>
      </w:r>
    </w:p>
    <w:p>
      <w:pPr>
        <w:spacing w:after="0" w:line="170" w:lineRule="exact"/>
        <w:rPr>
          <w:sz w:val="20"/>
          <w:szCs w:val="20"/>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and development costs during the three months ended September 30, 2016 were $1,109,000 compared to $969,000 during the prior period. The increase was primarily due to the Company expensing the Mayo Foundation license fee payments in the current period and higher expenses relating to research.</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and administrative expenses increased to $1,612,000 during the three months ended September 30, 2016 from $769,000 during the prior period. This was due to generally increased expenses relating to consulting, general and administrative and professional fees during the three months ended September 30, 2016 due to increased activity in operations.</w:t>
      </w:r>
    </w:p>
    <w:p>
      <w:pPr>
        <w:spacing w:after="0" w:line="208"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changes in fair value of derivative liabilities for the three months ended September 30, 2016 was $684,000 as compared to $30,266,000 for the three months ended September 30, 2015. The variance is due to the revaluation of the Series A and A-1, Series C and C-1, Series D and D-1 and Series E and E-1 warrants issued by us in January and March 2015. We revalue the derivative liabilities at each balance sheet date to fair value. The fair value is determined using Black-Scholes valuation model using various assumptions. The most significant changes in the assumptions was the difference in the strike price used at September 30, 2016 of $6.69 compared to $7.40 at September 30, 2015, the exercise of warrants with derivative liabilities and the August 2016 amendments to certain of the warrants to remove the clause that caused the warrants to be classified as derivative liabilities. Due to these significant changes, the fair value of the derivative liabilities decreased by $684,000 with a corresponding gain in the condensed consolidated statement of operations.</w:t>
      </w:r>
    </w:p>
    <w:p>
      <w:pPr>
        <w:spacing w:after="0" w:line="20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three-month period ended September 30, 2016 the Company incurred $65,000 loss on debt settlement agreements relating to an outstanding agreement from a previous year. This compares to $25,000 loss on debt settlement agreements for the three months ended September 30,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2016 Compared to Nine months ended September 30, 2015</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recorded a net loss of $879,000 or ($0.14) basic and ($0.54) diluted per share during the nine months ended September 30, 2016 compared to a net loss of $32,414,000 or ($10.61) basic and diluted per share for the nine months ended September 30, 2015.</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costs increased to $6,901,000 during the nine months ended September 30, 2016 compared to $3,904,000 in the prior period. Significant changes in operating expenses are outlined as follows:</w:t>
      </w:r>
    </w:p>
    <w:p>
      <w:pPr>
        <w:spacing w:after="0" w:line="170" w:lineRule="exact"/>
        <w:rPr>
          <w:sz w:val="20"/>
          <w:szCs w:val="20"/>
          <w:color w:val="auto"/>
        </w:rPr>
      </w:pPr>
    </w:p>
    <w:p>
      <w:pPr>
        <w:jc w:val="both"/>
        <w:ind w:left="660" w:right="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Research and development costs during the nine months ended September 30, 2016 were $3,343,000 compared to $2,324,000 during the prior period. This was due to the Company exercising its option to acquire Mayo Clinic technology as part of an agreement entered into in March 2014 and increased in-house research activity in the current period.</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and administrative expenses increased to $3,558,000 during the nine months ended September 30, 2016 from $1,580,000 during the prior period. This was due to generally increased expenses relating to consulting, general and administrative and professional fees during the nine months ended September 30, 2016 as the Company’s operating activities increased substantially.</w:t>
      </w:r>
    </w:p>
    <w:p>
      <w:pPr>
        <w:spacing w:after="0" w:line="208"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changes in fair value of derivative liabilities for the nine months ended September 30, 2016 was $5,925,000 as compared to ($28,486,000) for the nine months ended September 30, 2015. The variance in the current period is due to the revaluation of the Series A and A-1, Series C and C-1, Series D and D-1 and Series E and E-1 warrants issued by us in January and March 2015. We revalue the derivative liabilities at each balance sheet date to fair value. The most significant changes in the assumptions was the difference in the strike price used at September 30, 2016 of $6.69 compared to $7.40 at September 30, 2015, the exercise of warrants with derivative liabilities and the August 2016 amendments to certain of the warrants to remove the clause that caused the warrants to be classified as derivative liabilities. Due to these significant changes, the fair value of the derivative liabilities decreased by $5,925,000 with a corresponding gain in the condensed consolidated statement of operations.</w:t>
      </w:r>
    </w:p>
    <w:p>
      <w:pPr>
        <w:spacing w:after="0" w:line="383" w:lineRule="exact"/>
        <w:rPr>
          <w:rFonts w:ascii="Arial" w:cs="Arial" w:eastAsia="Arial" w:hAnsi="Arial"/>
          <w:sz w:val="16"/>
          <w:szCs w:val="16"/>
          <w:color w:val="auto"/>
        </w:rPr>
      </w:pPr>
    </w:p>
    <w:p>
      <w:pPr>
        <w:ind w:left="5640" w:hanging="114"/>
        <w:spacing w:after="0"/>
        <w:tabs>
          <w:tab w:leader="none" w:pos="5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During the nine months ended September 30, 2016, the Company received $231,000 of a grant awarded to Mayo Foundation from the U.S. Department of Defense for the Phase II Clinical Trial of TPIV 200. The grant paid for the clinical supplies purchased by the Company.</w:t>
      </w:r>
    </w:p>
    <w:p>
      <w:pPr>
        <w:spacing w:after="0" w:line="173"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nine-month period ended September 30, 2016 the Company incurred $135,000 loss on debt settlement agreements relating to an outstanding debt agreement from previous years. This compares to $25,000 loss on debt settlement agreements for the nine months ended September 30,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generated any revenues since inception, we have financed our operations primarily through public and private offerings of our stock and debt including warrants and the exercise thereof. The following table sets forth our cash and working capital as of September 30, 2016 and December 31, 2015: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September 30, 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December 31, 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reserves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9,587,000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6,577,000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Working capital (deficit)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7,494,000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(21,360,000)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nine months ended September 30, 2016 and 2015:</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20" w:type="dxa"/>
            <w:vAlign w:val="bottom"/>
          </w:tcPr>
          <w:p>
            <w:pPr>
              <w:spacing w:after="0"/>
              <w:rPr>
                <w:sz w:val="19"/>
                <w:szCs w:val="19"/>
                <w:color w:val="auto"/>
              </w:rPr>
            </w:pPr>
          </w:p>
        </w:tc>
        <w:tc>
          <w:tcPr>
            <w:tcW w:w="420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jc w:val="center"/>
              <w:ind w:right="1850"/>
              <w:spacing w:after="0"/>
              <w:rPr>
                <w:sz w:val="20"/>
                <w:szCs w:val="20"/>
                <w:color w:val="auto"/>
              </w:rPr>
            </w:pPr>
            <w:r>
              <w:rPr>
                <w:rFonts w:ascii="Arial" w:cs="Arial" w:eastAsia="Arial" w:hAnsi="Arial"/>
                <w:sz w:val="18"/>
                <w:szCs w:val="18"/>
                <w:color w:val="auto"/>
                <w:w w:val="90"/>
              </w:rPr>
              <w:t>Net cash provided by (used in):</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jc w:val="center"/>
              <w:ind w:right="1850"/>
              <w:spacing w:after="0"/>
              <w:rPr>
                <w:sz w:val="20"/>
                <w:szCs w:val="20"/>
                <w:color w:val="auto"/>
              </w:rPr>
            </w:pPr>
            <w:r>
              <w:rPr>
                <w:rFonts w:ascii="Arial" w:cs="Arial" w:eastAsia="Arial" w:hAnsi="Arial"/>
                <w:sz w:val="18"/>
                <w:szCs w:val="18"/>
                <w:color w:val="auto"/>
                <w:w w:val="92"/>
              </w:rPr>
              <w:t>Operating activities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(4,756,000)</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(3,492,000)</w:t>
            </w:r>
          </w:p>
        </w:tc>
      </w:tr>
      <w:tr>
        <w:trPr>
          <w:trHeight w:val="230"/>
        </w:trPr>
        <w:tc>
          <w:tcPr>
            <w:tcW w:w="20" w:type="dxa"/>
            <w:vAlign w:val="bottom"/>
          </w:tcPr>
          <w:p>
            <w:pPr>
              <w:spacing w:after="0"/>
              <w:rPr>
                <w:sz w:val="19"/>
                <w:szCs w:val="19"/>
                <w:color w:val="auto"/>
              </w:rPr>
            </w:pPr>
          </w:p>
        </w:tc>
        <w:tc>
          <w:tcPr>
            <w:tcW w:w="4200" w:type="dxa"/>
            <w:vAlign w:val="bottom"/>
            <w:shd w:val="clear" w:color="auto" w:fill="CCEEFF"/>
          </w:tcPr>
          <w:p>
            <w:pPr>
              <w:jc w:val="center"/>
              <w:ind w:right="1850"/>
              <w:spacing w:after="0"/>
              <w:rPr>
                <w:sz w:val="20"/>
                <w:szCs w:val="20"/>
                <w:color w:val="auto"/>
              </w:rPr>
            </w:pPr>
            <w:r>
              <w:rPr>
                <w:rFonts w:ascii="Arial" w:cs="Arial" w:eastAsia="Arial" w:hAnsi="Arial"/>
                <w:sz w:val="18"/>
                <w:szCs w:val="18"/>
                <w:color w:val="auto"/>
                <w:w w:val="93"/>
              </w:rPr>
              <w:t>Financing activities</w:t>
            </w:r>
          </w:p>
        </w:tc>
        <w:tc>
          <w:tcPr>
            <w:tcW w:w="19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7,766,000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9,438,000</w:t>
            </w:r>
          </w:p>
        </w:tc>
        <w:tc>
          <w:tcPr>
            <w:tcW w:w="80" w:type="dxa"/>
            <w:vAlign w:val="bottom"/>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4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increase in cash</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3,010,000</w:t>
            </w: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5,945,000</w:t>
            </w:r>
          </w:p>
        </w:tc>
        <w:tc>
          <w:tcPr>
            <w:tcW w:w="80" w:type="dxa"/>
            <w:vAlign w:val="bottom"/>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operating activities during the nine months ended September 30, 2016 was $4,756,000 compared to $3,492,000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during the nine months ended September 30, 2016 was $7,766,000 compared to net cash provided by financing activities of $9,438,000 during the prior period. The financing consisted of proceeds from private placements and warrant exercises in the current period as was in the prior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current available funding has come from financings that we conducted in January and March of 2015 and from the exercise of warrants issued in connection with our January and March, 2015 financings as well as our recent August 2016 private placement.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2015 Financing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2015, we entered into a Securities Purchase Agreement with certain investors for the sale of 610,000 units at a purchase price of $2.40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were exercisable at $18.00 per share, with a five-year term. Series B warrants were exercisable at $4.80 per share, with a six-month term. Series C warrants were exercisable at $12.00 per share, with a five-year term. Series D warrants were exercisable at $9.00 per share only if and to the extent that the Series B warrants are exercised, with a five-year term from the date that the Series B warrants are exercised. Series E warrants were exercisable at $15.00 per share, only if and to the extent that the Series C warrants are exercised, with a five-year term from the date that the Series C warrants are exercised. Pursuant to a placement agent agreement, we agreed to issue warrants to purchase 30,500 common shares with substantially the same terms as the January 2015 Warrants.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March 2015 Financing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2015, we entered into a Securities Purchase Agreement with certain accredited investors for the sale of 416,667 units at a purchase price of $2.40 per unit, for a total purchase price of approximately $950,000, net of finders’ fee and offering expenses of approximately $50,000. Each unit consisting of (i) one share of the Company’s Common Stock, (ii) one Series A-1 warrant to purchase one share of common stock, (iii) one Series B-1 warrant to purchase one share of common stock (iv) one Series C-1 warrant to purchase one share of common stock, (v) one Series D-1 warrant to purchase one share of common stock, and (vi) one Series E-1 warrant to purchase one share of common stock (the Series A-1, B-1, C-1, D-1 and E-1 warrants are hereby collectively referred to as the “March 2015 Warrants”). The March 2015 Warrants have substantially the same terms as the January 2015 Warrants. Pursuant to a placement agent agreement, we agreed to issue warrants to purchase 10,417 common shares with substantially the same terms as the March 2015 Warrants.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of January and March 2015 Financings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May 2015, we entered into a restructuring agreement with the investors of the January 2015 and March 2015 financings, where:</w:t>
      </w:r>
    </w:p>
    <w:p>
      <w:pPr>
        <w:spacing w:after="0" w:line="22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exercise price of the Series A and Series A-1 warrants was changed from $18.00 per share to $1.20 per share,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exercise price of Series B and Series B-1 warrants was changed from $4.80 per share to $2.40 per share,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warrant of Series B and Series B-1 existing prior to the restructuring agreement was replaced with two warrants of such series,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exercise price of the Series C and Series C-1 warrants was changed from $12.00 per share to $6.00 per share,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warrant of Series C and Series C-1 existing prior to the restructuring agreement was replaced with two warrants of such series.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the restructuring agreement, we issued an additional 1,026,667 Series B and B-1 warrants and 1,026,667 Series C and C-1 Warrants.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Financing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2016 Private Placement Transaction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2016 and August 25, 2016, the Company completed private placements of units with certain accredited investors. The units consisted of (i) one share of the Company’s common stock, par value $0.001 per share and (ii) one five-year warrant to purchase one share of Company common stock for $6.00. The Company issued and sold an aggregate of 653,166 units at a purchase price per unit of $4.80 for an aggregate of approximately $3.1 million. The Company incurred approximately $0.8 million in agency fees and legal costs.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issued five-year warrants to the placement agent in the offering providing for the purchase of up to 65,317 shares of Company common stock for $4.80 per share.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registration rights agreements entered into in connection with the private placements, the Company is required to file a registration statement with the Securities and Exchange Commission registering for resale (a) the common stock issued in the private placement offering; (b) the shares of common stock issuable upon the exercise of the five-year warrants; and (c) the shares of common stock issuable upon the exercise of the warrants issued to the placement agent. The Company is required to file the registration statement within 120 days of the August 10, 2016 closing or by December 8, 2016. The Company is also required to ensure that the registration statement is declared effective within 90 calendar days after filing with the Securities and Exchange Commission, or by March 8, 2017.</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registration rights agreements, should the Company fail to meet the above criteria, the Company is subject to pay the investors liquidated damages. The liquidated damages shall be a cash sum payment calculated at a rate of ten percent (10%) per annum of the aggregate purchase price for the registrable securities or aggregate amount upon exercise of the placement agent warrants.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spacing w:after="0" w:line="279" w:lineRule="auto"/>
        <w:rPr>
          <w:sz w:val="20"/>
          <w:szCs w:val="20"/>
          <w:color w:val="auto"/>
        </w:rPr>
      </w:pPr>
      <w:r>
        <w:rPr>
          <w:rFonts w:ascii="Arial" w:cs="Arial" w:eastAsia="Arial" w:hAnsi="Arial"/>
          <w:sz w:val="17"/>
          <w:szCs w:val="17"/>
          <w:color w:val="auto"/>
        </w:rPr>
        <w:t>In accordance with applicable U.S. generally accepted accounting principles, a contingent obligation to make future payments must be recorded if the transfer of consideration under a registration payment arrangement is probable and can be reasonably estimated. The Company has determined that should it be required to pay liquidated damages to the investors of the private placements, the aggregate contingent liability it would be required to record would be approximately $29,000 per month for each month it fails or is estimated to fail to meet the above criteria.</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At the August 10, 2016 and August 26,2016 private placement closings, and on September 30, 2016, the Company concluded that it is not probable that it will be required to remit any payments to the investors for failing to obtain an effective registration statement or failing to maintain its effectiveness.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Between June 16, 2015 and December 9, 2015, 3,090,000 shares were issued upon exercise of certain warrants we issued in connection with our 2015 financings, providing $9.22 million in proceeds. In August 2016, holders of an aggregate of 583,333 outstanding Series C Warrants and 416,667 Series C-1 Warrants, each providing for the purchase of one share of our common stock for $6.00 per share, exercised their warrants for an aggregate exercise price of $6,000,000.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capital requirements through 2017 will depend on numerous factors, including the success of our research and development, the resources we devote to develop and support our technologies and our success in pursuing strategic licensing and funded product development relationships with external partners. Subject to our ability to raise additional capital including through possible joint ventures and/or partnerships, we expect to incur substantial expenditures to further develop our technologies including continued increases in costs related to research, nonclinical testing and clinical studies, as well as costs associated with our capital raising efforts and being a public company. We intend to spend approximately $7,500,000 over the next twelve months in carrying out our plan of operations. We will require substantial funds to conduct research and development and nonclinical and Phase II clinical testing of our licensed, patented technologies and to develop sublicensing relationships for the Phase II and III clinical testing. Our plans include seeking both equity and debt financing, alliances or other partnership agreements with entities interested in our technologies, or other business transactions that would generate sufficient resources to ensure continuation of our operations and research and development programs.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to continue to seek additional funding for our operations. Any such required additional capital may not be available on reasonable terms, if at all. If we were unable to obtain additional financing, we may be required to reduce the scope of, delay or eliminate some or all of our planned clinical testing and research and development activities, which could harm our business. The sale of additional equity or debt securities may result in additional dilution to our shareholders. If we raise additional funds through the issuance of debt securities or preferred stock, these securities could have rights senior to those of our common stock and could contain covenants that would restrict our operations. We also will require additional capital beyond our currently forecasted amounts.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Because of the numerous risks and uncertainties associated with research, development and commercialization of our product candidates, we are unable to estimate the exact amounts of our working capital requirements. Our future funding requirements will depend on many factors, including, but not limited to:</w:t>
      </w:r>
    </w:p>
    <w:p>
      <w:pPr>
        <w:spacing w:after="0" w:line="124" w:lineRule="exact"/>
        <w:rPr>
          <w:sz w:val="20"/>
          <w:szCs w:val="20"/>
          <w:color w:val="auto"/>
        </w:rPr>
      </w:pPr>
    </w:p>
    <w:p>
      <w:pPr>
        <w:ind w:left="880" w:hanging="33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52" w:lineRule="exact"/>
        <w:rPr>
          <w:rFonts w:ascii="Arial" w:cs="Arial" w:eastAsia="Arial" w:hAnsi="Arial"/>
          <w:sz w:val="18"/>
          <w:szCs w:val="18"/>
          <w:color w:val="auto"/>
        </w:rPr>
      </w:pPr>
    </w:p>
    <w:p>
      <w:pPr>
        <w:ind w:left="880" w:hanging="332"/>
        <w:spacing w:after="0" w:line="308"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product candidates, and conducting nonclinical and clinical trials including the research and development expenditures we expect to make in connection with our license agreements with Mayo Foundation;</w:t>
      </w:r>
    </w:p>
    <w:p>
      <w:pPr>
        <w:spacing w:after="0" w:line="173" w:lineRule="exact"/>
        <w:rPr>
          <w:rFonts w:ascii="Arial" w:cs="Arial" w:eastAsia="Arial" w:hAnsi="Arial"/>
          <w:sz w:val="17"/>
          <w:szCs w:val="17"/>
          <w:color w:val="auto"/>
        </w:rPr>
      </w:pPr>
    </w:p>
    <w:p>
      <w:pPr>
        <w:ind w:left="880" w:hanging="33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880" w:hanging="332"/>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current research and development licensing agreements and to establish new strategic partnerships, licensing or other arrangements and the financial terms of such agreements;</w:t>
      </w:r>
    </w:p>
    <w:p>
      <w:pPr>
        <w:spacing w:after="0" w:line="197" w:lineRule="exact"/>
        <w:rPr>
          <w:rFonts w:ascii="Arial" w:cs="Arial" w:eastAsia="Arial" w:hAnsi="Arial"/>
          <w:sz w:val="18"/>
          <w:szCs w:val="18"/>
          <w:color w:val="auto"/>
        </w:rPr>
      </w:pPr>
    </w:p>
    <w:p>
      <w:pPr>
        <w:ind w:left="880" w:hanging="33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achieve our milestones under our licensing arrangements and the payment obligations we may have;</w:t>
      </w:r>
    </w:p>
    <w:p>
      <w:pPr>
        <w:spacing w:after="0" w:line="252" w:lineRule="exact"/>
        <w:rPr>
          <w:rFonts w:ascii="Arial" w:cs="Arial" w:eastAsia="Arial" w:hAnsi="Arial"/>
          <w:sz w:val="18"/>
          <w:szCs w:val="18"/>
          <w:color w:val="auto"/>
        </w:rPr>
      </w:pPr>
    </w:p>
    <w:p>
      <w:pPr>
        <w:ind w:left="880" w:hanging="332"/>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 and</w:t>
      </w:r>
    </w:p>
    <w:p>
      <w:pPr>
        <w:spacing w:after="0" w:line="197" w:lineRule="exact"/>
        <w:rPr>
          <w:rFonts w:ascii="Arial" w:cs="Arial" w:eastAsia="Arial" w:hAnsi="Arial"/>
          <w:sz w:val="18"/>
          <w:szCs w:val="18"/>
          <w:color w:val="auto"/>
        </w:rPr>
      </w:pPr>
    </w:p>
    <w:p>
      <w:pPr>
        <w:ind w:left="880" w:hanging="33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640" w:hanging="114"/>
        <w:spacing w:after="0"/>
        <w:tabs>
          <w:tab w:leader="none" w:pos="5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spacing w:after="0" w:line="291" w:lineRule="auto"/>
        <w:rPr>
          <w:sz w:val="20"/>
          <w:szCs w:val="20"/>
          <w:color w:val="auto"/>
        </w:rPr>
      </w:pPr>
      <w:r>
        <w:rPr>
          <w:rFonts w:ascii="Arial" w:cs="Arial" w:eastAsia="Arial" w:hAnsi="Arial"/>
          <w:sz w:val="16"/>
          <w:szCs w:val="16"/>
          <w:color w:val="auto"/>
        </w:rPr>
        <w:t>We have based our estimates on assumptions that may prove to be wrong. We may need to obtain additional funds sooner or in greater amounts than we currently anticipate. Potential sources of financing include strategic relationships, public or private sales of our shares or debt and other sources. We may seek to access the public or private equity markets when conditions are favorable due to our long-term capital requirements. We do not have any committed sources of financing at this time, and it is uncertain whether additional funding will be available when we need it on terms that will be acceptable to us, or at all. If we raise funds by selling additional shares of common stock or other securities convertible into common stock, the ownership interest of our existing stockholders will be diluted. If we are not able to obtain financing when needed, we may be unable to carry out our business plan. As a result, we may have to significantly limit our operations and our business, financial condition and results of operations would be materially harmed.</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impacted,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sources of revenue to provide incoming cash flows to sustain our future operations. As outlined above, our ability to pursue our planned business activities is dependent upon our successful efforts to raise additional capital.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Chief Executive Officer and Chief Financial Officer, as appropriate, to allow timely decisions regarding required disclosure. Based on such evaluation, our Chief Executive Officer and our Chief Financial Officer have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nine months ended September 30, 2016 that have materially affected, or are reasonably likely to materially affect, our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not aware of any material legal proceedings and there are no pending material procedures that would affect the property of the Company. Management is not aware of any legal proceedings contemplated by any government authority or any other party involving the Company. As of the date of this Quarterly Report, no director, officer or affiliate is (i) a party adverse to us in any legal proceeding, or (ii) has an adverse interest to us in any legal proceeding.</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For risk factors, see Item 1.A.-“Risk Factors” in our Annual Report on Form 10-K for the year ended December 31, 2015.</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issued the following unrestricted securities during the period covered by this report to the named individual pursuant to exemptions under the Securities Act of 1933 including Section 4(2):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July 18, 2016 the Company issued 20,833 shares to Dr. John Bonfiglio pursuant to the employment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August 10, 2016, the Company issued and sold 653,166 shares of stock as part of a private placement with certain accredited investors.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11, 2016, the Company issued 1,000,000 shares of stock in relation to the exercising of 583,333 outstanding Series C Warrants and 416,667 Series C-1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August 11, 2016, the Company issued 750,000 shares of stock to warrant holders as an inducement to amend certain warrant agreements.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Exhibit</w:t>
            </w: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6"/>
          </w:tcPr>
          <w:p>
            <w:pPr>
              <w:ind w:left="520"/>
              <w:spacing w:after="0"/>
              <w:rPr>
                <w:sz w:val="20"/>
                <w:szCs w:val="20"/>
                <w:color w:val="auto"/>
              </w:rPr>
            </w:pPr>
            <w:r>
              <w:rPr>
                <w:rFonts w:ascii="Arial" w:cs="Arial" w:eastAsia="Arial" w:hAnsi="Arial"/>
                <w:sz w:val="18"/>
                <w:szCs w:val="18"/>
                <w:b w:val="1"/>
                <w:bCs w:val="1"/>
                <w:color w:val="auto"/>
              </w:rPr>
              <w:t>Incorporated by Reference</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5"/>
              </w:rPr>
              <w:t>Filing</w:t>
            </w: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8"/>
        </w:trPr>
        <w:tc>
          <w:tcPr>
            <w:tcW w:w="1280" w:type="dxa"/>
            <w:vAlign w:val="bottom"/>
            <w:gridSpan w:val="2"/>
            <w:vMerge w:val="continue"/>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5020" w:type="dxa"/>
            <w:vAlign w:val="bottom"/>
            <w:tcBorders>
              <w:bottom w:val="single" w:sz="8" w:color="auto"/>
            </w:tcBorders>
          </w:tcPr>
          <w:p>
            <w:pPr>
              <w:ind w:left="1780"/>
              <w:spacing w:after="0"/>
              <w:rPr>
                <w:sz w:val="20"/>
                <w:szCs w:val="20"/>
                <w:color w:val="auto"/>
              </w:rPr>
            </w:pPr>
            <w:r>
              <w:rPr>
                <w:rFonts w:ascii="Arial" w:cs="Arial" w:eastAsia="Arial" w:hAnsi="Arial"/>
                <w:sz w:val="18"/>
                <w:szCs w:val="18"/>
                <w:b w:val="1"/>
                <w:bCs w:val="1"/>
                <w:color w:val="auto"/>
              </w:rPr>
              <w:t>Exhibit description</w:t>
            </w:r>
          </w:p>
        </w:tc>
        <w:tc>
          <w:tcPr>
            <w:tcW w:w="120" w:type="dxa"/>
            <w:vAlign w:val="bottom"/>
          </w:tcPr>
          <w:p>
            <w:pPr>
              <w:spacing w:after="0"/>
              <w:rPr>
                <w:sz w:val="20"/>
                <w:szCs w:val="20"/>
                <w:color w:val="auto"/>
              </w:rPr>
            </w:pP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Form</w:t>
            </w:r>
          </w:p>
        </w:tc>
        <w:tc>
          <w:tcPr>
            <w:tcW w:w="120" w:type="dxa"/>
            <w:vAlign w:val="bottom"/>
          </w:tcPr>
          <w:p>
            <w:pPr>
              <w:spacing w:after="0"/>
              <w:rPr>
                <w:sz w:val="20"/>
                <w:szCs w:val="20"/>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20"/>
                <w:szCs w:val="20"/>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date</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407"/>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Articles of Incorporation</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20"/>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w w:val="97"/>
              </w:rPr>
              <w:t>Certification of Chief Executive Officer Pursuant to Rule 13a-14(a)</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w w:val="96"/>
              </w:rPr>
              <w:t>or 15d-14(a) of the Securities Exchange Act of 1933, as amended.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w w:val="96"/>
              </w:rPr>
              <w:t>Certification of Chief Financial Officer and Chief Accounting Officer</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w w:val="94"/>
              </w:rPr>
              <w:t>Pursuant to Rule 13a-14(a) or 15d-14(a) of the Securities Exchange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Act of 1933, as amended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w w:val="97"/>
              </w:rPr>
              <w:t>Certification of Chief Executive Officer Pursuant to Rule 13a-14(a)</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w w:val="96"/>
              </w:rPr>
              <w:t>or 15d-14(a) of the Securities Exchange Act of 1933, as amended.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and Chief Principal</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w w:val="94"/>
              </w:rPr>
              <w:t>Accounting Officer pursuant to 18 U.S.C. 1350 as adopted pursuant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to Section 906 of the Sarbanes-Oxley Act of 2002.</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Exhibit 101</w:t>
            </w: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1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1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1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1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1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34"/>
        </w:trPr>
        <w:tc>
          <w:tcPr>
            <w:tcW w:w="12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1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548640</wp:posOffset>
            </wp:positionV>
            <wp:extent cx="10890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 Glynn Wilson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5176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Chairman,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4, 2016</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Filed in the office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 of State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OF NEVADA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22, 1991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ARTICLES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WARD’S FUTURA ATOMOTIVE,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KNOW ALL MEN BY THESE PRESENTS: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the undersigned, natural persons of the age of 21 year, or more, acting as incorporators of a corporation under the Nevada Business Corporation Act, adopt the following Articles of Incorporation for such corporation:</w:t>
      </w:r>
    </w:p>
    <w:p>
      <w:pPr>
        <w:spacing w:after="0" w:line="17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ARTICLE I - NAME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shall be WARD'S FUTURA ATOMOTIVE,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 - DURATION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period of its duration shall be perpetual unless dissolved or terminated according to law.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 – CORPORATE PURPOSES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general purposes and objects for which the corporation is organized are to engage primarily in any type of manufacturing of automobiles, and/or marketing of automobiles or, automotive related products both retail and wholesale. Realstate unimproved or improved, land development, and/or investment in real property or real estate related endeavors. To engage in any business, investment or other pursuit or activity, whether retail or wholesale, whether commercial or industrial; and to perform any and all other lawful acts or purposes as are or may be granted to corporate entitles under the laws of the State of Nevada and by any other state or foreign country. The corporation may conduct its business anywhere within the States of the United States of America or in any foreign country, without in any way limiting the foregoing powers. It is hereby provided that the corporation shall have the power to do any and all acts and things that may be reasonably necessary or appropriate to accomplish any of the foregoing purposes for which the corporation is formed.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 - SHARES OF STOCK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aggregate number of shares which the corporation shall have authority to issue is 50,000,000 shares of common stock at par value of $0.001 per share, or a total capitalization of $50,000.00.</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shall be no cumulative voting, and all pre-emptive rights are denied. Each share shall entitle the holder thereof to one vote at all meetings of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Stockholders shall not be liable to the corporation or its creditors for any debts or obligations of the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 - STOCK RESTRICTIONS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All shares of stock in the company are assignable and any stockholder may sell, assign and transfer his shares, and certificates of stock at pleasure except that no such transfer, sale or assignment shall be valid unless and until it shall have been entered upon the books of the company and the old certificate or certificates shall have been surrendered for cancellation to the Secretary and a new certificate or certificates issued in lieu of the same.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 COMMENCING BUSINESS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corporation will not commence business until consideration of the value of at least One Thousand Dollars (1,000.00) has been received for the issuance of shares.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 - REGISTERED AGENT AND OFFICE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and post office address of its initial registered agent is Donald C. Bradley. 5312 Ithaca, Las Vegas, NV, 89122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 - DIRECTORS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That the number of directors of this corporation, their qualifications, terms of office and the time and manner of their election, removal and resignation shall be as follows:</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number of directors shall not be less than two (2) nor more than seven (9), the exact number within such limits to be determined in the manner prescribed by the by-laws.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Directors shall be elected at the annual meeting of the stockholders of this corporation and shall serve for one (1) year and until their successors shall have been duly elected and qualified.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majority of the entire number of directors, but not less than (2), shall be necessary to form a quorum of the board of directors, authorized to transact the business and exercise the corporate powers of the corporation.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officers shall consist of:</w:t>
      </w:r>
    </w:p>
    <w:p>
      <w:pPr>
        <w:spacing w:after="0" w:line="225"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President;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One or more Vice Presidents as shall be provided by the by-laws or the board of directors;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Secretary: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Treasurer - may be held by officers who concurrently hold another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ind w:firstLine="648"/>
        <w:spacing w:after="0" w:line="277" w:lineRule="auto"/>
        <w:rPr>
          <w:sz w:val="20"/>
          <w:szCs w:val="20"/>
          <w:color w:val="auto"/>
        </w:rPr>
      </w:pPr>
      <w:r>
        <w:rPr>
          <w:rFonts w:ascii="Arial" w:cs="Arial" w:eastAsia="Arial" w:hAnsi="Arial"/>
          <w:sz w:val="18"/>
          <w:szCs w:val="18"/>
          <w:color w:val="auto"/>
        </w:rPr>
        <w:t>Such officers shall be elected annually by the board of directors and shall serve for one (1) year and until their successors shall have been duly elected and qualified.</w:t>
      </w:r>
    </w:p>
    <w:p>
      <w:pPr>
        <w:spacing w:after="0" w:line="170"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Any officer may be removed by vote of a majority of the board of directors or in such other manner as may be prescribed in the by-laws.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That the following named person, parties hereto, the directors and officers of this corporation from the date hereof and until their successors shall have been elected and qualified:</w:t>
      </w:r>
    </w:p>
    <w:p>
      <w:pPr>
        <w:sectPr>
          <w:pgSz w:w="11900" w:h="16838" w:orient="portrait"/>
          <w:cols w:equalWidth="0" w:num="1">
            <w:col w:w="11420"/>
          </w:cols>
          <w:pgMar w:left="240" w:top="908"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PRESIDENT &amp; DIRECTOR:</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DONALD C. BRADLEY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5312 ITHACA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LAS VEGAS, NV 09122</w:t>
      </w:r>
    </w:p>
    <w:p>
      <w:pPr>
        <w:spacing w:after="0" w:line="200" w:lineRule="exact"/>
        <w:rPr>
          <w:sz w:val="20"/>
          <w:szCs w:val="20"/>
          <w:color w:val="auto"/>
        </w:rPr>
      </w:pPr>
    </w:p>
    <w:p>
      <w:pPr>
        <w:sectPr>
          <w:pgSz w:w="11900" w:h="16838" w:orient="portrait"/>
          <w:cols w:equalWidth="0" w:num="2">
            <w:col w:w="5000" w:space="720"/>
            <w:col w:w="5700"/>
          </w:cols>
          <w:pgMar w:left="240" w:top="908" w:right="2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&amp; DIRECTOR:</w:t>
      </w:r>
    </w:p>
    <w:p>
      <w:pPr>
        <w:sectPr>
          <w:pgSz w:w="11900" w:h="16838" w:orient="portrait"/>
          <w:cols w:equalWidth="0" w:num="1">
            <w:col w:w="11420"/>
          </w:cols>
          <w:pgMar w:left="240" w:top="908" w:right="2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SECRETARY/TREASURER &amp; DIRECTOR: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SHIRLENE BRADLEY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5312 ITHACA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LAS VEGAS, NV 89122</w:t>
      </w:r>
    </w:p>
    <w:p>
      <w:pPr>
        <w:spacing w:after="0" w:line="200" w:lineRule="exact"/>
        <w:rPr>
          <w:sz w:val="20"/>
          <w:szCs w:val="20"/>
          <w:color w:val="auto"/>
        </w:rPr>
      </w:pPr>
    </w:p>
    <w:p>
      <w:pPr>
        <w:sectPr>
          <w:pgSz w:w="11900" w:h="16838" w:orient="portrait"/>
          <w:cols w:equalWidth="0" w:num="2">
            <w:col w:w="5000" w:space="720"/>
            <w:col w:w="5700"/>
          </w:cols>
          <w:pgMar w:left="240" w:top="908" w:right="239" w:bottom="1440" w:gutter="0" w:footer="0" w:header="0"/>
          <w:type w:val="continuous"/>
        </w:sectPr>
      </w:pP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 - SHAREHOLDER LIABILITY</w:t>
      </w:r>
    </w:p>
    <w:p>
      <w:pPr>
        <w:sectPr>
          <w:pgSz w:w="11900" w:h="16838" w:orient="portrait"/>
          <w:cols w:equalWidth="0" w:num="1">
            <w:col w:w="11420"/>
          </w:cols>
          <w:pgMar w:left="240" w:top="908" w:right="239" w:bottom="1440" w:gutter="0" w:footer="0" w:header="0"/>
          <w:type w:val="continuous"/>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That the private property of the stockholders of this corporation shall not be liable for the debts or obligations of the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 - INCORPORATORS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and address of each incorporator is: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DONALD C. BRADLEY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5312 ITHACA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LAS VEGAS, NV 89122</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SHIRLENE BRADLEY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5312 ITHACA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LAS VEGAS, NV 89122</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 - 1244 STOCK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Shares of stock of this corporation authorized and issued pursuant to these Articles of Incorporation within two (2) years from the date of incorporation are, for the purpose of the Internal Revenue Code, authorized and issued in. compliance with and as prescribed by Section 1244 of the Internal Revenue Code of 1954, as amended shall be known as "Section 1244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color w:val="auto"/>
        </w:rPr>
        <w:t>ARTICLE XIII – DIRECTORS’ OF OFFICERS’ CONTRACTS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No contract or other transaction between this corporation and one or more of its directors or any other corporation. firm, association or entity in which one or more of its directors are directors or officers are financially interested shall be either void or voidable because of such relationship or interest, or because such director or directors are present at the meeting of the board of directors or a committee thereof, which authorizes, approves or ratifies such contracts or transaction, or, because his or their votes are counted for such purpose, if: (a) the fact of such relationship or interest is disclosed or known to the board of directors or committee which authorizes, approves or ratifies the contract or transaction by vote or consent sufficient for the purpose without counting the votes or consents of such interested director: or (b) the fact of such relationship or interest is disclosed or known to the shareholders entitled to vote and they authorize, approve or ratify such contract or transaction by vote or written consent: or, (c) the contract or transaction is fair and reasonable to the corporation. Common or interested directors may be counted in determining the presence of a quorum at a meeting of the board of directors or committee thereof which authorizes, approves or ratifies such contract or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INCORPORATORS</w:t>
      </w:r>
    </w:p>
    <w:p>
      <w:pPr>
        <w:spacing w:after="0" w:line="225"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STATE OF NEVADA</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COUNTY OF CLARK</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21, 1991, personally appeared before me, Donald C. Bradley and Shirlene Bradley, who being duly sworn by me first, declared that he had read the foregoing Articles of Incorporation, that he had signed the foregoing document as an incorporator and that the statements contained therein are true.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WITNESS WHEREOF, I have hereunto set my hand and seal this day of </w:t>
      </w:r>
      <w:r>
        <w:rPr>
          <w:rFonts w:ascii="Arial" w:cs="Arial" w:eastAsia="Arial" w:hAnsi="Arial"/>
          <w:sz w:val="18"/>
          <w:szCs w:val="18"/>
          <w:u w:val="single" w:color="auto"/>
          <w:color w:val="auto"/>
        </w:rPr>
        <w:t>October</w:t>
      </w:r>
      <w:r>
        <w:rPr>
          <w:rFonts w:ascii="Arial" w:cs="Arial" w:eastAsia="Arial" w:hAnsi="Arial"/>
          <w:sz w:val="18"/>
          <w:szCs w:val="18"/>
          <w:color w:val="auto"/>
        </w:rPr>
        <w:t>, 1991</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My Commission Expires:</w:t>
      </w:r>
    </w:p>
    <w:p>
      <w:pPr>
        <w:spacing w:after="0" w:line="24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2-4-95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Donald C. Bradley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Donald C.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Shirlene Bradley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Shirlene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O Chase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063" w:lineRule="exact"/>
        <w:rPr>
          <w:sz w:val="20"/>
          <w:szCs w:val="20"/>
          <w:color w:val="auto"/>
        </w:rPr>
      </w:pPr>
    </w:p>
    <w:p>
      <w:pPr>
        <w:sectPr>
          <w:pgSz w:w="11900" w:h="16838" w:orient="portrait"/>
          <w:cols w:equalWidth="0" w:num="2">
            <w:col w:w="5000" w:space="720"/>
            <w:col w:w="5700"/>
          </w:cols>
          <w:pgMar w:left="240" w:top="908" w:right="239" w:bottom="1440" w:gutter="0" w:footer="0" w:header="0"/>
          <w:type w:val="continuous"/>
        </w:sectPr>
      </w:pPr>
    </w:p>
    <w:p>
      <w:pPr>
        <w:spacing w:after="0" w:line="3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 Donald C. Bradley acting as registered Agent, in the State of Nevada and living in Clark County, Nevada, do hereby accept the full legal responsibility as Agent for the corporation registered under the name of Ward’s Futura Atomotive, LTD. who’s address is, 5312 Ithaca, Las Vegas, NV 89122.</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Donald C. Bradley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Donald C.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STATE OF NEVADA</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COUNTY OF CLARK</w:t>
      </w:r>
      <w:r>
        <w:rPr>
          <w:sz w:val="20"/>
          <w:szCs w:val="20"/>
          <w:color w:val="auto"/>
        </w:rPr>
        <w:tab/>
      </w:r>
      <w:r>
        <w:rPr>
          <w:rFonts w:ascii="Arial" w:cs="Arial" w:eastAsia="Arial" w:hAnsi="Arial"/>
          <w:sz w:val="18"/>
          <w:szCs w:val="18"/>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SUBSCRIBED AND SWORN to before me This </w:t>
      </w:r>
      <w:r>
        <w:rPr>
          <w:rFonts w:ascii="Arial" w:cs="Arial" w:eastAsia="Arial" w:hAnsi="Arial"/>
          <w:sz w:val="18"/>
          <w:szCs w:val="18"/>
          <w:u w:val="single" w:color="auto"/>
          <w:color w:val="auto"/>
        </w:rPr>
        <w:t>21</w:t>
      </w:r>
      <w:r>
        <w:rPr>
          <w:rFonts w:ascii="Arial" w:cs="Arial" w:eastAsia="Arial" w:hAnsi="Arial"/>
          <w:sz w:val="30"/>
          <w:szCs w:val="30"/>
          <w:u w:val="single" w:color="auto"/>
          <w:color w:val="auto"/>
          <w:vertAlign w:val="superscript"/>
        </w:rPr>
        <w:t>st</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October</w:t>
      </w:r>
      <w:r>
        <w:rPr>
          <w:rFonts w:ascii="Arial" w:cs="Arial" w:eastAsia="Arial" w:hAnsi="Arial"/>
          <w:sz w:val="18"/>
          <w:szCs w:val="18"/>
          <w:color w:val="auto"/>
        </w:rPr>
        <w:t>, 1991.</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O Chase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Residing in Las Vegas, Nevada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 2-4-95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color w:val="auto"/>
        </w:rPr>
        <w:t>Filed in the office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 of State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OF NEVADA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20, 1995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ARTICLES OF 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PERFECT FUTURE, LTD.</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Articles of Amendment to the original Articles of Incorporation of WARD'S FUTURA AUTOMOTIVE, LTD. a Nevada corporation are set up as follows: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ARTICLE I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(hereinafter called the corporation) is PERFECT FUTURE, LTD.</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AMENDMENT - ARTICLE I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amended to: PERFECT FUTURE, LTD.</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 Article IV</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amount of authorized shares is 50,000,000 having par value of .001.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 ARTICLE IV</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amount of authorized shares is 50,000,000 of common shares at a par of .001.</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the date of the Special Meeting of Shareholders the Company had issued and outstanding TWO MILLION (2,000,000) shares of COMMON .001 par value stock, held by 30 shareholders all of which were entitled to vote on the proposed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center"/>
        <w:ind w:right="-559"/>
        <w:spacing w:after="0"/>
        <w:rPr>
          <w:sz w:val="20"/>
          <w:szCs w:val="20"/>
          <w:color w:val="auto"/>
        </w:rPr>
      </w:pPr>
      <w:r>
        <w:rPr>
          <w:rFonts w:ascii="Arial" w:cs="Arial" w:eastAsia="Arial" w:hAnsi="Arial"/>
          <w:sz w:val="18"/>
          <w:szCs w:val="18"/>
          <w:color w:val="auto"/>
        </w:rPr>
        <w:t>AMENDMENT</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ARTICLE VI PERFECT FUTURE, LTD.</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At the Special Stockholders Meeting held December 5, 1995, TWO MILLION SHARES voted in favor of the amendment and none (0) voted against the amendment.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5th day of December 1995</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/s/ Donald C. Bradley</w:t>
            </w:r>
          </w:p>
        </w:tc>
        <w:tc>
          <w:tcPr>
            <w:tcW w:w="1900" w:type="dxa"/>
            <w:vAlign w:val="bottom"/>
            <w:gridSpan w:val="2"/>
          </w:tcPr>
          <w:p>
            <w:pPr>
              <w:ind w:left="1220"/>
              <w:spacing w:after="0"/>
              <w:rPr>
                <w:sz w:val="20"/>
                <w:szCs w:val="20"/>
                <w:color w:val="auto"/>
              </w:rPr>
            </w:pPr>
            <w:r>
              <w:rPr>
                <w:rFonts w:ascii="Arial" w:cs="Arial" w:eastAsia="Arial" w:hAnsi="Arial"/>
                <w:sz w:val="18"/>
                <w:szCs w:val="18"/>
                <w:color w:val="auto"/>
                <w:w w:val="86"/>
              </w:rPr>
              <w:t>President</w:t>
            </w:r>
          </w:p>
        </w:tc>
      </w:tr>
      <w:tr>
        <w:trPr>
          <w:trHeight w:val="224"/>
        </w:trPr>
        <w:tc>
          <w:tcPr>
            <w:tcW w:w="2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Donald C. Bradley</w:t>
            </w:r>
          </w:p>
        </w:tc>
        <w:tc>
          <w:tcPr>
            <w:tcW w:w="12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/s/ Shaun Hadley</w:t>
            </w:r>
          </w:p>
        </w:tc>
        <w:tc>
          <w:tcPr>
            <w:tcW w:w="1900" w:type="dxa"/>
            <w:vAlign w:val="bottom"/>
            <w:gridSpan w:val="2"/>
          </w:tcPr>
          <w:p>
            <w:pPr>
              <w:ind w:left="1220"/>
              <w:spacing w:after="0"/>
              <w:rPr>
                <w:sz w:val="20"/>
                <w:szCs w:val="20"/>
                <w:color w:val="auto"/>
              </w:rPr>
            </w:pPr>
            <w:r>
              <w:rPr>
                <w:rFonts w:ascii="Arial" w:cs="Arial" w:eastAsia="Arial" w:hAnsi="Arial"/>
                <w:sz w:val="18"/>
                <w:szCs w:val="18"/>
                <w:color w:val="auto"/>
                <w:w w:val="85"/>
              </w:rPr>
              <w:t>Secretary</w:t>
            </w:r>
          </w:p>
        </w:tc>
      </w:tr>
      <w:tr>
        <w:trPr>
          <w:trHeight w:val="224"/>
        </w:trPr>
        <w:tc>
          <w:tcPr>
            <w:tcW w:w="2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Shaun Hadley</w:t>
            </w:r>
          </w:p>
        </w:tc>
        <w:tc>
          <w:tcPr>
            <w:tcW w:w="12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STATE OF NEVADA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COUNTY OF CLARK</w:t>
      </w:r>
    </w:p>
    <w:p>
      <w:pPr>
        <w:spacing w:after="0" w:line="225" w:lineRule="exact"/>
        <w:rPr>
          <w:sz w:val="20"/>
          <w:szCs w:val="20"/>
          <w:color w:val="auto"/>
        </w:rPr>
      </w:pPr>
    </w:p>
    <w:p>
      <w:pPr>
        <w:ind w:right="4800"/>
        <w:spacing w:after="0" w:line="342" w:lineRule="auto"/>
        <w:rPr>
          <w:sz w:val="20"/>
          <w:szCs w:val="20"/>
          <w:color w:val="auto"/>
        </w:rPr>
      </w:pPr>
      <w:r>
        <w:rPr>
          <w:rFonts w:ascii="Arial" w:cs="Arial" w:eastAsia="Arial" w:hAnsi="Arial"/>
          <w:sz w:val="16"/>
          <w:szCs w:val="16"/>
          <w:color w:val="auto"/>
        </w:rPr>
        <w:t>On December 5th, 1995 Donald C. Bradley, personally appeared before me a notary public, acknowledges that Donald C Bradley executed the above instrument.</w:t>
      </w:r>
    </w:p>
    <w:p>
      <w:pPr>
        <w:spacing w:after="0" w:line="124" w:lineRule="exact"/>
        <w:rPr>
          <w:sz w:val="20"/>
          <w:szCs w:val="20"/>
          <w:color w:val="auto"/>
        </w:rPr>
      </w:pPr>
    </w:p>
    <w:p>
      <w:pPr>
        <w:spacing w:after="0"/>
        <w:tabs>
          <w:tab w:leader="none" w:pos="2320" w:val="left"/>
        </w:tabs>
        <w:rPr>
          <w:sz w:val="20"/>
          <w:szCs w:val="20"/>
          <w:color w:val="auto"/>
        </w:rPr>
      </w:pPr>
      <w:r>
        <w:rPr>
          <w:rFonts w:ascii="Arial" w:cs="Arial" w:eastAsia="Arial" w:hAnsi="Arial"/>
          <w:sz w:val="18"/>
          <w:szCs w:val="18"/>
          <w:color w:val="auto"/>
        </w:rPr>
        <w:t>Signature of Notary</w:t>
      </w:r>
      <w:r>
        <w:rPr>
          <w:sz w:val="20"/>
          <w:szCs w:val="20"/>
          <w:color w:val="auto"/>
        </w:rPr>
        <w:tab/>
      </w:r>
      <w:r>
        <w:rPr>
          <w:rFonts w:ascii="Arial" w:cs="Arial" w:eastAsia="Arial" w:hAnsi="Arial"/>
          <w:sz w:val="17"/>
          <w:szCs w:val="17"/>
          <w:color w:val="auto"/>
        </w:rPr>
        <w:t>/s/ Kristina A. Heffner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14605</wp:posOffset>
            </wp:positionV>
            <wp:extent cx="21697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908" w:right="79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STATE OF NEVADA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REINSTATEMENT</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I, DEAN HELLER, the duly elected Secretary of State of the State of Nevada, do hereby certify that WARD’S FUTURA AUTOMOTIVE, LTD. a corporation formed under the laws of the State of </w:t>
      </w:r>
      <w:r>
        <w:rPr>
          <w:rFonts w:ascii="Arial" w:cs="Arial" w:eastAsia="Arial" w:hAnsi="Arial"/>
          <w:sz w:val="18"/>
          <w:szCs w:val="18"/>
          <w:u w:val="single" w:color="auto"/>
          <w:color w:val="auto"/>
        </w:rPr>
        <w:t>NEVADA</w:t>
      </w:r>
      <w:r>
        <w:rPr>
          <w:rFonts w:ascii="Arial" w:cs="Arial" w:eastAsia="Arial" w:hAnsi="Arial"/>
          <w:sz w:val="18"/>
          <w:szCs w:val="18"/>
          <w:color w:val="auto"/>
        </w:rPr>
        <w:t xml:space="preserve"> having paid all filing fees, licenses, penalties and costs, in accordance with the provisions of Title 7 of the Nevada Revised Statutes, as amended, for the years and in the amounts as follows:</w:t>
      </w:r>
    </w:p>
    <w:p>
      <w:pPr>
        <w:spacing w:after="0" w:line="19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0"/>
              </w:rPr>
              <w:t>1992-93</w:t>
            </w:r>
          </w:p>
        </w:tc>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LIST OF OFFICERS AND PENALTY</w:t>
            </w:r>
          </w:p>
        </w:tc>
        <w:tc>
          <w:tcPr>
            <w:tcW w:w="3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0"/>
              </w:rPr>
              <w:t>1993-94</w:t>
            </w:r>
          </w:p>
        </w:tc>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LIST OF OFFICER AND PENALTY</w:t>
            </w:r>
          </w:p>
        </w:tc>
        <w:tc>
          <w:tcPr>
            <w:tcW w:w="3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0"/>
              </w:rPr>
              <w:t>1994-95</w:t>
            </w:r>
          </w:p>
        </w:tc>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LIST OF OFFICER AND PENALTY</w:t>
            </w:r>
          </w:p>
        </w:tc>
        <w:tc>
          <w:tcPr>
            <w:tcW w:w="3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0"/>
              </w:rPr>
              <w:t>1995-96</w:t>
            </w:r>
          </w:p>
        </w:tc>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LIST OF OFFICER AND PENALTY</w:t>
            </w:r>
          </w:p>
        </w:tc>
        <w:tc>
          <w:tcPr>
            <w:tcW w:w="3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gridSpan w:val="2"/>
          </w:tcPr>
          <w:p>
            <w:pPr>
              <w:spacing w:after="0"/>
              <w:rPr>
                <w:sz w:val="18"/>
                <w:szCs w:val="18"/>
                <w:color w:val="auto"/>
              </w:rPr>
            </w:pPr>
          </w:p>
        </w:tc>
        <w:tc>
          <w:tcPr>
            <w:tcW w:w="3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REINSTATEMENT FEE</w:t>
            </w:r>
          </w:p>
        </w:tc>
        <w:tc>
          <w:tcPr>
            <w:tcW w:w="3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And otherwise complied with the provisions of said section, the said corporation has been reinstated, and that by virtue of such reinstatement it is authorized to transact its business in the same manner as if the aforesaid filing fees, licenses, penalties and costs had been paid when due.</w:t>
      </w:r>
    </w:p>
    <w:p>
      <w:pPr>
        <w:spacing w:after="0" w:line="150" w:lineRule="exact"/>
        <w:rPr>
          <w:sz w:val="20"/>
          <w:szCs w:val="20"/>
          <w:color w:val="auto"/>
        </w:rPr>
      </w:pPr>
    </w:p>
    <w:p>
      <w:pPr>
        <w:ind w:right="260" w:firstLine="729"/>
        <w:spacing w:after="0" w:line="210" w:lineRule="auto"/>
        <w:rPr>
          <w:sz w:val="20"/>
          <w:szCs w:val="20"/>
          <w:color w:val="auto"/>
        </w:rPr>
      </w:pPr>
      <w:r>
        <w:rPr>
          <w:rFonts w:ascii="Arial" w:cs="Arial" w:eastAsia="Arial" w:hAnsi="Arial"/>
          <w:sz w:val="18"/>
          <w:szCs w:val="18"/>
          <w:color w:val="auto"/>
        </w:rPr>
        <w:t>IN WITNESS WHEREOF, I have hereunto set my hand and affixed the Great Seal of State, at my office in Carson City, Nevada, this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December, A.D., 1995.</w:t>
      </w: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Dean Heller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Deputy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Filed in the office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 of State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OF NEVADA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20, 1997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 OF ARTICLE OF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(AFTER ISSUANCE OF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Perfect Future,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gridSpan w:val="3"/>
          </w:tcPr>
          <w:p>
            <w:pPr>
              <w:spacing w:after="0"/>
              <w:rPr>
                <w:sz w:val="20"/>
                <w:szCs w:val="20"/>
                <w:color w:val="auto"/>
              </w:rPr>
            </w:pPr>
            <w:r>
              <w:rPr>
                <w:rFonts w:ascii="Arial" w:cs="Arial" w:eastAsia="Arial" w:hAnsi="Arial"/>
                <w:sz w:val="18"/>
                <w:szCs w:val="18"/>
                <w:color w:val="auto"/>
              </w:rPr>
              <w:t>We the undersigned Donald Bradley</w:t>
            </w: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380" w:type="dxa"/>
            <w:vAlign w:val="bottom"/>
          </w:tcPr>
          <w:p>
            <w:pPr>
              <w:ind w:left="40"/>
              <w:spacing w:after="0"/>
              <w:rPr>
                <w:sz w:val="20"/>
                <w:szCs w:val="20"/>
                <w:color w:val="auto"/>
              </w:rPr>
            </w:pPr>
            <w:r>
              <w:rPr>
                <w:rFonts w:ascii="Arial" w:cs="Arial" w:eastAsia="Arial" w:hAnsi="Arial"/>
                <w:sz w:val="18"/>
                <w:szCs w:val="18"/>
                <w:color w:val="auto"/>
              </w:rPr>
              <w:t>and</w:t>
            </w:r>
          </w:p>
        </w:tc>
      </w:tr>
      <w:tr>
        <w:trPr>
          <w:trHeight w:val="222"/>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6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9"/>
              </w:rPr>
              <w:t>President or Vice President</w:t>
            </w:r>
          </w:p>
        </w:tc>
        <w:tc>
          <w:tcPr>
            <w:tcW w:w="4380" w:type="dxa"/>
            <w:vAlign w:val="bottom"/>
          </w:tcPr>
          <w:p>
            <w:pPr>
              <w:spacing w:after="0"/>
              <w:rPr>
                <w:sz w:val="19"/>
                <w:szCs w:val="19"/>
                <w:color w:val="auto"/>
              </w:rPr>
            </w:pPr>
          </w:p>
        </w:tc>
      </w:tr>
      <w:tr>
        <w:trPr>
          <w:trHeight w:val="230"/>
        </w:trPr>
        <w:tc>
          <w:tcPr>
            <w:tcW w:w="4340" w:type="dxa"/>
            <w:vAlign w:val="bottom"/>
            <w:gridSpan w:val="3"/>
          </w:tcPr>
          <w:p>
            <w:pPr>
              <w:spacing w:after="0"/>
              <w:rPr>
                <w:sz w:val="20"/>
                <w:szCs w:val="20"/>
                <w:color w:val="auto"/>
              </w:rPr>
            </w:pPr>
            <w:r>
              <w:rPr>
                <w:rFonts w:ascii="Arial" w:cs="Arial" w:eastAsia="Arial" w:hAnsi="Arial"/>
                <w:sz w:val="18"/>
                <w:szCs w:val="18"/>
                <w:color w:val="auto"/>
              </w:rPr>
              <w:t>Shaun Hadley</w:t>
            </w:r>
          </w:p>
        </w:tc>
        <w:tc>
          <w:tcPr>
            <w:tcW w:w="1280" w:type="dxa"/>
            <w:vAlign w:val="bottom"/>
          </w:tcPr>
          <w:p>
            <w:pPr>
              <w:spacing w:after="0"/>
              <w:rPr>
                <w:sz w:val="20"/>
                <w:szCs w:val="20"/>
                <w:color w:val="auto"/>
              </w:rPr>
            </w:pPr>
          </w:p>
        </w:tc>
        <w:tc>
          <w:tcPr>
            <w:tcW w:w="1420" w:type="dxa"/>
            <w:vAlign w:val="bottom"/>
            <w:gridSpan w:val="2"/>
          </w:tcPr>
          <w:p>
            <w:pPr>
              <w:jc w:val="center"/>
              <w:ind w:right="1200"/>
              <w:spacing w:after="0"/>
              <w:rPr>
                <w:sz w:val="20"/>
                <w:szCs w:val="20"/>
                <w:color w:val="auto"/>
              </w:rPr>
            </w:pPr>
            <w:r>
              <w:rPr>
                <w:rFonts w:ascii="Arial" w:cs="Arial" w:eastAsia="Arial" w:hAnsi="Arial"/>
                <w:sz w:val="18"/>
                <w:szCs w:val="18"/>
                <w:color w:val="auto"/>
                <w:w w:val="92"/>
              </w:rPr>
              <w:t>of</w:t>
            </w:r>
          </w:p>
        </w:tc>
        <w:tc>
          <w:tcPr>
            <w:tcW w:w="4380" w:type="dxa"/>
            <w:vAlign w:val="bottom"/>
          </w:tcPr>
          <w:p>
            <w:pPr>
              <w:jc w:val="center"/>
              <w:ind w:right="1130"/>
              <w:spacing w:after="0"/>
              <w:rPr>
                <w:sz w:val="20"/>
                <w:szCs w:val="20"/>
                <w:color w:val="auto"/>
              </w:rPr>
            </w:pPr>
            <w:r>
              <w:rPr>
                <w:rFonts w:ascii="Arial" w:cs="Arial" w:eastAsia="Arial" w:hAnsi="Arial"/>
                <w:sz w:val="18"/>
                <w:szCs w:val="18"/>
                <w:color w:val="auto"/>
                <w:w w:val="90"/>
              </w:rPr>
              <w:t>Perfect Future, Ltd.</w:t>
            </w:r>
          </w:p>
        </w:tc>
      </w:tr>
      <w:tr>
        <w:trPr>
          <w:trHeight w:val="224"/>
        </w:trPr>
        <w:tc>
          <w:tcPr>
            <w:tcW w:w="2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Secretary or Assistant Secretary</w:t>
            </w:r>
          </w:p>
        </w:tc>
        <w:tc>
          <w:tcPr>
            <w:tcW w:w="12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4380" w:type="dxa"/>
            <w:vAlign w:val="bottom"/>
            <w:tcBorders>
              <w:top w:val="single" w:sz="8" w:color="auto"/>
            </w:tcBorders>
          </w:tcPr>
          <w:p>
            <w:pPr>
              <w:jc w:val="center"/>
              <w:ind w:right="1110"/>
              <w:spacing w:after="0"/>
              <w:rPr>
                <w:sz w:val="20"/>
                <w:szCs w:val="20"/>
                <w:color w:val="auto"/>
              </w:rPr>
            </w:pPr>
            <w:r>
              <w:rPr>
                <w:rFonts w:ascii="Arial" w:cs="Arial" w:eastAsia="Arial" w:hAnsi="Arial"/>
                <w:sz w:val="18"/>
                <w:szCs w:val="18"/>
                <w:color w:val="auto"/>
                <w:w w:val="92"/>
              </w:rPr>
              <w:t>Name of Corporation</w:t>
            </w:r>
          </w:p>
        </w:tc>
      </w:tr>
      <w:tr>
        <w:trPr>
          <w:trHeight w:val="418"/>
        </w:trPr>
        <w:tc>
          <w:tcPr>
            <w:tcW w:w="4340" w:type="dxa"/>
            <w:vAlign w:val="bottom"/>
            <w:gridSpan w:val="3"/>
          </w:tcPr>
          <w:p>
            <w:pPr>
              <w:spacing w:after="0"/>
              <w:rPr>
                <w:sz w:val="20"/>
                <w:szCs w:val="20"/>
                <w:color w:val="auto"/>
              </w:rPr>
            </w:pPr>
            <w:r>
              <w:rPr>
                <w:rFonts w:ascii="Arial" w:cs="Arial" w:eastAsia="Arial" w:hAnsi="Arial"/>
                <w:sz w:val="18"/>
                <w:szCs w:val="18"/>
                <w:color w:val="auto"/>
              </w:rPr>
              <w:t>do hereby certify:</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80" w:type="dxa"/>
            <w:vAlign w:val="bottom"/>
          </w:tcPr>
          <w:p>
            <w:pPr>
              <w:spacing w:after="0"/>
              <w:rPr>
                <w:sz w:val="24"/>
                <w:szCs w:val="24"/>
                <w:color w:val="auto"/>
              </w:rPr>
            </w:pPr>
          </w:p>
        </w:tc>
      </w:tr>
    </w:tbl>
    <w:p>
      <w:pPr>
        <w:spacing w:after="0" w:line="202"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 xml:space="preserve">That the Board of Directors of said corporation at a meeting duly convened and held on the </w:t>
      </w:r>
      <w:r>
        <w:rPr>
          <w:rFonts w:ascii="Arial" w:cs="Arial" w:eastAsia="Arial" w:hAnsi="Arial"/>
          <w:sz w:val="18"/>
          <w:szCs w:val="18"/>
          <w:u w:val="single" w:color="auto"/>
          <w:color w:val="auto"/>
        </w:rPr>
        <w:t>22nd</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April</w:t>
      </w:r>
      <w:r>
        <w:rPr>
          <w:rFonts w:ascii="Arial" w:cs="Arial" w:eastAsia="Arial" w:hAnsi="Arial"/>
          <w:sz w:val="18"/>
          <w:szCs w:val="18"/>
          <w:color w:val="auto"/>
        </w:rPr>
        <w:t xml:space="preserve"> 1997, adopted a resolution to amend the original articles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Article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is hereby amended to read as follows:</w:t>
      </w:r>
    </w:p>
    <w:p>
      <w:pPr>
        <w:spacing w:after="0" w:line="23" w:lineRule="exact"/>
        <w:rPr>
          <w:sz w:val="20"/>
          <w:szCs w:val="20"/>
          <w:color w:val="auto"/>
        </w:rPr>
      </w:pPr>
    </w:p>
    <w:p>
      <w:pPr>
        <w:ind w:left="660" w:right="740"/>
        <w:spacing w:after="0" w:line="261" w:lineRule="auto"/>
        <w:rPr>
          <w:sz w:val="20"/>
          <w:szCs w:val="20"/>
          <w:color w:val="auto"/>
        </w:rPr>
      </w:pPr>
      <w:r>
        <w:rPr>
          <w:rFonts w:ascii="Arial" w:cs="Arial" w:eastAsia="Arial" w:hAnsi="Arial"/>
          <w:sz w:val="18"/>
          <w:szCs w:val="18"/>
          <w:color w:val="auto"/>
        </w:rPr>
        <w:t>The corporation is authorized to have two classes of stock:(1) Common ; (2) non-voting preferred. The total amount of authorized shares is 50,000,000 common and 5,000,000 preferred, each class of which shall have a par value of $0.001.</w:t>
      </w:r>
    </w:p>
    <w:p>
      <w:pPr>
        <w:spacing w:after="0" w:line="184"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The number of shares of the corporation outstanding and entitled to vote on an amendment to the Articles of Incorporation are 900,000, that the said change(s) and amendment has been consented to and approved by a majority vote of the stockholders holding at least a majority of each class of stock outstanding and entitled to vote thereon.</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Donald Bradley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Shaun Hadley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 or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State of 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-10160</wp:posOffset>
            </wp:positionV>
            <wp:extent cx="6064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6425" cy="8890"/>
                    </a:xfrm>
                    <a:prstGeom prst="rect">
                      <a:avLst/>
                    </a:prstGeom>
                    <a:noFill/>
                  </pic:spPr>
                </pic:pic>
              </a:graphicData>
            </a:graphic>
          </wp:anchor>
        </w:drawing>
      </w:r>
    </w:p>
    <w:p>
      <w:pPr>
        <w:spacing w:after="0" w:line="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County of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-19050</wp:posOffset>
            </wp:positionV>
            <wp:extent cx="5111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1175" cy="8890"/>
                    </a:xfrm>
                    <a:prstGeom prst="rect">
                      <a:avLst/>
                    </a:prstGeom>
                    <a:noFill/>
                  </pic:spPr>
                </pic:pic>
              </a:graphicData>
            </a:graphic>
          </wp:anchor>
        </w:drawing>
      </w:r>
    </w:p>
    <w:p>
      <w:pPr>
        <w:spacing w:after="0" w:line="191" w:lineRule="exact"/>
        <w:rPr>
          <w:sz w:val="20"/>
          <w:szCs w:val="20"/>
          <w:color w:val="auto"/>
        </w:rPr>
      </w:pPr>
    </w:p>
    <w:p>
      <w:pPr>
        <w:ind w:left="660"/>
        <w:spacing w:after="0"/>
        <w:tabs>
          <w:tab w:leader="none" w:pos="2940" w:val="left"/>
        </w:tabs>
        <w:rPr>
          <w:sz w:val="20"/>
          <w:szCs w:val="20"/>
          <w:color w:val="auto"/>
        </w:rPr>
      </w:pPr>
      <w:r>
        <w:rPr>
          <w:rFonts w:ascii="Arial" w:cs="Arial" w:eastAsia="Arial" w:hAnsi="Arial"/>
          <w:sz w:val="18"/>
          <w:szCs w:val="18"/>
          <w:color w:val="auto"/>
        </w:rPr>
        <w:t>On April 29, 1997</w:t>
      </w:r>
      <w:r>
        <w:rPr>
          <w:sz w:val="20"/>
          <w:szCs w:val="20"/>
          <w:color w:val="auto"/>
        </w:rPr>
        <w:tab/>
      </w:r>
      <w:r>
        <w:rPr>
          <w:rFonts w:ascii="Arial" w:cs="Arial" w:eastAsia="Arial" w:hAnsi="Arial"/>
          <w:sz w:val="16"/>
          <w:szCs w:val="16"/>
          <w:color w:val="auto"/>
        </w:rPr>
        <w:t xml:space="preserve">, personally appeared before me, a Notary Public, </w:t>
      </w:r>
      <w:r>
        <w:rPr>
          <w:rFonts w:ascii="Arial" w:cs="Arial" w:eastAsia="Arial" w:hAnsi="Arial"/>
          <w:sz w:val="16"/>
          <w:szCs w:val="16"/>
          <w:u w:val="single" w:color="auto"/>
          <w:color w:val="auto"/>
        </w:rPr>
        <w:t>/s/ Donald C. Bradley &amp; Shaun Hadley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-10160</wp:posOffset>
            </wp:positionV>
            <wp:extent cx="12985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9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49434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43475" cy="8890"/>
                    </a:xfrm>
                    <a:prstGeom prst="rect">
                      <a:avLst/>
                    </a:prstGeom>
                    <a:noFill/>
                  </pic:spPr>
                </pic:pic>
              </a:graphicData>
            </a:graphic>
          </wp:anchor>
        </w:drawing>
      </w:r>
    </w:p>
    <w:p>
      <w:pPr>
        <w:spacing w:after="0" w:line="20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(Names of persons appearing and signing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Who acknowledged that they executed the above instrument.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Claudia Hill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of Notary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Filed in the office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 of State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OF NEVADA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22, 1997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 OF ARTICLES OF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(AFTER ISSUANCE OF STOCK)</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Perfect Future, LTD.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of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-130810</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We the undersigned</w:t>
            </w:r>
          </w:p>
        </w:tc>
        <w:tc>
          <w:tcPr>
            <w:tcW w:w="2720" w:type="dxa"/>
            <w:vAlign w:val="bottom"/>
            <w:gridSpan w:val="2"/>
          </w:tcPr>
          <w:p>
            <w:pPr>
              <w:ind w:left="80"/>
              <w:spacing w:after="0"/>
              <w:rPr>
                <w:sz w:val="20"/>
                <w:szCs w:val="20"/>
                <w:color w:val="auto"/>
              </w:rPr>
            </w:pPr>
            <w:r>
              <w:rPr>
                <w:rFonts w:ascii="Arial" w:cs="Arial" w:eastAsia="Arial" w:hAnsi="Arial"/>
                <w:sz w:val="18"/>
                <w:szCs w:val="18"/>
                <w:color w:val="auto"/>
              </w:rPr>
              <w:t>Spencer Bradley Vice President</w:t>
            </w:r>
          </w:p>
        </w:tc>
        <w:tc>
          <w:tcPr>
            <w:tcW w:w="4800" w:type="dxa"/>
            <w:vAlign w:val="bottom"/>
          </w:tcPr>
          <w:p>
            <w:pPr>
              <w:spacing w:after="0"/>
              <w:rPr>
                <w:sz w:val="20"/>
                <w:szCs w:val="20"/>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and</w:t>
            </w:r>
          </w:p>
        </w:tc>
      </w:tr>
      <w:tr>
        <w:trPr>
          <w:trHeight w:val="224"/>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72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Name of Corporation</w:t>
            </w:r>
          </w:p>
        </w:tc>
        <w:tc>
          <w:tcPr>
            <w:tcW w:w="48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0"/>
              </w:rPr>
              <w:t>Shaun Hadley</w:t>
            </w:r>
          </w:p>
        </w:tc>
        <w:tc>
          <w:tcPr>
            <w:tcW w:w="2160" w:type="dxa"/>
            <w:vAlign w:val="bottom"/>
            <w:tcBorders>
              <w:bottom w:val="single" w:sz="8" w:color="auto"/>
            </w:tcBorders>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of</w:t>
            </w:r>
          </w:p>
        </w:tc>
        <w:tc>
          <w:tcPr>
            <w:tcW w:w="5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Perfect Future, Ltd.</w:t>
            </w:r>
          </w:p>
        </w:tc>
      </w:tr>
      <w:tr>
        <w:trPr>
          <w:trHeight w:val="224"/>
        </w:trPr>
        <w:tc>
          <w:tcPr>
            <w:tcW w:w="20" w:type="dxa"/>
            <w:vAlign w:val="bottom"/>
          </w:tcPr>
          <w:p>
            <w:pPr>
              <w:spacing w:after="0"/>
              <w:rPr>
                <w:sz w:val="19"/>
                <w:szCs w:val="19"/>
                <w:color w:val="auto"/>
              </w:rPr>
            </w:pPr>
          </w:p>
        </w:tc>
        <w:tc>
          <w:tcPr>
            <w:tcW w:w="5480" w:type="dxa"/>
            <w:vAlign w:val="bottom"/>
            <w:gridSpan w:val="3"/>
          </w:tcPr>
          <w:p>
            <w:pPr>
              <w:jc w:val="center"/>
              <w:spacing w:after="0"/>
              <w:rPr>
                <w:sz w:val="20"/>
                <w:szCs w:val="20"/>
                <w:color w:val="auto"/>
              </w:rPr>
            </w:pPr>
            <w:r>
              <w:rPr>
                <w:rFonts w:ascii="Arial" w:cs="Arial" w:eastAsia="Arial" w:hAnsi="Arial"/>
                <w:sz w:val="18"/>
                <w:szCs w:val="18"/>
                <w:color w:val="auto"/>
                <w:w w:val="89"/>
              </w:rPr>
              <w:t>Secretary or Assistant Secretary</w:t>
            </w:r>
          </w:p>
        </w:tc>
        <w:tc>
          <w:tcPr>
            <w:tcW w:w="560" w:type="dxa"/>
            <w:vAlign w:val="bottom"/>
          </w:tcPr>
          <w:p>
            <w:pPr>
              <w:spacing w:after="0"/>
              <w:rPr>
                <w:sz w:val="19"/>
                <w:szCs w:val="19"/>
                <w:color w:val="auto"/>
              </w:rPr>
            </w:pPr>
          </w:p>
        </w:tc>
        <w:tc>
          <w:tcPr>
            <w:tcW w:w="5360" w:type="dxa"/>
            <w:vAlign w:val="bottom"/>
            <w:gridSpan w:val="2"/>
          </w:tcPr>
          <w:p>
            <w:pPr>
              <w:jc w:val="center"/>
              <w:spacing w:after="0"/>
              <w:rPr>
                <w:sz w:val="20"/>
                <w:szCs w:val="20"/>
                <w:color w:val="auto"/>
              </w:rPr>
            </w:pPr>
            <w:r>
              <w:rPr>
                <w:rFonts w:ascii="Arial" w:cs="Arial" w:eastAsia="Arial" w:hAnsi="Arial"/>
                <w:sz w:val="18"/>
                <w:szCs w:val="18"/>
                <w:color w:val="auto"/>
                <w:w w:val="92"/>
              </w:rPr>
              <w:t>Name of Corporation</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do hereby certify:</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That the Board of Directors of said corporation at a meeting duly convened and held on the </w:t>
      </w:r>
      <w:r>
        <w:rPr>
          <w:rFonts w:ascii="Arial" w:cs="Arial" w:eastAsia="Arial" w:hAnsi="Arial"/>
          <w:sz w:val="18"/>
          <w:szCs w:val="18"/>
          <w:u w:val="single" w:color="auto"/>
          <w:color w:val="auto"/>
        </w:rPr>
        <w:t>15th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December</w:t>
      </w:r>
      <w:r>
        <w:rPr>
          <w:rFonts w:ascii="Arial" w:cs="Arial" w:eastAsia="Arial" w:hAnsi="Arial"/>
          <w:sz w:val="18"/>
          <w:szCs w:val="18"/>
          <w:color w:val="auto"/>
        </w:rPr>
        <w:t xml:space="preserve">, </w:t>
      </w:r>
      <w:r>
        <w:rPr>
          <w:rFonts w:ascii="Arial" w:cs="Arial" w:eastAsia="Arial" w:hAnsi="Arial"/>
          <w:sz w:val="18"/>
          <w:szCs w:val="18"/>
          <w:u w:val="single" w:color="auto"/>
          <w:color w:val="auto"/>
        </w:rPr>
        <w:t>1997</w:t>
      </w:r>
      <w:r>
        <w:rPr>
          <w:rFonts w:ascii="Arial" w:cs="Arial" w:eastAsia="Arial" w:hAnsi="Arial"/>
          <w:sz w:val="18"/>
          <w:szCs w:val="18"/>
          <w:color w:val="auto"/>
        </w:rPr>
        <w:t>, adopted a resolution to amend the original articles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Article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is hereby amended to read as follows:</w:t>
      </w:r>
    </w:p>
    <w:p>
      <w:pPr>
        <w:spacing w:after="0" w:line="225"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The corporation is authorized to do a FORWARD SPLIT of the issued and outstanding shares of two and one half for one. Making the total issued and outstanding 2,250,000 two million two hundred and fifty thousand.</w:t>
      </w:r>
    </w:p>
    <w:p>
      <w:pPr>
        <w:spacing w:after="0" w:line="170"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 xml:space="preserve">The number of shares of the corporation outstanding and entitled to vote on an amendment to the Articles of Incorporation are </w:t>
      </w:r>
      <w:r>
        <w:rPr>
          <w:rFonts w:ascii="Arial" w:cs="Arial" w:eastAsia="Arial" w:hAnsi="Arial"/>
          <w:sz w:val="18"/>
          <w:szCs w:val="18"/>
          <w:u w:val="single" w:color="auto"/>
          <w:color w:val="auto"/>
        </w:rPr>
        <w:t>2,250,000</w:t>
      </w:r>
      <w:r>
        <w:rPr>
          <w:rFonts w:ascii="Arial" w:cs="Arial" w:eastAsia="Arial" w:hAnsi="Arial"/>
          <w:sz w:val="18"/>
          <w:szCs w:val="18"/>
          <w:color w:val="auto"/>
        </w:rPr>
        <w:t>; that the said change(s) and amendment has been consented to and approved by a majority vote of the stockholders holding at least a majority of each class of stock outstanding and entitled to vote thereon.</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Spencer Bradley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Shaun Hadley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 or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State of 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-10160</wp:posOffset>
            </wp:positionV>
            <wp:extent cx="5772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7215" cy="8890"/>
                    </a:xfrm>
                    <a:prstGeom prst="rect">
                      <a:avLst/>
                    </a:prstGeom>
                    <a:noFill/>
                  </pic:spPr>
                </pic:pic>
              </a:graphicData>
            </a:graphic>
          </wp:anchor>
        </w:drawing>
      </w:r>
    </w:p>
    <w:p>
      <w:pPr>
        <w:spacing w:after="0" w:line="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County of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-19050</wp:posOffset>
            </wp:positionV>
            <wp:extent cx="4826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82600" cy="8890"/>
                    </a:xfrm>
                    <a:prstGeom prst="rect">
                      <a:avLst/>
                    </a:prstGeom>
                    <a:noFill/>
                  </pic:spPr>
                </pic:pic>
              </a:graphicData>
            </a:graphic>
          </wp:anchor>
        </w:drawing>
      </w:r>
    </w:p>
    <w:p>
      <w:pPr>
        <w:spacing w:after="0" w:line="191" w:lineRule="exact"/>
        <w:rPr>
          <w:sz w:val="20"/>
          <w:szCs w:val="20"/>
          <w:color w:val="auto"/>
        </w:rPr>
      </w:pPr>
    </w:p>
    <w:p>
      <w:pPr>
        <w:ind w:left="660"/>
        <w:spacing w:after="0"/>
        <w:tabs>
          <w:tab w:leader="none" w:pos="3520" w:val="left"/>
        </w:tabs>
        <w:rPr>
          <w:sz w:val="20"/>
          <w:szCs w:val="20"/>
          <w:color w:val="auto"/>
        </w:rPr>
      </w:pPr>
      <w:r>
        <w:rPr>
          <w:rFonts w:ascii="Arial" w:cs="Arial" w:eastAsia="Arial" w:hAnsi="Arial"/>
          <w:sz w:val="18"/>
          <w:szCs w:val="18"/>
          <w:color w:val="auto"/>
        </w:rPr>
        <w:t>On 12/22/97</w:t>
      </w:r>
      <w:r>
        <w:rPr>
          <w:sz w:val="20"/>
          <w:szCs w:val="20"/>
          <w:color w:val="auto"/>
        </w:rPr>
        <w:tab/>
      </w:r>
      <w:r>
        <w:rPr>
          <w:rFonts w:ascii="Arial" w:cs="Arial" w:eastAsia="Arial" w:hAnsi="Arial"/>
          <w:sz w:val="16"/>
          <w:szCs w:val="16"/>
          <w:color w:val="auto"/>
        </w:rPr>
        <w:t xml:space="preserve">, personally appeared before me, a Notary Public, </w:t>
      </w:r>
      <w:r>
        <w:rPr>
          <w:rFonts w:ascii="Arial" w:cs="Arial" w:eastAsia="Arial" w:hAnsi="Arial"/>
          <w:sz w:val="16"/>
          <w:szCs w:val="16"/>
          <w:u w:val="single" w:color="auto"/>
          <w:color w:val="auto"/>
        </w:rPr>
        <w:t>/s/ Spencer Bradley &amp; Shaun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-10160</wp:posOffset>
            </wp:positionV>
            <wp:extent cx="1663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62452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45225" cy="8890"/>
                    </a:xfrm>
                    <a:prstGeom prst="rect">
                      <a:avLst/>
                    </a:prstGeom>
                    <a:noFill/>
                  </pic:spPr>
                </pic:pic>
              </a:graphicData>
            </a:graphic>
          </wp:anchor>
        </w:drawing>
      </w:r>
    </w:p>
    <w:p>
      <w:pPr>
        <w:ind w:left="2520"/>
        <w:spacing w:after="0"/>
        <w:rPr>
          <w:sz w:val="20"/>
          <w:szCs w:val="20"/>
          <w:color w:val="auto"/>
        </w:rPr>
      </w:pPr>
      <w:r>
        <w:rPr>
          <w:rFonts w:ascii="Arial" w:cs="Arial" w:eastAsia="Arial" w:hAnsi="Arial"/>
          <w:sz w:val="18"/>
          <w:szCs w:val="18"/>
          <w:color w:val="auto"/>
        </w:rPr>
        <w:t>(Names of persons appearing and signing document)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who acknowledged that they executed the above instrument.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Todd Fredlund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of Notary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Filed in the office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 of State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OF NEVADA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16, 1998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CERTIFICATE OF AMENDMENT OF ARTICLES OF INCORPORATION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(After Issuance of Stock)</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PERFECT FUTURE LTD.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(Name of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the undersigned Mark E. Bruk, President and Robert Harris, Secretary of Perfect Future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 hereby certify:</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That the Board of Directors of said Corporation at a meeting duly convened, held on the 11th day of June, 1998, adopted a resolution to amend the original articles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(hereinafter called the Corporation) is PERFECT FUTURE,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I is hereby amended to read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(hereinafter called the Corporation) is amended to: EDUVERSE Accelerated Learning Systems, Inc.</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number of shares of the Corporation issued and outstanding and entitled to vote on an amendment to the Articles of Incorporation is ELEVEN MILLION TWO HUNDRED AND FIFTY THOUSAND (11,250,000) common $0.001 par value stock, that the said change(s) and amendment have been consented to and approved by a majority vote of the stockholders holding at least a majority of each class of stock outstanding and entitled to vote thereon.</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Mark Bruk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Harris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Province of British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-10160</wp:posOffset>
            </wp:positionV>
            <wp:extent cx="15621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621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County of Vancouver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-19050</wp:posOffset>
            </wp:positionV>
            <wp:extent cx="16033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On June </w:t>
      </w:r>
      <w:r>
        <w:rPr>
          <w:rFonts w:ascii="Arial" w:cs="Arial" w:eastAsia="Arial" w:hAnsi="Arial"/>
          <w:sz w:val="17"/>
          <w:szCs w:val="17"/>
          <w:u w:val="single" w:color="auto"/>
          <w:color w:val="auto"/>
        </w:rPr>
        <w:t>15</w:t>
      </w:r>
      <w:r>
        <w:rPr>
          <w:rFonts w:ascii="Arial" w:cs="Arial" w:eastAsia="Arial" w:hAnsi="Arial"/>
          <w:sz w:val="17"/>
          <w:szCs w:val="17"/>
          <w:color w:val="auto"/>
        </w:rPr>
        <w:t>, 1998, personally appeared before me, a Notary Public, Mark E. Bruk, who acknowledged that he executed the above instrument.</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Kesho Ram Ditta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of Notary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Filed in the office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 of State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OF NEVADA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19, 1999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 to Articles of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Profit Nevada Corporations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NRS 78.385 and 78.390 – After Issuance of Stock)</w:t>
      </w:r>
    </w:p>
    <w:p>
      <w:pPr>
        <w:spacing w:after="0" w:line="9" w:lineRule="exact"/>
        <w:rPr>
          <w:sz w:val="20"/>
          <w:szCs w:val="20"/>
          <w:color w:val="auto"/>
        </w:rPr>
      </w:pPr>
    </w:p>
    <w:p>
      <w:pPr>
        <w:ind w:left="5020" w:hanging="111"/>
        <w:spacing w:after="0"/>
        <w:tabs>
          <w:tab w:leader="none" w:pos="5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Remit in Duplicate –</w:t>
      </w:r>
    </w:p>
    <w:p>
      <w:pPr>
        <w:spacing w:after="0" w:line="206"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Name of corporation: </w:t>
      </w:r>
      <w:r>
        <w:rPr>
          <w:rFonts w:ascii="Arial" w:cs="Arial" w:eastAsia="Arial" w:hAnsi="Arial"/>
          <w:sz w:val="18"/>
          <w:szCs w:val="18"/>
          <w:b w:val="1"/>
          <w:bCs w:val="1"/>
          <w:color w:val="auto"/>
        </w:rPr>
        <w:t>EDUVERSE Accelerated Learning Systems, Inc</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articles have been amended as follows (provide article numbers, if available):</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Article I</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The name of the corporation (hereinafter called the Corporation) is: </w:t>
      </w:r>
      <w:r>
        <w:rPr>
          <w:rFonts w:ascii="Arial" w:cs="Arial" w:eastAsia="Arial" w:hAnsi="Arial"/>
          <w:sz w:val="18"/>
          <w:szCs w:val="18"/>
          <w:b w:val="1"/>
          <w:bCs w:val="1"/>
          <w:color w:val="auto"/>
        </w:rPr>
        <w:t>EDUVERSE ACCELERATED LEARNING SYSTEMS, INC.</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 xml:space="preserve">Article I </w:t>
      </w:r>
      <w:r>
        <w:rPr>
          <w:rFonts w:ascii="Arial" w:cs="Arial" w:eastAsia="Arial" w:hAnsi="Arial"/>
          <w:sz w:val="18"/>
          <w:szCs w:val="18"/>
          <w:color w:val="auto"/>
        </w:rPr>
        <w:t>is hereby amended to read as follows:</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The name of the corporation (hereinafter called the Corporation) is amended to: </w:t>
      </w:r>
      <w:r>
        <w:rPr>
          <w:rFonts w:ascii="Arial" w:cs="Arial" w:eastAsia="Arial" w:hAnsi="Arial"/>
          <w:sz w:val="18"/>
          <w:szCs w:val="18"/>
          <w:b w:val="1"/>
          <w:bCs w:val="1"/>
          <w:color w:val="auto"/>
        </w:rPr>
        <w:t>EDUVERSE.COM</w:t>
      </w:r>
    </w:p>
    <w:p>
      <w:pPr>
        <w:spacing w:after="0" w:line="210" w:lineRule="exact"/>
        <w:rPr>
          <w:rFonts w:ascii="Arial" w:cs="Arial" w:eastAsia="Arial" w:hAnsi="Arial"/>
          <w:sz w:val="18"/>
          <w:szCs w:val="18"/>
          <w:color w:val="auto"/>
        </w:rPr>
      </w:pPr>
    </w:p>
    <w:p>
      <w:pPr>
        <w:ind w:right="180" w:firstLine="8"/>
        <w:spacing w:after="0" w:line="292" w:lineRule="auto"/>
        <w:tabs>
          <w:tab w:leader="none" w:pos="672"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The vote by which the stockholders holding shares in the corporation entitling them to exercise at least a majority of the voting power, or such greater proportion of the voting power as may be required in the case of a vote by classes or series, or as may be required by the provisions of the articles of incorporation have voted in favor of the amendment is </w:t>
      </w:r>
      <w:r>
        <w:rPr>
          <w:rFonts w:ascii="Arial" w:cs="Arial" w:eastAsia="Arial" w:hAnsi="Arial"/>
          <w:sz w:val="17"/>
          <w:szCs w:val="17"/>
          <w:b w:val="1"/>
          <w:bCs w:val="1"/>
          <w:color w:val="auto"/>
        </w:rPr>
        <w:t>7,571,134 (59.9%) of the 12,647,452 entitled to vote</w:t>
      </w:r>
      <w:r>
        <w:rPr>
          <w:rFonts w:ascii="Arial" w:cs="Arial" w:eastAsia="Arial" w:hAnsi="Arial"/>
          <w:sz w:val="28"/>
          <w:szCs w:val="28"/>
          <w:b w:val="1"/>
          <w:bCs w:val="1"/>
          <w:color w:val="auto"/>
          <w:vertAlign w:val="superscript"/>
        </w:rPr>
        <w:t>*</w:t>
      </w:r>
      <w:r>
        <w:rPr>
          <w:rFonts w:ascii="Arial" w:cs="Arial" w:eastAsia="Arial" w:hAnsi="Arial"/>
          <w:sz w:val="17"/>
          <w:szCs w:val="17"/>
          <w:b w:val="1"/>
          <w:bCs w:val="1"/>
          <w:color w:val="auto"/>
        </w:rPr>
        <w:t>:</w:t>
      </w:r>
    </w:p>
    <w:p>
      <w:pPr>
        <w:spacing w:after="0" w:line="37" w:lineRule="exact"/>
        <w:rPr>
          <w:rFonts w:ascii="Arial" w:cs="Arial" w:eastAsia="Arial" w:hAnsi="Arial"/>
          <w:sz w:val="17"/>
          <w:szCs w:val="17"/>
          <w:color w:val="auto"/>
        </w:rPr>
      </w:pPr>
    </w:p>
    <w:p>
      <w:pPr>
        <w:ind w:left="640" w:hanging="63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Signatures: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gridSpan w:val="6"/>
          </w:tcPr>
          <w:p>
            <w:pPr>
              <w:spacing w:after="0"/>
              <w:rPr>
                <w:sz w:val="20"/>
                <w:szCs w:val="20"/>
                <w:color w:val="auto"/>
              </w:rPr>
            </w:pPr>
            <w:r>
              <w:rPr>
                <w:rFonts w:ascii="Arial" w:cs="Arial" w:eastAsia="Arial" w:hAnsi="Arial"/>
                <w:sz w:val="18"/>
                <w:szCs w:val="18"/>
                <w:color w:val="auto"/>
              </w:rPr>
              <w:t>/s/ Mark Bruk</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 Robert Harris</w:t>
            </w:r>
          </w:p>
        </w:tc>
      </w:tr>
      <w:tr>
        <w:trPr>
          <w:trHeight w:val="195"/>
        </w:trPr>
        <w:tc>
          <w:tcPr>
            <w:tcW w:w="20" w:type="dxa"/>
            <w:vAlign w:val="bottom"/>
          </w:tcPr>
          <w:p>
            <w:pPr>
              <w:spacing w:after="0"/>
              <w:rPr>
                <w:sz w:val="16"/>
                <w:szCs w:val="16"/>
                <w:color w:val="auto"/>
              </w:rPr>
            </w:pPr>
          </w:p>
        </w:tc>
        <w:tc>
          <w:tcPr>
            <w:tcW w:w="2220" w:type="dxa"/>
            <w:vAlign w:val="bottom"/>
            <w:tcBorders>
              <w:top w:val="single" w:sz="8" w:color="auto"/>
            </w:tcBorders>
            <w:gridSpan w:val="5"/>
          </w:tcPr>
          <w:p>
            <w:pPr>
              <w:spacing w:after="0" w:line="195" w:lineRule="exact"/>
              <w:rPr>
                <w:sz w:val="20"/>
                <w:szCs w:val="20"/>
                <w:color w:val="auto"/>
              </w:rPr>
            </w:pPr>
            <w:r>
              <w:rPr>
                <w:rFonts w:ascii="Arial" w:cs="Arial" w:eastAsia="Arial" w:hAnsi="Arial"/>
                <w:sz w:val="18"/>
                <w:szCs w:val="18"/>
                <w:color w:val="auto"/>
              </w:rPr>
              <w:t>President or Vice President</w:t>
            </w: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Secretary or Asst. Secretary</w:t>
            </w:r>
          </w:p>
        </w:tc>
      </w:tr>
      <w:tr>
        <w:trPr>
          <w:trHeight w:val="230"/>
        </w:trPr>
        <w:tc>
          <w:tcPr>
            <w:tcW w:w="2240" w:type="dxa"/>
            <w:vAlign w:val="bottom"/>
            <w:gridSpan w:val="6"/>
          </w:tcPr>
          <w:p>
            <w:pPr>
              <w:spacing w:after="0"/>
              <w:rPr>
                <w:sz w:val="20"/>
                <w:szCs w:val="20"/>
                <w:color w:val="auto"/>
              </w:rPr>
            </w:pPr>
            <w:r>
              <w:rPr>
                <w:rFonts w:ascii="Arial" w:cs="Arial" w:eastAsia="Arial" w:hAnsi="Arial"/>
                <w:sz w:val="18"/>
                <w:szCs w:val="18"/>
                <w:color w:val="auto"/>
                <w:w w:val="97"/>
              </w:rPr>
              <w:t>(acknowledgement required)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(acknowledgement not required)</w:t>
            </w:r>
          </w:p>
        </w:tc>
      </w:tr>
      <w:tr>
        <w:trPr>
          <w:trHeight w:val="392"/>
        </w:trPr>
        <w:tc>
          <w:tcPr>
            <w:tcW w:w="2240" w:type="dxa"/>
            <w:vAlign w:val="bottom"/>
            <w:gridSpan w:val="6"/>
          </w:tcPr>
          <w:p>
            <w:pPr>
              <w:spacing w:after="0"/>
              <w:rPr>
                <w:sz w:val="20"/>
                <w:szCs w:val="20"/>
                <w:color w:val="auto"/>
              </w:rPr>
            </w:pPr>
            <w:r>
              <w:rPr>
                <w:rFonts w:ascii="Arial" w:cs="Arial" w:eastAsia="Arial" w:hAnsi="Arial"/>
                <w:sz w:val="18"/>
                <w:szCs w:val="18"/>
                <w:color w:val="auto"/>
              </w:rPr>
              <w:t>State of British Columbia</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0"/>
        </w:trPr>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196"/>
        </w:trPr>
        <w:tc>
          <w:tcPr>
            <w:tcW w:w="2240" w:type="dxa"/>
            <w:vAlign w:val="bottom"/>
            <w:gridSpan w:val="6"/>
          </w:tcPr>
          <w:p>
            <w:pPr>
              <w:spacing w:after="0" w:line="196" w:lineRule="exact"/>
              <w:rPr>
                <w:sz w:val="20"/>
                <w:szCs w:val="20"/>
                <w:color w:val="auto"/>
              </w:rPr>
            </w:pPr>
            <w:r>
              <w:rPr>
                <w:rFonts w:ascii="Arial" w:cs="Arial" w:eastAsia="Arial" w:hAnsi="Arial"/>
                <w:sz w:val="18"/>
                <w:szCs w:val="18"/>
                <w:color w:val="auto"/>
              </w:rPr>
              <w:t>County of Vancouver</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20"/>
        </w:trPr>
        <w:tc>
          <w:tcPr>
            <w:tcW w:w="2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900" w:type="dxa"/>
            <w:vAlign w:val="bottom"/>
            <w:gridSpan w:val="3"/>
          </w:tcPr>
          <w:p>
            <w:pPr>
              <w:spacing w:after="0" w:line="20" w:lineRule="exact"/>
              <w:rPr>
                <w:sz w:val="1"/>
                <w:szCs w:val="1"/>
                <w:color w:val="auto"/>
              </w:rPr>
            </w:pPr>
          </w:p>
        </w:tc>
      </w:tr>
      <w:tr>
        <w:trPr>
          <w:trHeight w:val="438"/>
        </w:trPr>
        <w:tc>
          <w:tcPr>
            <w:tcW w:w="11420" w:type="dxa"/>
            <w:vAlign w:val="bottom"/>
            <w:gridSpan w:val="15"/>
          </w:tcPr>
          <w:p>
            <w:pPr>
              <w:spacing w:after="0"/>
              <w:rPr>
                <w:sz w:val="20"/>
                <w:szCs w:val="20"/>
                <w:color w:val="auto"/>
              </w:rPr>
            </w:pPr>
            <w:r>
              <w:rPr>
                <w:rFonts w:ascii="Arial" w:cs="Arial" w:eastAsia="Arial" w:hAnsi="Arial"/>
                <w:sz w:val="18"/>
                <w:szCs w:val="18"/>
                <w:color w:val="auto"/>
              </w:rPr>
              <w:t>This instrument was acknowledged before me on</w:t>
            </w:r>
          </w:p>
        </w:tc>
      </w:tr>
      <w:tr>
        <w:trPr>
          <w:trHeight w:val="190"/>
        </w:trPr>
        <w:tc>
          <w:tcPr>
            <w:tcW w:w="2240" w:type="dxa"/>
            <w:vAlign w:val="bottom"/>
            <w:gridSpan w:val="6"/>
          </w:tcPr>
          <w:p>
            <w:pPr>
              <w:spacing w:after="0" w:line="190" w:lineRule="exact"/>
              <w:rPr>
                <w:sz w:val="20"/>
                <w:szCs w:val="20"/>
                <w:color w:val="auto"/>
              </w:rPr>
            </w:pPr>
            <w:r>
              <w:rPr>
                <w:rFonts w:ascii="Arial" w:cs="Arial" w:eastAsia="Arial" w:hAnsi="Arial"/>
                <w:sz w:val="18"/>
                <w:szCs w:val="18"/>
                <w:color w:val="auto"/>
              </w:rPr>
              <w:t>May 18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80" w:type="dxa"/>
            <w:vAlign w:val="bottom"/>
            <w:gridSpan w:val="6"/>
          </w:tcPr>
          <w:p>
            <w:pPr>
              <w:spacing w:after="0" w:line="190" w:lineRule="exact"/>
              <w:rPr>
                <w:sz w:val="20"/>
                <w:szCs w:val="20"/>
                <w:color w:val="auto"/>
              </w:rPr>
            </w:pPr>
            <w:r>
              <w:rPr>
                <w:rFonts w:ascii="Arial" w:cs="Arial" w:eastAsia="Arial" w:hAnsi="Arial"/>
                <w:sz w:val="18"/>
                <w:szCs w:val="18"/>
                <w:color w:val="auto"/>
              </w:rPr>
              <w:t>, 1999, by</w:t>
            </w:r>
          </w:p>
        </w:tc>
      </w:tr>
      <w:tr>
        <w:trPr>
          <w:trHeight w:val="20"/>
        </w:trPr>
        <w:tc>
          <w:tcPr>
            <w:tcW w:w="200" w:type="dxa"/>
            <w:vAlign w:val="bottom"/>
            <w:gridSpan w:val="2"/>
            <w:shd w:val="clear" w:color="auto" w:fill="000000"/>
          </w:tcPr>
          <w:p>
            <w:pPr>
              <w:spacing w:after="0" w:line="20" w:lineRule="exact"/>
              <w:rPr>
                <w:sz w:val="1"/>
                <w:szCs w:val="1"/>
                <w:color w:val="auto"/>
              </w:rPr>
            </w:pPr>
          </w:p>
        </w:tc>
        <w:tc>
          <w:tcPr>
            <w:tcW w:w="204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900" w:type="dxa"/>
            <w:vAlign w:val="bottom"/>
            <w:gridSpan w:val="3"/>
          </w:tcPr>
          <w:p>
            <w:pPr>
              <w:spacing w:after="0" w:line="20" w:lineRule="exact"/>
              <w:rPr>
                <w:sz w:val="1"/>
                <w:szCs w:val="1"/>
                <w:color w:val="auto"/>
              </w:rPr>
            </w:pPr>
          </w:p>
        </w:tc>
      </w:tr>
      <w:tr>
        <w:trPr>
          <w:trHeight w:val="196"/>
        </w:trPr>
        <w:tc>
          <w:tcPr>
            <w:tcW w:w="2240" w:type="dxa"/>
            <w:vAlign w:val="bottom"/>
            <w:gridSpan w:val="6"/>
          </w:tcPr>
          <w:p>
            <w:pPr>
              <w:spacing w:after="0" w:line="196" w:lineRule="exact"/>
              <w:rPr>
                <w:sz w:val="20"/>
                <w:szCs w:val="20"/>
                <w:color w:val="auto"/>
              </w:rPr>
            </w:pPr>
            <w:r>
              <w:rPr>
                <w:rFonts w:ascii="Arial" w:cs="Arial" w:eastAsia="Arial" w:hAnsi="Arial"/>
                <w:sz w:val="18"/>
                <w:szCs w:val="18"/>
                <w:color w:val="auto"/>
              </w:rPr>
              <w:t>/s/ Mark Bruk</w:t>
            </w:r>
          </w:p>
        </w:tc>
        <w:tc>
          <w:tcPr>
            <w:tcW w:w="918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(Name of Person)</w:t>
            </w:r>
          </w:p>
        </w:tc>
      </w:tr>
      <w:tr>
        <w:trPr>
          <w:trHeight w:val="196"/>
        </w:trPr>
        <w:tc>
          <w:tcPr>
            <w:tcW w:w="224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18"/>
                <w:szCs w:val="18"/>
                <w:color w:val="auto"/>
              </w:rPr>
              <w:t>as President</w:t>
            </w:r>
          </w:p>
        </w:tc>
        <w:tc>
          <w:tcPr>
            <w:tcW w:w="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as designated to sign this certificate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Amendment to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-19050</wp:posOffset>
            </wp:positionV>
            <wp:extent cx="20726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0726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on behalf of whom instrument was executed)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Anthony K. Wooster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1399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399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Notary-Public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8097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5" w:lineRule="exact"/>
        <w:rPr>
          <w:sz w:val="20"/>
          <w:szCs w:val="20"/>
          <w:color w:val="auto"/>
        </w:rPr>
      </w:pPr>
    </w:p>
    <w:p>
      <w:pPr>
        <w:ind w:right="60" w:firstLine="46"/>
        <w:spacing w:after="0" w:line="223" w:lineRule="auto"/>
        <w:tabs>
          <w:tab w:leader="none" w:pos="158"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If any proposed amendment would alter or change any preference or any relative or other right given to any class or series of outstanding shares, then the amendment must be approved by the vote, in addition to the affirmative vote otherwise required, of the holders of shares representing a majority of the voting power of each class or series affected by the amendment regardless of limitations or restrictions on the voting power thereof.</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IMPORTANT: Failure to include any of the above information and remit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Filed in the office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Dean Heller,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 OF STATE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10, 2001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to Articles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Profit Nevada Corporations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NRS 78.385 and 78.390 – After Issuance of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Remit in duplicate</w:t>
      </w:r>
    </w:p>
    <w:p>
      <w:pPr>
        <w:spacing w:after="0" w:line="211"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corporation: Eduverse.com.</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articles have been amended as follows (provide article numbers, if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-404495</wp:posOffset>
            </wp:positionV>
            <wp:extent cx="58058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0580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See attached “Attachment A” Amendment to Articles of Incorporation of Eduverse.com” for Amendment of 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80" w:firstLine="8"/>
        <w:spacing w:after="0" w:line="291" w:lineRule="auto"/>
        <w:tabs>
          <w:tab w:leader="none" w:pos="67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vote by which the stockholders holding shares in the corporation entitling them to exercise at least a majority of the voting power, or such greater proportion of the voting power as may be required in the case of a vote by classes or series, or as may be required by the provisions of the articles of</w:t>
      </w:r>
    </w:p>
    <w:p>
      <w:pPr>
        <w:spacing w:after="0" w:line="186" w:lineRule="auto"/>
        <w:rPr>
          <w:sz w:val="20"/>
          <w:szCs w:val="20"/>
          <w:color w:val="auto"/>
        </w:rPr>
      </w:pPr>
      <w:r>
        <w:rPr>
          <w:rFonts w:ascii="Arial" w:cs="Arial" w:eastAsia="Arial" w:hAnsi="Arial"/>
          <w:sz w:val="18"/>
          <w:szCs w:val="18"/>
          <w:color w:val="auto"/>
        </w:rPr>
        <w:t xml:space="preserve">incorporation have voted in favor of the amendment is </w:t>
      </w:r>
      <w:r>
        <w:rPr>
          <w:rFonts w:ascii="Arial" w:cs="Arial" w:eastAsia="Arial" w:hAnsi="Arial"/>
          <w:sz w:val="18"/>
          <w:szCs w:val="18"/>
          <w:u w:val="single" w:color="auto"/>
          <w:color w:val="auto"/>
        </w:rPr>
        <w:t>28,831,846</w:t>
      </w:r>
      <w:r>
        <w:rPr>
          <w:rFonts w:ascii="Arial" w:cs="Arial" w:eastAsia="Arial" w:hAnsi="Arial"/>
          <w:sz w:val="18"/>
          <w:szCs w:val="18"/>
          <w:color w:val="auto"/>
        </w:rPr>
        <w:t xml:space="preserve"> .</w:t>
      </w:r>
      <w:r>
        <w:rPr>
          <w:rFonts w:ascii="Arial" w:cs="Arial" w:eastAsia="Arial" w:hAnsi="Arial"/>
          <w:sz w:val="29"/>
          <w:szCs w:val="29"/>
          <w:color w:val="auto"/>
          <w:vertAlign w:val="superscript"/>
        </w:rPr>
        <w:t>*</w:t>
      </w:r>
    </w:p>
    <w:p>
      <w:pPr>
        <w:ind w:left="6240"/>
        <w:spacing w:after="0"/>
        <w:rPr>
          <w:sz w:val="20"/>
          <w:szCs w:val="20"/>
          <w:color w:val="auto"/>
        </w:rPr>
      </w:pPr>
      <w:r>
        <w:rPr>
          <w:rFonts w:ascii="Arial" w:cs="Arial" w:eastAsia="Arial" w:hAnsi="Arial"/>
          <w:sz w:val="18"/>
          <w:szCs w:val="18"/>
          <w:color w:val="auto"/>
        </w:rPr>
        <w:t>Against 13,404.</w:t>
      </w:r>
    </w:p>
    <w:p>
      <w:pPr>
        <w:spacing w:after="0" w:line="209" w:lineRule="exact"/>
        <w:rPr>
          <w:sz w:val="20"/>
          <w:szCs w:val="20"/>
          <w:color w:val="auto"/>
        </w:rPr>
      </w:pPr>
    </w:p>
    <w:p>
      <w:pPr>
        <w:ind w:left="680" w:hanging="672"/>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Signatures (required):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/s/ Grant Atkins</w:t>
            </w:r>
          </w:p>
        </w:tc>
        <w:tc>
          <w:tcPr>
            <w:tcW w:w="1700" w:type="dxa"/>
            <w:vAlign w:val="bottom"/>
          </w:tcPr>
          <w:p>
            <w:pPr>
              <w:ind w:left="580"/>
              <w:spacing w:after="0"/>
              <w:rPr>
                <w:sz w:val="20"/>
                <w:szCs w:val="20"/>
                <w:color w:val="auto"/>
              </w:rPr>
            </w:pPr>
            <w:r>
              <w:rPr>
                <w:rFonts w:ascii="Arial" w:cs="Arial" w:eastAsia="Arial" w:hAnsi="Arial"/>
                <w:sz w:val="18"/>
                <w:szCs w:val="18"/>
                <w:color w:val="auto"/>
              </w:rPr>
              <w:t>and</w:t>
            </w:r>
          </w:p>
        </w:tc>
        <w:tc>
          <w:tcPr>
            <w:tcW w:w="5140" w:type="dxa"/>
            <w:vAlign w:val="bottom"/>
          </w:tcPr>
          <w:p>
            <w:pPr>
              <w:spacing w:after="0"/>
              <w:rPr>
                <w:sz w:val="20"/>
                <w:szCs w:val="20"/>
                <w:color w:val="auto"/>
              </w:rPr>
            </w:pPr>
            <w:r>
              <w:rPr>
                <w:rFonts w:ascii="Arial" w:cs="Arial" w:eastAsia="Arial" w:hAnsi="Arial"/>
                <w:sz w:val="18"/>
                <w:szCs w:val="18"/>
                <w:color w:val="auto"/>
              </w:rPr>
              <w:t>/s/ Grant Atkins</w:t>
            </w:r>
          </w:p>
        </w:tc>
      </w:tr>
      <w:tr>
        <w:trPr>
          <w:trHeight w:val="224"/>
        </w:trPr>
        <w:tc>
          <w:tcPr>
            <w:tcW w:w="20" w:type="dxa"/>
            <w:vAlign w:val="bottom"/>
          </w:tcPr>
          <w:p>
            <w:pPr>
              <w:spacing w:after="0"/>
              <w:rPr>
                <w:sz w:val="19"/>
                <w:szCs w:val="19"/>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or Vice President</w:t>
            </w:r>
          </w:p>
        </w:tc>
        <w:tc>
          <w:tcPr>
            <w:tcW w:w="170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Secretary or Asst.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5" w:lineRule="exact"/>
        <w:rPr>
          <w:sz w:val="20"/>
          <w:szCs w:val="20"/>
          <w:color w:val="auto"/>
        </w:rPr>
      </w:pPr>
    </w:p>
    <w:p>
      <w:pPr>
        <w:ind w:right="40" w:firstLine="8"/>
        <w:spacing w:after="0" w:line="223" w:lineRule="auto"/>
        <w:tabs>
          <w:tab w:leader="none" w:pos="120" w:val="left"/>
        </w:tabs>
        <w:numPr>
          <w:ilvl w:val="0"/>
          <w:numId w:val="18"/>
        </w:numPr>
        <w:rPr>
          <w:rFonts w:ascii="Arial" w:cs="Arial" w:eastAsia="Arial" w:hAnsi="Arial"/>
          <w:sz w:val="28"/>
          <w:szCs w:val="28"/>
          <w:color w:val="auto"/>
          <w:vertAlign w:val="superscript"/>
        </w:rPr>
      </w:pPr>
      <w:r>
        <w:rPr>
          <w:rFonts w:ascii="Arial" w:cs="Arial" w:eastAsia="Arial" w:hAnsi="Arial"/>
          <w:sz w:val="17"/>
          <w:szCs w:val="17"/>
          <w:color w:val="auto"/>
        </w:rPr>
        <w:t>If any proposed amendment would alter or change any preference or any relative or other right given to any class or series of outstanding shares, then the amendment must be approved by the vote. In addition to the affirmative vote otherwise required, of the holders of shares representing a majority of the voting power of each class or series affected by the amendment regardless of limitations or restrictions on the voting power thereof.</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IMPORTANT: Failure to include any of the above information and remit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color w:val="auto"/>
        </w:rPr>
        <w:t>ATTACHMENT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ARTICLES OF INCORPORATION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EDUVERSE.COM</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Pursuant to the provisions of sections 78.385 and 78.390 of the Nevada Revised Statutes, the undersigned corporation adopts the following articles of amendment to Article V of its Articles of Incorporation.</w:t>
      </w:r>
    </w:p>
    <w:p>
      <w:pPr>
        <w:spacing w:after="0" w:line="170" w:lineRule="exact"/>
        <w:rPr>
          <w:sz w:val="20"/>
          <w:szCs w:val="20"/>
          <w:color w:val="auto"/>
        </w:rPr>
      </w:pPr>
    </w:p>
    <w:p>
      <w:pPr>
        <w:ind w:left="660" w:right="140" w:firstLine="648"/>
        <w:spacing w:after="0" w:line="277" w:lineRule="auto"/>
        <w:rPr>
          <w:sz w:val="20"/>
          <w:szCs w:val="20"/>
          <w:color w:val="auto"/>
        </w:rPr>
      </w:pPr>
      <w:r>
        <w:rPr>
          <w:rFonts w:ascii="Arial" w:cs="Arial" w:eastAsia="Arial" w:hAnsi="Arial"/>
          <w:sz w:val="18"/>
          <w:szCs w:val="18"/>
          <w:color w:val="auto"/>
        </w:rPr>
        <w:t>“The aggregate number of shares which the corporation shall have authority to issue is 50,000,000 shares of common stock at par value of $0.001 per share and 5,000,000 shares of preferred stock at par value of $0.001 per share.</w:t>
      </w:r>
    </w:p>
    <w:p>
      <w:pPr>
        <w:spacing w:after="0" w:line="170" w:lineRule="exact"/>
        <w:rPr>
          <w:sz w:val="20"/>
          <w:szCs w:val="20"/>
          <w:color w:val="auto"/>
        </w:rPr>
      </w:pPr>
    </w:p>
    <w:p>
      <w:pPr>
        <w:ind w:left="660" w:right="240" w:firstLine="648"/>
        <w:spacing w:after="0" w:line="264" w:lineRule="auto"/>
        <w:rPr>
          <w:sz w:val="20"/>
          <w:szCs w:val="20"/>
          <w:color w:val="auto"/>
        </w:rPr>
      </w:pPr>
      <w:r>
        <w:rPr>
          <w:rFonts w:ascii="Arial" w:cs="Arial" w:eastAsia="Arial" w:hAnsi="Arial"/>
          <w:sz w:val="18"/>
          <w:szCs w:val="18"/>
          <w:color w:val="auto"/>
        </w:rPr>
        <w:t>Common Stock. There shall be no cumulative voting, and all pre-emptive rights are denied. Each share of common stock shall entitle the holder thereof to one vote at all meetings of the stockholders. Stockholders shall not be liable to the corporation or its creditors for any debts or obligation of the corporation.</w:t>
      </w:r>
    </w:p>
    <w:p>
      <w:pPr>
        <w:spacing w:after="0" w:line="181" w:lineRule="exact"/>
        <w:rPr>
          <w:sz w:val="20"/>
          <w:szCs w:val="20"/>
          <w:color w:val="auto"/>
        </w:rPr>
      </w:pPr>
    </w:p>
    <w:p>
      <w:pPr>
        <w:ind w:left="660" w:firstLine="648"/>
        <w:spacing w:after="0" w:line="270" w:lineRule="auto"/>
        <w:rPr>
          <w:sz w:val="20"/>
          <w:szCs w:val="20"/>
          <w:color w:val="auto"/>
        </w:rPr>
      </w:pPr>
      <w:r>
        <w:rPr>
          <w:rFonts w:ascii="Arial" w:cs="Arial" w:eastAsia="Arial" w:hAnsi="Arial"/>
          <w:sz w:val="17"/>
          <w:szCs w:val="17"/>
          <w:color w:val="auto"/>
        </w:rPr>
        <w:t>Simultaneously with the effective date of this amendment (the “Effective Date”), each share of the Company’s Common Stock, $0.001 par value, issued and outstanding immediately prior to the Effective Date (the “Old Common Stock”) shall automatically and without any action on the part of the holder thereof be reclassified as and changed, pursuant to a reverse stock split, into any fraction thereof, into 1/50 of a share of the Company’s outstanding Common Stock, $0.001 par value (the “New Common Stock”), depending upon a determination by the Board that a Reverse Stock Split is in the best interests of the Company and the Shareholders, subject to the treatment of fractional share interests as described below. Each holder of a certificate or certificates which immediately prior to the Effective Date represented outstanding shares of Old Common Stock (the “Old Certificates” whether one or more) shall be entitled to receive upon surrender of such Old Certificates to the Company’s Transfer Agent for cancellation, a certificate or certificates (the “New Certificates”, whether one or more) representing the number of whole shares of the New Common Stock into which and for which the shares of the Old Common Stock formerly represented by such Old Certificates so surrendered, are reclassified under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3" w:name="page44"/>
    <w:bookmarkEnd w:id="43"/>
    <w:p>
      <w:pPr>
        <w:ind w:left="660" w:right="40" w:firstLine="648"/>
        <w:spacing w:after="0" w:line="286" w:lineRule="auto"/>
        <w:rPr>
          <w:sz w:val="20"/>
          <w:szCs w:val="20"/>
          <w:color w:val="auto"/>
        </w:rPr>
      </w:pPr>
      <w:r>
        <w:rPr>
          <w:rFonts w:ascii="Arial" w:cs="Arial" w:eastAsia="Arial" w:hAnsi="Arial"/>
          <w:sz w:val="16"/>
          <w:szCs w:val="16"/>
          <w:color w:val="auto"/>
        </w:rPr>
        <w:t>From and after the Effective Date. Old Certificates shall represent only the right to receive New Certificates pursuant to the provisions hereof. No certificates or scrip representing fractional share interests in New Common Stock will be issued, and no such fractional share interest will entitle the holder thereof to votes, or to any rights of a shareholder of the Company. Any fraction of a share of new Common Stock to which the holder would otherwise be entitled will be adjusted upward to the amount whole share. If more than one Old Certificate shall be surrendered at one time for the amount of the same Shareholder, the number of full shares of New Common Stock for which New Certificates shall be issued shall be computed on the basis of the aggregate number of shares represented by the Old Certificates so surrendered. In the event that the Company’s Transfer Agent determines that a holder of Old Certificates has not rendered all his certificates for exchange, the Transfer Agent shall carry forward any fractional share until all certificates of that holder have been presented for exchange such that payment for fractional shares to any one person shall not exceed the value of one share. If any New Certificate is to be issued in a name other than that in which the Old Certificates surrendered for exchange are issued, the Old Certificates so surrendered shall be properly endorsed and otherwise in proper form for transfer. From and after the Effective Date the amount of capital represented by the shares of the New Common Stock into which and for which the shares of the Old Common Stock are reclassified under the terms hereof shall be the same as the amount of capital represented by the shares of Old Common Stock so reclassified, until thereafter reduced or increased in accordance with applicable law.</w:t>
      </w:r>
    </w:p>
    <w:p>
      <w:pPr>
        <w:spacing w:after="0" w:line="175" w:lineRule="exact"/>
        <w:rPr>
          <w:sz w:val="20"/>
          <w:szCs w:val="20"/>
          <w:color w:val="auto"/>
        </w:rPr>
      </w:pPr>
    </w:p>
    <w:p>
      <w:pPr>
        <w:ind w:left="660" w:right="220" w:firstLine="648"/>
        <w:spacing w:after="0" w:line="270" w:lineRule="auto"/>
        <w:rPr>
          <w:sz w:val="20"/>
          <w:szCs w:val="20"/>
          <w:color w:val="auto"/>
        </w:rPr>
      </w:pPr>
      <w:r>
        <w:rPr>
          <w:rFonts w:ascii="Arial" w:cs="Arial" w:eastAsia="Arial" w:hAnsi="Arial"/>
          <w:sz w:val="17"/>
          <w:szCs w:val="17"/>
          <w:color w:val="auto"/>
        </w:rPr>
        <w:t>Preferred Stock. The board of directors of the corporation is authorized to divide the preferred stock into as many series as the board of directors from time to time may determine, and to issue the preferred stock in such series. The board of directors shall determine the number of shares comprising each series, which number may, unless otherwise provided by the board of directors in creating such series, be increased or decreased from time to time by action of the board of directors. Each series shall be so designated, as to distinguish the shares thereof, from the shares of all other series. The board of directors shall have the authority to fix and determine the following relative rights and preferences as of the shares of any such series of preferred stock (i) the rate of dividend, if any, (ii) whether shares can be redeemed, and if so, the redemption price and the terms and conditions of the redemption, (iii) the amount payable upon shares in the event of voluntary or involuntary liquidation, (iv) sinking fund provision, if any, for redemption or purchase of shares, (v) the terms and conditions, if any, under which shares may be converted to common stock, and (vi) the voting powers, if any.”</w:t>
      </w:r>
    </w:p>
    <w:p>
      <w:pPr>
        <w:spacing w:after="0" w:line="182"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IN WITNESS WHEREOF, Eduverse.com has caused these presents to be signed in its name on its behalf by Grant Atkins, its President, and its corporate seal to be hereunder affixed and attested by Grant Atkins, its Secretary, on the 4th day of June, 2001, and its President acknowledges that these Articles of Amendment are the act and deed of Eduverse.com and, under the penalties of perjury, that the matters and facts set forth herein with respect to authorization and approval are true in all material respects to the best of his knowledge, information and belief.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left="6860"/>
        <w:spacing w:after="0"/>
        <w:rPr>
          <w:sz w:val="20"/>
          <w:szCs w:val="20"/>
          <w:color w:val="auto"/>
        </w:rPr>
      </w:pPr>
      <w:r>
        <w:rPr>
          <w:rFonts w:ascii="Arial" w:cs="Arial" w:eastAsia="Arial" w:hAnsi="Arial"/>
          <w:sz w:val="18"/>
          <w:szCs w:val="18"/>
          <w:color w:val="auto"/>
        </w:rPr>
        <w:t>EDUVERSE.COM</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Grant Atkins</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Grant</w:t>
            </w:r>
          </w:p>
        </w:tc>
        <w:tc>
          <w:tcPr>
            <w:tcW w:w="3980" w:type="dxa"/>
            <w:vAlign w:val="bottom"/>
          </w:tcPr>
          <w:p>
            <w:pPr>
              <w:spacing w:after="0"/>
              <w:rPr>
                <w:sz w:val="20"/>
                <w:szCs w:val="20"/>
                <w:color w:val="auto"/>
              </w:rPr>
            </w:pPr>
            <w:r>
              <w:rPr>
                <w:rFonts w:ascii="Arial" w:cs="Arial" w:eastAsia="Arial" w:hAnsi="Arial"/>
                <w:sz w:val="18"/>
                <w:szCs w:val="18"/>
                <w:color w:val="auto"/>
              </w:rPr>
              <w:t>Atkins, President</w:t>
            </w:r>
          </w:p>
        </w:tc>
      </w:tr>
      <w:tr>
        <w:trPr>
          <w:trHeight w:val="40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Grant Atkins</w:t>
            </w:r>
          </w:p>
        </w:tc>
      </w:tr>
    </w:tbl>
    <w:p>
      <w:pPr>
        <w:ind w:left="6860"/>
        <w:spacing w:after="0"/>
        <w:rPr>
          <w:sz w:val="20"/>
          <w:szCs w:val="20"/>
          <w:color w:val="auto"/>
        </w:rPr>
      </w:pPr>
      <w:r>
        <w:rPr>
          <w:rFonts w:ascii="Arial" w:cs="Arial" w:eastAsia="Arial" w:hAnsi="Arial"/>
          <w:sz w:val="18"/>
          <w:szCs w:val="18"/>
          <w:color w:val="auto"/>
        </w:rPr>
        <w:t>Grant Atkins,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Before me, _</w:t>
      </w:r>
      <w:r>
        <w:rPr>
          <w:rFonts w:ascii="Arial" w:cs="Arial" w:eastAsia="Arial" w:hAnsi="Arial"/>
          <w:sz w:val="17"/>
          <w:szCs w:val="17"/>
          <w:u w:val="single" w:color="auto"/>
          <w:color w:val="auto"/>
        </w:rPr>
        <w:t>/s/ Stephanie Ebert</w:t>
      </w:r>
      <w:r>
        <w:rPr>
          <w:rFonts w:ascii="Arial" w:cs="Arial" w:eastAsia="Arial" w:hAnsi="Arial"/>
          <w:sz w:val="17"/>
          <w:szCs w:val="17"/>
          <w:color w:val="auto"/>
        </w:rPr>
        <w:t>____________, a Notary Public in and for the State of Washington, personally appeared Grant Atkins who</w:t>
      </w:r>
    </w:p>
    <w:p>
      <w:pPr>
        <w:spacing w:after="0" w:line="35" w:lineRule="exact"/>
        <w:rPr>
          <w:sz w:val="20"/>
          <w:szCs w:val="20"/>
          <w:color w:val="auto"/>
        </w:rPr>
      </w:pPr>
    </w:p>
    <w:p>
      <w:pPr>
        <w:ind w:right="780"/>
        <w:spacing w:after="0" w:line="323" w:lineRule="auto"/>
        <w:rPr>
          <w:sz w:val="20"/>
          <w:szCs w:val="20"/>
          <w:color w:val="auto"/>
        </w:rPr>
      </w:pPr>
      <w:r>
        <w:rPr>
          <w:rFonts w:ascii="Arial" w:cs="Arial" w:eastAsia="Arial" w:hAnsi="Arial"/>
          <w:sz w:val="16"/>
          <w:szCs w:val="16"/>
          <w:color w:val="auto"/>
        </w:rPr>
        <w:t>acknowledged before me that he was the President of Eduverse.com, a Nevada corporation, on this day, and that he signed the foregoing Articles of Amendment as his free and voluntary act and dated for the uses and purposes therein set forth, and that the facts contained therein are true.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gridSpan w:val="7"/>
          </w:tcPr>
          <w:p>
            <w:pPr>
              <w:ind w:left="660"/>
              <w:spacing w:after="0"/>
              <w:rPr>
                <w:sz w:val="20"/>
                <w:szCs w:val="20"/>
                <w:color w:val="auto"/>
              </w:rPr>
            </w:pPr>
            <w:r>
              <w:rPr>
                <w:rFonts w:ascii="Arial" w:cs="Arial" w:eastAsia="Arial" w:hAnsi="Arial"/>
                <w:sz w:val="18"/>
                <w:szCs w:val="18"/>
                <w:color w:val="auto"/>
                <w:w w:val="93"/>
              </w:rPr>
              <w:t>In witness whereof I have hereunto set my hand and seal this 4 day of June, 2001.</w:t>
            </w:r>
          </w:p>
        </w:tc>
        <w:tc>
          <w:tcPr>
            <w:tcW w:w="41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12"/>
        </w:trPr>
        <w:tc>
          <w:tcPr>
            <w:tcW w:w="5080" w:type="dxa"/>
            <w:vAlign w:val="bottom"/>
            <w:gridSpan w:val="3"/>
          </w:tcPr>
          <w:p>
            <w:pPr>
              <w:ind w:left="660"/>
              <w:spacing w:after="0"/>
              <w:rPr>
                <w:sz w:val="20"/>
                <w:szCs w:val="20"/>
                <w:color w:val="auto"/>
              </w:rPr>
            </w:pPr>
            <w:r>
              <w:rPr>
                <w:rFonts w:ascii="Arial" w:cs="Arial" w:eastAsia="Arial" w:hAnsi="Arial"/>
                <w:sz w:val="18"/>
                <w:szCs w:val="18"/>
                <w:color w:val="auto"/>
              </w:rPr>
              <w:t>My commission expires 9 09 03</w:t>
            </w:r>
          </w:p>
        </w:tc>
        <w:tc>
          <w:tcPr>
            <w:tcW w:w="1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 Stephanie Ebert</w:t>
            </w:r>
          </w:p>
        </w:tc>
        <w:tc>
          <w:tcPr>
            <w:tcW w:w="500" w:type="dxa"/>
            <w:vAlign w:val="bottom"/>
          </w:tcPr>
          <w:p>
            <w:pPr>
              <w:spacing w:after="0"/>
              <w:rPr>
                <w:sz w:val="24"/>
                <w:szCs w:val="24"/>
                <w:color w:val="auto"/>
              </w:rPr>
            </w:pPr>
          </w:p>
        </w:tc>
      </w:tr>
      <w:tr>
        <w:trPr>
          <w:trHeight w:val="21"/>
        </w:trPr>
        <w:tc>
          <w:tcPr>
            <w:tcW w:w="238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4"/>
        </w:trPr>
        <w:tc>
          <w:tcPr>
            <w:tcW w:w="2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Notary Public</w:t>
            </w:r>
          </w:p>
        </w:tc>
        <w:tc>
          <w:tcPr>
            <w:tcW w:w="500" w:type="dxa"/>
            <w:vAlign w:val="bottom"/>
          </w:tcPr>
          <w:p>
            <w:pPr>
              <w:spacing w:after="0"/>
              <w:rPr>
                <w:sz w:val="19"/>
                <w:szCs w:val="19"/>
                <w:color w:val="auto"/>
              </w:rPr>
            </w:pPr>
          </w:p>
        </w:tc>
      </w:tr>
      <w:tr>
        <w:trPr>
          <w:trHeight w:val="661"/>
        </w:trPr>
        <w:tc>
          <w:tcPr>
            <w:tcW w:w="2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Filed in the office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Dean Heller,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 OF STATE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9, 2002</w:t>
      </w:r>
    </w:p>
    <w:p>
      <w:pPr>
        <w:spacing w:after="0" w:line="221"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Certificate of Amendment to Articles of Incorporation</w:t>
      </w:r>
    </w:p>
    <w:p>
      <w:pPr>
        <w:spacing w:after="0" w:line="27"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For Nevada Profit Corporations</w:t>
      </w:r>
    </w:p>
    <w:p>
      <w:pPr>
        <w:spacing w:after="0" w:line="9"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(Pursuant to NRS 78.380 – Before Issuance of Stock)</w:t>
      </w:r>
    </w:p>
    <w:p>
      <w:pPr>
        <w:spacing w:after="0" w:line="9"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-Remit in Duplicate-</w:t>
      </w:r>
    </w:p>
    <w:p>
      <w:pPr>
        <w:spacing w:after="0" w:line="21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 of corporation: Eduverse.com</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articles have been amended as follows (provide article numbers, if available):</w:t>
      </w:r>
    </w:p>
    <w:p>
      <w:pPr>
        <w:spacing w:after="0" w:line="225" w:lineRule="exact"/>
        <w:rPr>
          <w:rFonts w:ascii="Arial" w:cs="Arial" w:eastAsia="Arial" w:hAnsi="Arial"/>
          <w:sz w:val="18"/>
          <w:szCs w:val="18"/>
          <w:color w:val="auto"/>
        </w:rPr>
      </w:pPr>
    </w:p>
    <w:p>
      <w:pPr>
        <w:ind w:left="660" w:right="4120"/>
        <w:spacing w:after="0" w:line="296" w:lineRule="auto"/>
        <w:rPr>
          <w:rFonts w:ascii="Arial" w:cs="Arial" w:eastAsia="Arial" w:hAnsi="Arial"/>
          <w:sz w:val="18"/>
          <w:szCs w:val="18"/>
          <w:color w:val="auto"/>
        </w:rPr>
      </w:pPr>
      <w:r>
        <w:rPr>
          <w:rFonts w:ascii="Arial" w:cs="Arial" w:eastAsia="Arial" w:hAnsi="Arial"/>
          <w:sz w:val="17"/>
          <w:szCs w:val="17"/>
          <w:color w:val="auto"/>
        </w:rPr>
        <w:t>Further Resolved that an amendment to the Articles of Incorporation of the Company to effectuate a change in name of the Company to “Genemax Corp.” be and hereby is approved, and that such amendment to the Articles of Incorporation be filed with the Nevada Secretary of State.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680" w:hanging="672"/>
        <w:spacing w:after="0"/>
        <w:tabs>
          <w:tab w:leader="none" w:pos="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The undersigned declare that they constitute </w:t>
      </w:r>
      <w:r>
        <w:rPr>
          <w:rFonts w:ascii="Arial" w:cs="Arial" w:eastAsia="Arial" w:hAnsi="Arial"/>
          <w:sz w:val="16"/>
          <w:szCs w:val="16"/>
          <w:u w:val="single" w:color="auto"/>
          <w:color w:val="auto"/>
        </w:rPr>
        <w:t>at least two-thirds</w:t>
      </w:r>
      <w:r>
        <w:rPr>
          <w:rFonts w:ascii="Arial" w:cs="Arial" w:eastAsia="Arial" w:hAnsi="Arial"/>
          <w:sz w:val="16"/>
          <w:szCs w:val="16"/>
          <w:color w:val="auto"/>
        </w:rPr>
        <w:t xml:space="preserve"> of the </w:t>
      </w:r>
      <w:r>
        <w:rPr>
          <w:rFonts w:ascii="Arial" w:cs="Arial" w:eastAsia="Arial" w:hAnsi="Arial"/>
          <w:sz w:val="16"/>
          <w:szCs w:val="16"/>
          <w:u w:val="single" w:color="auto"/>
          <w:color w:val="auto"/>
        </w:rPr>
        <w:t>incorporators</w:t>
      </w:r>
      <w:r>
        <w:rPr>
          <w:rFonts w:ascii="Arial" w:cs="Arial" w:eastAsia="Arial" w:hAnsi="Arial"/>
          <w:sz w:val="16"/>
          <w:szCs w:val="16"/>
          <w:color w:val="auto"/>
        </w:rPr>
        <w:t xml:space="preserve"> (check) ___, or of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xml:space="preserve"> (check) </w:t>
      </w:r>
      <w:r>
        <w:rPr>
          <w:rFonts w:ascii="Arial" w:cs="Arial" w:eastAsia="Arial" w:hAnsi="Arial"/>
          <w:sz w:val="16"/>
          <w:szCs w:val="16"/>
          <w:u w:val="single" w:color="auto"/>
          <w:color w:val="auto"/>
        </w:rPr>
        <w:t>xx.</w:t>
      </w:r>
    </w:p>
    <w:p>
      <w:pPr>
        <w:spacing w:after="0" w:line="248" w:lineRule="exact"/>
        <w:rPr>
          <w:rFonts w:ascii="Arial" w:cs="Arial" w:eastAsia="Arial" w:hAnsi="Arial"/>
          <w:sz w:val="16"/>
          <w:szCs w:val="16"/>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undersigned affirmatively declare that to the date of this certificate, no stock of the corporation has been issued.</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-2248535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-2385695</wp:posOffset>
            </wp:positionV>
            <wp:extent cx="58058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-816610</wp:posOffset>
            </wp:positionV>
            <wp:extent cx="683514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-962025</wp:posOffset>
            </wp:positionV>
            <wp:extent cx="68351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-1108075</wp:posOffset>
            </wp:positionV>
            <wp:extent cx="68351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-1253490</wp:posOffset>
            </wp:positionV>
            <wp:extent cx="68351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-1399540</wp:posOffset>
            </wp:positionV>
            <wp:extent cx="68351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-1545590</wp:posOffset>
            </wp:positionV>
            <wp:extent cx="68351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-1691005</wp:posOffset>
            </wp:positionV>
            <wp:extent cx="68351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ectPr>
          <w:pgSz w:w="11900" w:h="16838" w:orient="portrait"/>
          <w:cols w:equalWidth="0" w:num="1">
            <w:col w:w="10440"/>
          </w:cols>
          <w:pgMar w:left="240" w:top="908" w:right="121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Grant Atkins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Signature: Grant Atkins,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6277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2898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6140" w:space="720"/>
            <w:col w:w="3580"/>
          </w:cols>
          <w:pgMar w:left="240" w:top="908" w:right="121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w:t>
      </w:r>
      <w:r>
        <w:rPr>
          <w:rFonts w:ascii="Arial" w:cs="Arial" w:eastAsia="Arial" w:hAnsi="Arial"/>
          <w:sz w:val="16"/>
          <w:szCs w:val="16"/>
          <w:color w:val="auto"/>
        </w:rPr>
        <w:t>: Failure to include any of the above information and remit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240" w:top="908" w:right="1219" w:bottom="1440" w:gutter="0" w:footer="0" w:header="0"/>
          <w:type w:val="continuous"/>
        </w:sectPr>
      </w:pPr>
    </w:p>
    <w:bookmarkStart w:id="46" w:name="page47"/>
    <w:bookmarkEnd w:id="46"/>
    <w:tbl>
      <w:tblPr>
        <w:tblLayout w:type="fixed"/>
        <w:tblInd w:w="10" w:type="dxa"/>
        <w:tblCellMar>
          <w:top w:w="0" w:type="dxa"/>
          <w:left w:w="0" w:type="dxa"/>
          <w:bottom w:w="0" w:type="dxa"/>
          <w:right w:w="0" w:type="dxa"/>
        </w:tblCellMar>
      </w:tblPr>
      <w:tr>
        <w:trPr>
          <w:trHeight w:val="143"/>
        </w:trPr>
        <w:tc>
          <w:tcPr>
            <w:tcW w:w="1740" w:type="dxa"/>
            <w:vAlign w:val="bottom"/>
            <w:tcBorders>
              <w:top w:val="single" w:sz="8" w:color="auto"/>
              <w:left w:val="single" w:sz="8" w:color="auto"/>
              <w:right w:val="single" w:sz="8" w:color="auto"/>
            </w:tcBorders>
          </w:tcPr>
          <w:p>
            <w:pPr>
              <w:ind w:left="120"/>
              <w:spacing w:after="0" w:line="143" w:lineRule="exact"/>
              <w:rPr>
                <w:sz w:val="20"/>
                <w:szCs w:val="20"/>
                <w:color w:val="auto"/>
              </w:rPr>
            </w:pPr>
            <w:r>
              <w:rPr>
                <w:rFonts w:ascii="Arial" w:cs="Arial" w:eastAsia="Arial" w:hAnsi="Arial"/>
                <w:sz w:val="14"/>
                <w:szCs w:val="14"/>
                <w:color w:val="auto"/>
              </w:rPr>
              <w:t>Filed in the office of</w:t>
            </w:r>
          </w:p>
        </w:tc>
        <w:tc>
          <w:tcPr>
            <w:tcW w:w="2280" w:type="dxa"/>
            <w:vAlign w:val="bottom"/>
            <w:tcBorders>
              <w:top w:val="single" w:sz="8" w:color="auto"/>
              <w:right w:val="single" w:sz="8" w:color="auto"/>
            </w:tcBorders>
          </w:tcPr>
          <w:p>
            <w:pPr>
              <w:ind w:left="80"/>
              <w:spacing w:after="0" w:line="143" w:lineRule="exact"/>
              <w:rPr>
                <w:sz w:val="20"/>
                <w:szCs w:val="20"/>
                <w:color w:val="auto"/>
              </w:rPr>
            </w:pPr>
            <w:r>
              <w:rPr>
                <w:rFonts w:ascii="Arial" w:cs="Arial" w:eastAsia="Arial" w:hAnsi="Arial"/>
                <w:sz w:val="14"/>
                <w:szCs w:val="14"/>
                <w:color w:val="auto"/>
                <w:w w:val="95"/>
              </w:rPr>
              <w:t>Document Number 20070220121-87</w:t>
            </w:r>
          </w:p>
        </w:tc>
      </w:tr>
      <w:tr>
        <w:trPr>
          <w:trHeight w:val="149"/>
        </w:trPr>
        <w:tc>
          <w:tcPr>
            <w:tcW w:w="174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Ross Miller</w:t>
            </w:r>
          </w:p>
        </w:tc>
        <w:tc>
          <w:tcPr>
            <w:tcW w:w="2280" w:type="dxa"/>
            <w:vAlign w:val="bottom"/>
            <w:tcBorders>
              <w:right w:val="single" w:sz="8" w:color="auto"/>
            </w:tcBorders>
          </w:tcPr>
          <w:p>
            <w:pPr>
              <w:spacing w:after="0"/>
              <w:rPr>
                <w:sz w:val="12"/>
                <w:szCs w:val="12"/>
                <w:color w:val="auto"/>
              </w:rPr>
            </w:pPr>
          </w:p>
        </w:tc>
      </w:tr>
      <w:tr>
        <w:trPr>
          <w:trHeight w:val="149"/>
        </w:trPr>
        <w:tc>
          <w:tcPr>
            <w:tcW w:w="174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Secretary of State</w:t>
            </w:r>
          </w:p>
        </w:tc>
        <w:tc>
          <w:tcPr>
            <w:tcW w:w="228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Filing Date and Time</w:t>
            </w:r>
          </w:p>
        </w:tc>
      </w:tr>
      <w:tr>
        <w:trPr>
          <w:trHeight w:val="167"/>
        </w:trPr>
        <w:tc>
          <w:tcPr>
            <w:tcW w:w="17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State of Nevada</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03/29/2007  3:40 PM</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Amendment to Articles of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Nevada Profit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NRS 78.385 and 78.390 – After Issuance of Stock)</w:t>
      </w:r>
    </w:p>
    <w:p>
      <w:pPr>
        <w:spacing w:after="0" w:line="21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 of corporation:</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GENEMAX CORP.</w:t>
      </w:r>
    </w:p>
    <w:p>
      <w:pPr>
        <w:spacing w:after="0" w:line="224" w:lineRule="exact"/>
        <w:rPr>
          <w:rFonts w:ascii="Arial" w:cs="Arial" w:eastAsia="Arial" w:hAnsi="Arial"/>
          <w:sz w:val="18"/>
          <w:szCs w:val="18"/>
          <w:color w:val="auto"/>
        </w:rPr>
      </w:pPr>
    </w:p>
    <w:p>
      <w:pPr>
        <w:ind w:left="660" w:right="4860" w:hanging="652"/>
        <w:spacing w:after="0" w:line="50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articles have been amended as follows (provide article numbers, if available): Article IV is hereby amended to read as follows:</w:t>
      </w:r>
    </w:p>
    <w:p>
      <w:pPr>
        <w:ind w:left="660" w:right="480"/>
        <w:spacing w:after="0" w:line="277" w:lineRule="auto"/>
        <w:rPr>
          <w:rFonts w:ascii="Arial" w:cs="Arial" w:eastAsia="Arial" w:hAnsi="Arial"/>
          <w:sz w:val="18"/>
          <w:szCs w:val="18"/>
          <w:color w:val="auto"/>
        </w:rPr>
      </w:pPr>
      <w:r>
        <w:rPr>
          <w:rFonts w:ascii="Arial" w:cs="Arial" w:eastAsia="Arial" w:hAnsi="Arial"/>
          <w:sz w:val="18"/>
          <w:szCs w:val="18"/>
          <w:color w:val="auto"/>
        </w:rPr>
        <w:t>“The corporation is authorized to have two classes of stock: (i) common and (ii) non-voting preferred. The total amount of authorized shares is 200,000,000 common and 5,000,000 preferred, each class of which shall have a par value of $0.001.”</w:t>
      </w:r>
    </w:p>
    <w:p>
      <w:pPr>
        <w:spacing w:after="0" w:line="170" w:lineRule="exact"/>
        <w:rPr>
          <w:rFonts w:ascii="Arial" w:cs="Arial" w:eastAsia="Arial" w:hAnsi="Arial"/>
          <w:sz w:val="18"/>
          <w:szCs w:val="18"/>
          <w:color w:val="auto"/>
        </w:rPr>
      </w:pPr>
    </w:p>
    <w:p>
      <w:pPr>
        <w:jc w:val="both"/>
        <w:ind w:left="660" w:hanging="652"/>
        <w:spacing w:after="0" w:line="22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vote by which the stockholders holding shares in the corporation entitling them to exercise at least a majority of the voting power, or such greater proportion of the voting power as may be required in the case of a vote by classes or series, or as may be required by the provisions of the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articles of incorporation have voted in favor of the amendment is: </w:t>
      </w:r>
      <w:r>
        <w:rPr>
          <w:rFonts w:ascii="Arial" w:cs="Arial" w:eastAsia="Arial" w:hAnsi="Arial"/>
          <w:sz w:val="18"/>
          <w:szCs w:val="18"/>
          <w:u w:val="single" w:color="auto"/>
          <w:color w:val="auto"/>
        </w:rPr>
        <w:t>75.5%.</w:t>
      </w:r>
    </w:p>
    <w:p>
      <w:pPr>
        <w:spacing w:after="0" w:line="202" w:lineRule="exact"/>
        <w:rPr>
          <w:rFonts w:ascii="Arial" w:cs="Arial" w:eastAsia="Arial" w:hAnsi="Arial"/>
          <w:sz w:val="18"/>
          <w:szCs w:val="18"/>
          <w:color w:val="auto"/>
        </w:rPr>
      </w:pPr>
    </w:p>
    <w:p>
      <w:pPr>
        <w:ind w:left="820" w:hanging="812"/>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 date of filing (optional):</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Officer Signature (Required):  X /s/ Denis Corin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-2077085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-2214245</wp:posOffset>
            </wp:positionV>
            <wp:extent cx="580580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-284480</wp:posOffset>
            </wp:positionV>
            <wp:extent cx="17430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43075" cy="8890"/>
                    </a:xfrm>
                    <a:prstGeom prst="rect">
                      <a:avLst/>
                    </a:prstGeom>
                    <a:noFill/>
                  </pic:spPr>
                </pic:pic>
              </a:graphicData>
            </a:graphic>
          </wp:anchor>
        </w:drawing>
        <w:drawing>
          <wp:anchor simplePos="0" relativeHeight="251657728" behindDoc="1" locked="0" layoutInCell="0" allowOverlap="1">
            <wp:simplePos x="0" y="0"/>
            <wp:positionH relativeFrom="column">
              <wp:posOffset>1955165</wp:posOffset>
            </wp:positionH>
            <wp:positionV relativeFrom="paragraph">
              <wp:posOffset>-10160</wp:posOffset>
            </wp:positionV>
            <wp:extent cx="18319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31975" cy="8890"/>
                    </a:xfrm>
                    <a:prstGeom prst="rect">
                      <a:avLst/>
                    </a:prstGeom>
                    <a:noFill/>
                  </pic:spPr>
                </pic:pic>
              </a:graphicData>
            </a:graphic>
          </wp:anchor>
        </w:drawing>
      </w:r>
    </w:p>
    <w:p>
      <w:pPr>
        <w:spacing w:after="0" w:line="273" w:lineRule="exact"/>
        <w:rPr>
          <w:sz w:val="20"/>
          <w:szCs w:val="20"/>
          <w:color w:val="auto"/>
        </w:rPr>
      </w:pPr>
    </w:p>
    <w:p>
      <w:pPr>
        <w:ind w:right="100" w:firstLine="8"/>
        <w:spacing w:after="0" w:line="223" w:lineRule="auto"/>
        <w:tabs>
          <w:tab w:leader="none" w:pos="120" w:val="left"/>
        </w:tabs>
        <w:numPr>
          <w:ilvl w:val="0"/>
          <w:numId w:val="21"/>
        </w:numPr>
        <w:rPr>
          <w:rFonts w:ascii="Arial" w:cs="Arial" w:eastAsia="Arial" w:hAnsi="Arial"/>
          <w:sz w:val="28"/>
          <w:szCs w:val="28"/>
          <w:color w:val="auto"/>
          <w:vertAlign w:val="superscript"/>
        </w:rPr>
      </w:pPr>
      <w:r>
        <w:rPr>
          <w:rFonts w:ascii="Arial" w:cs="Arial" w:eastAsia="Arial" w:hAnsi="Arial"/>
          <w:sz w:val="17"/>
          <w:szCs w:val="17"/>
          <w:color w:val="auto"/>
        </w:rPr>
        <w:t>If any proposed amendment would alter or change any preference or any relative or other right given to any class or series of outstanding shares, then the amendment must be approved by the vote, in addition to the alternative vote otherwise required, of the holders of shares representing a majority of the voting power of each class or series affected by the amendment regardless of limitations or restrictions on the voting power thereof.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IMPORTANT: </w:t>
      </w:r>
      <w:r>
        <w:rPr>
          <w:rFonts w:ascii="Arial" w:cs="Arial" w:eastAsia="Arial" w:hAnsi="Arial"/>
          <w:sz w:val="18"/>
          <w:szCs w:val="18"/>
          <w:color w:val="auto"/>
        </w:rPr>
        <w:t>Failure to include any of the above information and submit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7" w:name="page48"/>
    <w:bookmarkEnd w:id="47"/>
    <w:p>
      <w:pPr>
        <w:ind w:left="120"/>
        <w:spacing w:after="0" w:line="234" w:lineRule="auto"/>
        <w:rPr>
          <w:sz w:val="20"/>
          <w:szCs w:val="20"/>
          <w:color w:val="auto"/>
        </w:rPr>
      </w:pPr>
      <w:r>
        <w:rPr>
          <w:rFonts w:ascii="Arial" w:cs="Arial" w:eastAsia="Arial" w:hAnsi="Arial"/>
          <w:sz w:val="14"/>
          <w:szCs w:val="14"/>
          <w:color w:val="auto"/>
        </w:rPr>
        <w:t>Filed in the office of Ross Miller Secretary of State State of Nevada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Document Number 00001403880-94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-90805</wp:posOffset>
            </wp:positionV>
            <wp:extent cx="2546985" cy="437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46985" cy="43751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Filing Date and Time</w:t>
      </w:r>
    </w:p>
    <w:p>
      <w:pPr>
        <w:spacing w:after="0"/>
        <w:rPr>
          <w:sz w:val="20"/>
          <w:szCs w:val="20"/>
          <w:color w:val="auto"/>
        </w:rPr>
      </w:pPr>
      <w:r>
        <w:rPr>
          <w:rFonts w:ascii="Arial" w:cs="Arial" w:eastAsia="Arial" w:hAnsi="Arial"/>
          <w:sz w:val="14"/>
          <w:szCs w:val="14"/>
          <w:color w:val="auto"/>
        </w:rPr>
        <w:t>06/21/2007  11:45 AM</w:t>
      </w:r>
    </w:p>
    <w:p>
      <w:pPr>
        <w:spacing w:after="0" w:line="200" w:lineRule="exact"/>
        <w:rPr>
          <w:sz w:val="20"/>
          <w:szCs w:val="20"/>
          <w:color w:val="auto"/>
        </w:rPr>
      </w:pPr>
    </w:p>
    <w:p>
      <w:pPr>
        <w:sectPr>
          <w:pgSz w:w="11900" w:h="16838" w:orient="portrait"/>
          <w:cols w:equalWidth="0" w:num="2">
            <w:col w:w="1300" w:space="520"/>
            <w:col w:w="9580"/>
          </w:cols>
          <w:pgMar w:left="240" w:top="918" w:right="259" w:bottom="1440" w:gutter="0" w:footer="0" w:header="0"/>
        </w:sectPr>
      </w:pP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MERGER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Nevada Revised Statutes Chapter 92A)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(excluding 92A.200(4b))</w:t>
      </w:r>
    </w:p>
    <w:p>
      <w:pPr>
        <w:spacing w:after="0" w:line="178" w:lineRule="exact"/>
        <w:rPr>
          <w:sz w:val="20"/>
          <w:szCs w:val="20"/>
          <w:color w:val="auto"/>
        </w:rPr>
      </w:pPr>
    </w:p>
    <w:p>
      <w:pPr>
        <w:ind w:firstLine="8"/>
        <w:spacing w:after="0" w:line="239" w:lineRule="exact"/>
        <w:tabs>
          <w:tab w:leader="none" w:pos="5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Name and Jurisdiction of organization of each constituent entity (NRS 92A.200). If there are more than four merging entities, check box </w:t>
      </w:r>
      <w:r>
        <w:rPr>
          <w:rFonts w:ascii="MS PGothic" w:cs="MS PGothic" w:eastAsia="MS PGothic" w:hAnsi="MS PGothic"/>
          <w:sz w:val="18"/>
          <w:szCs w:val="18"/>
          <w:color w:val="auto"/>
        </w:rPr>
        <w:t>☐</w:t>
      </w:r>
      <w:r>
        <w:rPr>
          <w:rFonts w:ascii="Arial" w:cs="Arial" w:eastAsia="Arial" w:hAnsi="Arial"/>
          <w:sz w:val="18"/>
          <w:szCs w:val="18"/>
          <w:color w:val="auto"/>
        </w:rPr>
        <w:t xml:space="preserve"> and attach an 8 1/2 x 11” blank sheet containing the required information for each additional entity.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0" w:type="dxa"/>
            <w:vAlign w:val="bottom"/>
          </w:tcPr>
          <w:p>
            <w:pPr>
              <w:spacing w:after="0"/>
              <w:rPr>
                <w:sz w:val="20"/>
                <w:szCs w:val="20"/>
                <w:color w:val="auto"/>
              </w:rPr>
            </w:pPr>
            <w:r>
              <w:rPr>
                <w:rFonts w:ascii="Arial" w:cs="Arial" w:eastAsia="Arial" w:hAnsi="Arial"/>
                <w:sz w:val="18"/>
                <w:szCs w:val="18"/>
                <w:b w:val="1"/>
                <w:bCs w:val="1"/>
                <w:color w:val="auto"/>
              </w:rPr>
              <w:t>TAPIMMUNE INC.</w:t>
            </w:r>
          </w:p>
        </w:tc>
        <w:tc>
          <w:tcPr>
            <w:tcW w:w="2720" w:type="dxa"/>
            <w:vAlign w:val="bottom"/>
          </w:tcPr>
          <w:p>
            <w:pPr>
              <w:spacing w:after="0"/>
              <w:rPr>
                <w:sz w:val="19"/>
                <w:szCs w:val="19"/>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Name of merging entity</w:t>
            </w:r>
          </w:p>
        </w:tc>
        <w:tc>
          <w:tcPr>
            <w:tcW w:w="2720" w:type="dxa"/>
            <w:vAlign w:val="bottom"/>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NEVADA</w:t>
            </w:r>
          </w:p>
        </w:tc>
        <w:tc>
          <w:tcPr>
            <w:tcW w:w="2720" w:type="dxa"/>
            <w:vAlign w:val="bottom"/>
          </w:tcPr>
          <w:p>
            <w:pPr>
              <w:ind w:left="1380"/>
              <w:spacing w:after="0"/>
              <w:rPr>
                <w:sz w:val="20"/>
                <w:szCs w:val="20"/>
                <w:color w:val="auto"/>
              </w:rPr>
            </w:pPr>
            <w:r>
              <w:rPr>
                <w:rFonts w:ascii="Arial" w:cs="Arial" w:eastAsia="Arial" w:hAnsi="Arial"/>
                <w:sz w:val="18"/>
                <w:szCs w:val="18"/>
                <w:color w:val="auto"/>
                <w:w w:val="98"/>
              </w:rPr>
              <w:t>CORPORATION</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Jurisdiction</w:t>
            </w:r>
          </w:p>
        </w:tc>
        <w:tc>
          <w:tcPr>
            <w:tcW w:w="2720" w:type="dxa"/>
            <w:vAlign w:val="bottom"/>
          </w:tcPr>
          <w:p>
            <w:pPr>
              <w:ind w:left="1380"/>
              <w:spacing w:after="0"/>
              <w:rPr>
                <w:sz w:val="20"/>
                <w:szCs w:val="20"/>
                <w:color w:val="auto"/>
              </w:rPr>
            </w:pPr>
            <w:r>
              <w:rPr>
                <w:rFonts w:ascii="Arial" w:cs="Arial" w:eastAsia="Arial" w:hAnsi="Arial"/>
                <w:sz w:val="18"/>
                <w:szCs w:val="18"/>
                <w:color w:val="auto"/>
              </w:rPr>
              <w:t>Entity type*</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Name of Merging entity</w:t>
            </w:r>
          </w:p>
        </w:tc>
        <w:tc>
          <w:tcPr>
            <w:tcW w:w="2720" w:type="dxa"/>
            <w:vAlign w:val="bottom"/>
          </w:tcPr>
          <w:p>
            <w:pPr>
              <w:spacing w:after="0"/>
              <w:rPr>
                <w:sz w:val="24"/>
                <w:szCs w:val="24"/>
                <w:color w:val="auto"/>
              </w:rPr>
            </w:pP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Jurisdiction</w:t>
            </w:r>
          </w:p>
        </w:tc>
        <w:tc>
          <w:tcPr>
            <w:tcW w:w="2720" w:type="dxa"/>
            <w:vAlign w:val="bottom"/>
          </w:tcPr>
          <w:p>
            <w:pPr>
              <w:ind w:left="1380"/>
              <w:spacing w:after="0"/>
              <w:rPr>
                <w:sz w:val="20"/>
                <w:szCs w:val="20"/>
                <w:color w:val="auto"/>
              </w:rPr>
            </w:pPr>
            <w:r>
              <w:rPr>
                <w:rFonts w:ascii="Arial" w:cs="Arial" w:eastAsia="Arial" w:hAnsi="Arial"/>
                <w:sz w:val="18"/>
                <w:szCs w:val="18"/>
                <w:color w:val="auto"/>
              </w:rPr>
              <w:t>Entity type*</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Name of Merging entity</w:t>
            </w:r>
          </w:p>
        </w:tc>
        <w:tc>
          <w:tcPr>
            <w:tcW w:w="2720" w:type="dxa"/>
            <w:vAlign w:val="bottom"/>
          </w:tcPr>
          <w:p>
            <w:pPr>
              <w:spacing w:after="0"/>
              <w:rPr>
                <w:sz w:val="24"/>
                <w:szCs w:val="24"/>
                <w:color w:val="auto"/>
              </w:rPr>
            </w:pP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Jurisdiction</w:t>
            </w:r>
          </w:p>
        </w:tc>
        <w:tc>
          <w:tcPr>
            <w:tcW w:w="2720" w:type="dxa"/>
            <w:vAlign w:val="bottom"/>
          </w:tcPr>
          <w:p>
            <w:pPr>
              <w:ind w:left="1380"/>
              <w:spacing w:after="0"/>
              <w:rPr>
                <w:sz w:val="20"/>
                <w:szCs w:val="20"/>
                <w:color w:val="auto"/>
              </w:rPr>
            </w:pPr>
            <w:r>
              <w:rPr>
                <w:rFonts w:ascii="Arial" w:cs="Arial" w:eastAsia="Arial" w:hAnsi="Arial"/>
                <w:sz w:val="18"/>
                <w:szCs w:val="18"/>
                <w:color w:val="auto"/>
              </w:rPr>
              <w:t>Entity type*</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Name of Merging entity</w:t>
            </w:r>
          </w:p>
        </w:tc>
        <w:tc>
          <w:tcPr>
            <w:tcW w:w="2720" w:type="dxa"/>
            <w:vAlign w:val="bottom"/>
          </w:tcPr>
          <w:p>
            <w:pPr>
              <w:spacing w:after="0"/>
              <w:rPr>
                <w:sz w:val="24"/>
                <w:szCs w:val="24"/>
                <w:color w:val="auto"/>
              </w:rPr>
            </w:pPr>
          </w:p>
        </w:tc>
      </w:tr>
      <w:tr>
        <w:trPr>
          <w:trHeight w:val="596"/>
        </w:trPr>
        <w:tc>
          <w:tcPr>
            <w:tcW w:w="3200" w:type="dxa"/>
            <w:vAlign w:val="bottom"/>
          </w:tcPr>
          <w:p>
            <w:pPr>
              <w:spacing w:after="0"/>
              <w:rPr>
                <w:sz w:val="20"/>
                <w:szCs w:val="20"/>
                <w:color w:val="auto"/>
              </w:rPr>
            </w:pPr>
            <w:r>
              <w:rPr>
                <w:rFonts w:ascii="Arial" w:cs="Arial" w:eastAsia="Arial" w:hAnsi="Arial"/>
                <w:sz w:val="18"/>
                <w:szCs w:val="18"/>
                <w:color w:val="auto"/>
              </w:rPr>
              <w:t>Jurisdiction</w:t>
            </w:r>
          </w:p>
        </w:tc>
        <w:tc>
          <w:tcPr>
            <w:tcW w:w="2720" w:type="dxa"/>
            <w:vAlign w:val="bottom"/>
          </w:tcPr>
          <w:p>
            <w:pPr>
              <w:ind w:left="1380"/>
              <w:spacing w:after="0"/>
              <w:rPr>
                <w:sz w:val="20"/>
                <w:szCs w:val="20"/>
                <w:color w:val="auto"/>
              </w:rPr>
            </w:pPr>
            <w:r>
              <w:rPr>
                <w:rFonts w:ascii="Arial" w:cs="Arial" w:eastAsia="Arial" w:hAnsi="Arial"/>
                <w:sz w:val="18"/>
                <w:szCs w:val="18"/>
                <w:color w:val="auto"/>
              </w:rPr>
              <w:t>Entity type</w:t>
            </w:r>
            <w:r>
              <w:rPr>
                <w:rFonts w:ascii="Arial" w:cs="Arial" w:eastAsia="Arial" w:hAnsi="Arial"/>
                <w:sz w:val="30"/>
                <w:szCs w:val="30"/>
                <w:color w:val="auto"/>
                <w:vertAlign w:val="superscript"/>
              </w:rPr>
              <w:t>*</w:t>
            </w:r>
          </w:p>
        </w:tc>
      </w:tr>
      <w:tr>
        <w:trPr>
          <w:trHeight w:val="291"/>
        </w:trPr>
        <w:tc>
          <w:tcPr>
            <w:tcW w:w="3200" w:type="dxa"/>
            <w:vAlign w:val="bottom"/>
          </w:tcPr>
          <w:p>
            <w:pPr>
              <w:spacing w:after="0"/>
              <w:rPr>
                <w:sz w:val="20"/>
                <w:szCs w:val="20"/>
                <w:color w:val="auto"/>
              </w:rPr>
            </w:pPr>
            <w:r>
              <w:rPr>
                <w:rFonts w:ascii="Arial" w:cs="Arial" w:eastAsia="Arial" w:hAnsi="Arial"/>
                <w:sz w:val="18"/>
                <w:szCs w:val="18"/>
                <w:color w:val="auto"/>
              </w:rPr>
              <w:t>and,</w:t>
            </w:r>
          </w:p>
        </w:tc>
        <w:tc>
          <w:tcPr>
            <w:tcW w:w="2720" w:type="dxa"/>
            <w:vAlign w:val="bottom"/>
          </w:tcPr>
          <w:p>
            <w:pPr>
              <w:spacing w:after="0"/>
              <w:rPr>
                <w:sz w:val="24"/>
                <w:szCs w:val="24"/>
                <w:color w:val="auto"/>
              </w:rPr>
            </w:pPr>
          </w:p>
        </w:tc>
      </w:tr>
      <w:tr>
        <w:trPr>
          <w:trHeight w:val="220"/>
        </w:trPr>
        <w:tc>
          <w:tcPr>
            <w:tcW w:w="3200" w:type="dxa"/>
            <w:vAlign w:val="bottom"/>
          </w:tcPr>
          <w:p>
            <w:pPr>
              <w:spacing w:after="0"/>
              <w:rPr>
                <w:sz w:val="20"/>
                <w:szCs w:val="20"/>
                <w:color w:val="auto"/>
              </w:rPr>
            </w:pPr>
            <w:r>
              <w:rPr>
                <w:rFonts w:ascii="Arial" w:cs="Arial" w:eastAsia="Arial" w:hAnsi="Arial"/>
                <w:sz w:val="18"/>
                <w:szCs w:val="18"/>
                <w:b w:val="1"/>
                <w:bCs w:val="1"/>
                <w:color w:val="auto"/>
              </w:rPr>
              <w:t>GENEMAX CORP.</w:t>
            </w:r>
          </w:p>
        </w:tc>
        <w:tc>
          <w:tcPr>
            <w:tcW w:w="2720" w:type="dxa"/>
            <w:vAlign w:val="bottom"/>
          </w:tcPr>
          <w:p>
            <w:pPr>
              <w:spacing w:after="0"/>
              <w:rPr>
                <w:sz w:val="19"/>
                <w:szCs w:val="19"/>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Name of surviving entity</w:t>
            </w:r>
          </w:p>
        </w:tc>
        <w:tc>
          <w:tcPr>
            <w:tcW w:w="2720" w:type="dxa"/>
            <w:vAlign w:val="bottom"/>
          </w:tcPr>
          <w:p>
            <w:pPr>
              <w:spacing w:after="0"/>
              <w:rPr>
                <w:sz w:val="20"/>
                <w:szCs w:val="20"/>
                <w:color w:val="auto"/>
              </w:rPr>
            </w:pPr>
          </w:p>
        </w:tc>
      </w:tr>
      <w:tr>
        <w:trPr>
          <w:trHeight w:val="418"/>
        </w:trPr>
        <w:tc>
          <w:tcPr>
            <w:tcW w:w="3200" w:type="dxa"/>
            <w:vAlign w:val="bottom"/>
          </w:tcPr>
          <w:p>
            <w:pPr>
              <w:spacing w:after="0"/>
              <w:rPr>
                <w:sz w:val="20"/>
                <w:szCs w:val="20"/>
                <w:color w:val="auto"/>
              </w:rPr>
            </w:pPr>
            <w:r>
              <w:rPr>
                <w:rFonts w:ascii="Arial" w:cs="Arial" w:eastAsia="Arial" w:hAnsi="Arial"/>
                <w:sz w:val="18"/>
                <w:szCs w:val="18"/>
                <w:b w:val="1"/>
                <w:bCs w:val="1"/>
                <w:color w:val="auto"/>
              </w:rPr>
              <w:t>NEVADA</w:t>
            </w:r>
          </w:p>
        </w:tc>
        <w:tc>
          <w:tcPr>
            <w:tcW w:w="2720" w:type="dxa"/>
            <w:vAlign w:val="bottom"/>
          </w:tcPr>
          <w:p>
            <w:pPr>
              <w:ind w:left="1380"/>
              <w:spacing w:after="0"/>
              <w:rPr>
                <w:sz w:val="20"/>
                <w:szCs w:val="20"/>
                <w:color w:val="auto"/>
              </w:rPr>
            </w:pPr>
            <w:r>
              <w:rPr>
                <w:rFonts w:ascii="Arial" w:cs="Arial" w:eastAsia="Arial" w:hAnsi="Arial"/>
                <w:sz w:val="18"/>
                <w:szCs w:val="18"/>
                <w:b w:val="1"/>
                <w:bCs w:val="1"/>
                <w:color w:val="auto"/>
                <w:w w:val="97"/>
              </w:rPr>
              <w:t>CORPORATION</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Jurisdiction</w:t>
            </w:r>
          </w:p>
        </w:tc>
        <w:tc>
          <w:tcPr>
            <w:tcW w:w="2720" w:type="dxa"/>
            <w:vAlign w:val="bottom"/>
          </w:tcPr>
          <w:p>
            <w:pPr>
              <w:ind w:left="1380"/>
              <w:spacing w:after="0"/>
              <w:rPr>
                <w:sz w:val="20"/>
                <w:szCs w:val="20"/>
                <w:color w:val="auto"/>
              </w:rPr>
            </w:pPr>
            <w:r>
              <w:rPr>
                <w:rFonts w:ascii="Arial" w:cs="Arial" w:eastAsia="Arial" w:hAnsi="Arial"/>
                <w:sz w:val="18"/>
                <w:szCs w:val="18"/>
                <w:color w:val="auto"/>
              </w:rPr>
              <w:t>Entity type*</w:t>
            </w:r>
          </w:p>
        </w:tc>
      </w:tr>
    </w:tbl>
    <w:p>
      <w:pPr>
        <w:spacing w:after="0" w:line="202" w:lineRule="exact"/>
        <w:rPr>
          <w:sz w:val="20"/>
          <w:szCs w:val="20"/>
          <w:color w:val="auto"/>
        </w:rPr>
      </w:pPr>
    </w:p>
    <w:p>
      <w:pPr>
        <w:ind w:left="680" w:hanging="672"/>
        <w:spacing w:after="0"/>
        <w:tabs>
          <w:tab w:leader="none" w:pos="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Forwarding address where copies of process may be sent by the Secretary of State of Nevada (if a foreign entity is the survivor in the merger – NRS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92A.1 90):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w:t>
      </w:r>
    </w:p>
    <w:p>
      <w:pPr>
        <w:spacing w:after="0" w:line="225" w:lineRule="exact"/>
        <w:rPr>
          <w:sz w:val="20"/>
          <w:szCs w:val="20"/>
          <w:color w:val="auto"/>
        </w:rPr>
      </w:pPr>
    </w:p>
    <w:p>
      <w:pPr>
        <w:ind w:left="680" w:hanging="672"/>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(Choose one)</w:t>
      </w:r>
    </w:p>
    <w:p>
      <w:pPr>
        <w:spacing w:after="0" w:line="225" w:lineRule="exact"/>
        <w:rPr>
          <w:sz w:val="20"/>
          <w:szCs w:val="20"/>
          <w:color w:val="auto"/>
        </w:rPr>
      </w:pPr>
    </w:p>
    <w:p>
      <w:pPr>
        <w:ind w:right="3400" w:firstLine="8"/>
        <w:spacing w:after="0" w:line="659" w:lineRule="auto"/>
        <w:tabs>
          <w:tab w:leader="none" w:pos="207" w:val="left"/>
        </w:tabs>
        <w:numPr>
          <w:ilvl w:val="0"/>
          <w:numId w:val="25"/>
        </w:numPr>
        <w:rPr>
          <w:rFonts w:ascii="MS PGothic" w:cs="MS PGothic" w:eastAsia="MS PGothic" w:hAnsi="MS PGothic"/>
          <w:sz w:val="16"/>
          <w:szCs w:val="16"/>
          <w:color w:val="auto"/>
        </w:rPr>
      </w:pPr>
      <w:r>
        <w:rPr>
          <w:rFonts w:ascii="Arial" w:cs="Arial" w:eastAsia="Arial" w:hAnsi="Arial"/>
          <w:sz w:val="16"/>
          <w:szCs w:val="16"/>
          <w:color w:val="auto"/>
        </w:rPr>
        <w:t>The undersigned declares that a plan of merger has been adopted by each constituent entity (NRS 92A.208). * Corporation, non-profit corporation, limited partnership, limited-liability company or business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18097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18" w:right="25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color w:val="auto"/>
        </w:rPr>
        <w:t>x The undersigned declares that a plan of merger has been adopted by the parent domestic entity (NRS 92A.180).</w:t>
      </w:r>
    </w:p>
    <w:p>
      <w:pPr>
        <w:spacing w:after="0" w:line="225" w:lineRule="exact"/>
        <w:rPr>
          <w:sz w:val="20"/>
          <w:szCs w:val="20"/>
          <w:color w:val="auto"/>
        </w:rPr>
      </w:pPr>
    </w:p>
    <w:p>
      <w:pPr>
        <w:ind w:firstLine="8"/>
        <w:spacing w:after="0" w:line="233" w:lineRule="exact"/>
        <w:tabs>
          <w:tab w:leader="none" w:pos="6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Owner’s approval (NRS 92A.200)(options a, b, or c must be used, as applicable, for each entity). (If there are more than four merging entities, check box </w:t>
      </w:r>
      <w:r>
        <w:rPr>
          <w:rFonts w:ascii="MS PGothic" w:cs="MS PGothic" w:eastAsia="MS PGothic" w:hAnsi="MS PGothic"/>
          <w:sz w:val="18"/>
          <w:szCs w:val="18"/>
          <w:color w:val="auto"/>
        </w:rPr>
        <w:t>☐</w:t>
      </w:r>
      <w:r>
        <w:rPr>
          <w:rFonts w:ascii="Arial" w:cs="Arial" w:eastAsia="Arial" w:hAnsi="Arial"/>
          <w:sz w:val="18"/>
          <w:szCs w:val="18"/>
          <w:color w:val="auto"/>
        </w:rPr>
        <w:t xml:space="preserve"> and attach an 8 1/2” x 11” blank sheet containing the required information for each additional entity):</w:t>
      </w:r>
    </w:p>
    <w:p>
      <w:pPr>
        <w:spacing w:after="0" w:line="182" w:lineRule="exact"/>
        <w:rPr>
          <w:rFonts w:ascii="Arial" w:cs="Arial" w:eastAsia="Arial" w:hAnsi="Arial"/>
          <w:sz w:val="18"/>
          <w:szCs w:val="18"/>
          <w:color w:val="auto"/>
        </w:rPr>
      </w:pPr>
    </w:p>
    <w:p>
      <w:pPr>
        <w:ind w:left="1300" w:hanging="644"/>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Owner’s approval was not required from</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TAPIMMUNE INC.</w:t>
      </w:r>
    </w:p>
    <w:p>
      <w:pPr>
        <w:spacing w:after="0" w:line="23" w:lineRule="exact"/>
        <w:rPr>
          <w:rFonts w:ascii="Arial" w:cs="Arial" w:eastAsia="Arial" w:hAnsi="Arial"/>
          <w:sz w:val="18"/>
          <w:szCs w:val="18"/>
          <w:color w:val="auto"/>
        </w:rPr>
      </w:pPr>
    </w:p>
    <w:p>
      <w:pPr>
        <w:jc w:val="both"/>
        <w:ind w:left="1300" w:right="7380"/>
        <w:spacing w:after="0" w:line="527" w:lineRule="auto"/>
        <w:rPr>
          <w:rFonts w:ascii="Arial" w:cs="Arial" w:eastAsia="Arial" w:hAnsi="Arial"/>
          <w:sz w:val="18"/>
          <w:szCs w:val="18"/>
          <w:color w:val="auto"/>
        </w:rPr>
      </w:pPr>
      <w:r>
        <w:rPr>
          <w:rFonts w:ascii="Arial" w:cs="Arial" w:eastAsia="Arial" w:hAnsi="Arial"/>
          <w:sz w:val="17"/>
          <w:szCs w:val="17"/>
          <w:color w:val="auto"/>
        </w:rPr>
        <w:t>Name of merging entity, if applicable Name of merging entity, if applicable Name of merging entity, if applicable Name of merging entity, if applicable and, or;</w:t>
      </w:r>
    </w:p>
    <w:p>
      <w:pPr>
        <w:ind w:left="1300"/>
        <w:spacing w:after="0"/>
        <w:rPr>
          <w:rFonts w:ascii="Arial" w:cs="Arial" w:eastAsia="Arial" w:hAnsi="Arial"/>
          <w:sz w:val="18"/>
          <w:szCs w:val="18"/>
          <w:color w:val="auto"/>
        </w:rPr>
      </w:pPr>
      <w:r>
        <w:rPr>
          <w:rFonts w:ascii="Arial" w:cs="Arial" w:eastAsia="Arial" w:hAnsi="Arial"/>
          <w:sz w:val="18"/>
          <w:szCs w:val="18"/>
          <w:color w:val="auto"/>
        </w:rPr>
        <w:t>GENEMAX CORP.</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Name of surviving entity, if applicable</w:t>
      </w:r>
    </w:p>
    <w:p>
      <w:pPr>
        <w:spacing w:after="0" w:line="214" w:lineRule="exact"/>
        <w:rPr>
          <w:rFonts w:ascii="Arial" w:cs="Arial" w:eastAsia="Arial" w:hAnsi="Arial"/>
          <w:sz w:val="18"/>
          <w:szCs w:val="18"/>
          <w:color w:val="auto"/>
        </w:rPr>
      </w:pPr>
    </w:p>
    <w:p>
      <w:pPr>
        <w:ind w:left="1300" w:right="5360" w:hanging="644"/>
        <w:spacing w:after="0" w:line="342" w:lineRule="auto"/>
        <w:tabs>
          <w:tab w:leader="none" w:pos="1308"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plan was approved by the required consent of the owners of</w:t>
      </w:r>
      <w:r>
        <w:rPr>
          <w:rFonts w:ascii="Arial" w:cs="Arial" w:eastAsia="Arial" w:hAnsi="Arial"/>
          <w:sz w:val="30"/>
          <w:szCs w:val="30"/>
          <w:color w:val="auto"/>
          <w:vertAlign w:val="superscript"/>
        </w:rPr>
        <w:t>*</w:t>
      </w:r>
      <w:r>
        <w:rPr>
          <w:rFonts w:ascii="Arial" w:cs="Arial" w:eastAsia="Arial" w:hAnsi="Arial"/>
          <w:sz w:val="18"/>
          <w:szCs w:val="18"/>
          <w:color w:val="auto"/>
        </w:rPr>
        <w:t xml:space="preserve"> Name of merging entity, if applicable</w:t>
      </w:r>
    </w:p>
    <w:p>
      <w:pPr>
        <w:spacing w:after="0" w:line="114" w:lineRule="exact"/>
        <w:rPr>
          <w:rFonts w:ascii="Arial" w:cs="Arial" w:eastAsia="Arial" w:hAnsi="Arial"/>
          <w:sz w:val="18"/>
          <w:szCs w:val="18"/>
          <w:color w:val="auto"/>
        </w:rPr>
      </w:pPr>
    </w:p>
    <w:p>
      <w:pPr>
        <w:jc w:val="both"/>
        <w:ind w:left="1300" w:right="7380"/>
        <w:spacing w:after="0" w:line="530" w:lineRule="auto"/>
        <w:rPr>
          <w:rFonts w:ascii="Arial" w:cs="Arial" w:eastAsia="Arial" w:hAnsi="Arial"/>
          <w:sz w:val="18"/>
          <w:szCs w:val="18"/>
          <w:color w:val="auto"/>
        </w:rPr>
      </w:pPr>
      <w:r>
        <w:rPr>
          <w:rFonts w:ascii="Arial" w:cs="Arial" w:eastAsia="Arial" w:hAnsi="Arial"/>
          <w:sz w:val="17"/>
          <w:szCs w:val="17"/>
          <w:color w:val="auto"/>
        </w:rPr>
        <w:t>Name of merging entity, if applicable Name of merging entity, if applicable Name of merging entity, if applicable and, or;</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Name of surviving entity, if applicable</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Approval of plan of merger for Nevada non-profit corporation (NRS 92A.150):</w:t>
      </w:r>
    </w:p>
    <w:p>
      <w:pPr>
        <w:spacing w:after="0" w:line="225" w:lineRule="exact"/>
        <w:rPr>
          <w:sz w:val="20"/>
          <w:szCs w:val="20"/>
          <w:color w:val="auto"/>
        </w:rPr>
      </w:pPr>
    </w:p>
    <w:p>
      <w:pPr>
        <w:ind w:left="1300" w:right="120"/>
        <w:spacing w:after="0" w:line="277" w:lineRule="auto"/>
        <w:rPr>
          <w:sz w:val="20"/>
          <w:szCs w:val="20"/>
          <w:color w:val="auto"/>
        </w:rPr>
      </w:pPr>
      <w:r>
        <w:rPr>
          <w:rFonts w:ascii="Arial" w:cs="Arial" w:eastAsia="Arial" w:hAnsi="Arial"/>
          <w:sz w:val="18"/>
          <w:szCs w:val="18"/>
          <w:color w:val="auto"/>
        </w:rPr>
        <w:t>The plan of merger has been approved by the directors of the corporation and by each public officer or other person whose approval of the plan of merger is required by the articles of incorporation of the domestic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8" w:lineRule="exact"/>
        <w:rPr>
          <w:sz w:val="20"/>
          <w:szCs w:val="20"/>
          <w:color w:val="auto"/>
        </w:rPr>
      </w:pPr>
    </w:p>
    <w:p>
      <w:pPr>
        <w:ind w:firstLine="8"/>
        <w:spacing w:after="0" w:line="194" w:lineRule="auto"/>
        <w:tabs>
          <w:tab w:leader="none" w:pos="120"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Unless otherwise provided in the certificate of trust or governing Instrument of a business trust, a merger must be approved by all the trustees and beneficial owners of each business trust that is a constituent entity in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49" w:name="page50"/>
    <w:bookmarkEnd w:id="49"/>
    <w:p>
      <w:pPr>
        <w:ind w:left="1300"/>
        <w:spacing w:after="0"/>
        <w:rPr>
          <w:sz w:val="20"/>
          <w:szCs w:val="20"/>
          <w:color w:val="auto"/>
        </w:rPr>
      </w:pPr>
      <w:r>
        <w:rPr>
          <w:rFonts w:ascii="Arial" w:cs="Arial" w:eastAsia="Arial" w:hAnsi="Arial"/>
          <w:sz w:val="18"/>
          <w:szCs w:val="18"/>
          <w:color w:val="auto"/>
        </w:rPr>
        <w:t>Name of merging entity, if applicable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 of merging entity, if applicable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 of merging entity, if applicable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 of merging entity, if applicable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 of surviving entity, if applicable</w:t>
      </w:r>
    </w:p>
    <w:p>
      <w:pPr>
        <w:spacing w:after="0" w:line="229" w:lineRule="exact"/>
        <w:rPr>
          <w:sz w:val="20"/>
          <w:szCs w:val="20"/>
          <w:color w:val="auto"/>
        </w:rPr>
      </w:pPr>
    </w:p>
    <w:p>
      <w:pPr>
        <w:ind w:left="660" w:right="1560" w:hanging="652"/>
        <w:spacing w:after="0" w:line="342" w:lineRule="auto"/>
        <w:tabs>
          <w:tab w:leader="none" w:pos="67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Amendments, if any, to the articles or certificate of the surviving entity. Provide article numbers, if available. (NRS 92A.200):</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Article I of the articles of the surviving entity is hereby amended to read as follows:</w:t>
      </w:r>
    </w:p>
    <w:p>
      <w:pPr>
        <w:spacing w:after="0" w:line="11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 The name of the Corporation (hereinafter the Corporation) is TAPIMMUNE INC.”</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Location of Plan of Merger (check a or b):</w:t>
      </w:r>
    </w:p>
    <w:p>
      <w:pPr>
        <w:spacing w:after="0" w:line="225" w:lineRule="exact"/>
        <w:rPr>
          <w:sz w:val="20"/>
          <w:szCs w:val="20"/>
          <w:color w:val="auto"/>
        </w:rPr>
      </w:pPr>
    </w:p>
    <w:p>
      <w:pPr>
        <w:ind w:left="860" w:hanging="204"/>
        <w:spacing w:after="0"/>
        <w:tabs>
          <w:tab w:leader="none" w:pos="860" w:val="left"/>
        </w:tabs>
        <w:numPr>
          <w:ilvl w:val="1"/>
          <w:numId w:val="29"/>
        </w:numPr>
        <w:rPr>
          <w:rFonts w:ascii="MS PGothic" w:cs="MS PGothic" w:eastAsia="MS PGothic" w:hAnsi="MS PGothic"/>
          <w:sz w:val="18"/>
          <w:szCs w:val="18"/>
          <w:color w:val="auto"/>
        </w:rPr>
      </w:pPr>
      <w:r>
        <w:rPr>
          <w:rFonts w:ascii="Arial" w:cs="Arial" w:eastAsia="Arial" w:hAnsi="Arial"/>
          <w:sz w:val="18"/>
          <w:szCs w:val="18"/>
          <w:color w:val="auto"/>
        </w:rPr>
        <w:t>(a) the entire plan of merger is attached;</w:t>
      </w:r>
    </w:p>
    <w:p>
      <w:pPr>
        <w:spacing w:after="0" w:line="25" w:lineRule="exact"/>
        <w:rPr>
          <w:rFonts w:ascii="MS PGothic" w:cs="MS PGothic" w:eastAsia="MS PGothic" w:hAnsi="MS PGothic"/>
          <w:sz w:val="18"/>
          <w:szCs w:val="18"/>
          <w:color w:val="auto"/>
        </w:rPr>
      </w:pPr>
    </w:p>
    <w:p>
      <w:pPr>
        <w:ind w:left="66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7" w:lineRule="exact"/>
        <w:rPr>
          <w:rFonts w:ascii="MS PGothic" w:cs="MS PGothic" w:eastAsia="MS PGothic" w:hAnsi="MS PGothic"/>
          <w:sz w:val="18"/>
          <w:szCs w:val="18"/>
          <w:color w:val="auto"/>
        </w:rPr>
      </w:pPr>
    </w:p>
    <w:p>
      <w:pPr>
        <w:ind w:left="660" w:right="360"/>
        <w:spacing w:after="0" w:line="261" w:lineRule="auto"/>
        <w:rPr>
          <w:rFonts w:ascii="MS PGothic" w:cs="MS PGothic" w:eastAsia="MS PGothic" w:hAnsi="MS PGothic"/>
          <w:sz w:val="18"/>
          <w:szCs w:val="18"/>
          <w:color w:val="auto"/>
        </w:rPr>
      </w:pPr>
      <w:r>
        <w:rPr>
          <w:rFonts w:ascii="Arial" w:cs="Arial" w:eastAsia="Arial" w:hAnsi="Arial"/>
          <w:sz w:val="18"/>
          <w:szCs w:val="18"/>
          <w:color w:val="auto"/>
        </w:rPr>
        <w:t>x (b) the entire plan of merger is on file at the registered office of the surviving corporation, limited-liability company or business trust, or at the records office address if a limited partnership, or other place of business of the surviving entity (NRS 92A.200).</w:t>
      </w:r>
    </w:p>
    <w:p>
      <w:pPr>
        <w:spacing w:after="0" w:line="187" w:lineRule="exact"/>
        <w:rPr>
          <w:rFonts w:ascii="MS PGothic" w:cs="MS PGothic" w:eastAsia="MS PGothic" w:hAnsi="MS PGothic"/>
          <w:sz w:val="18"/>
          <w:szCs w:val="18"/>
          <w:color w:val="auto"/>
        </w:rPr>
      </w:pPr>
    </w:p>
    <w:p>
      <w:pPr>
        <w:ind w:left="680" w:hanging="672"/>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 date (optional)</w:t>
      </w:r>
      <w:r>
        <w:rPr>
          <w:rFonts w:ascii="Arial" w:cs="Arial" w:eastAsia="Arial" w:hAnsi="Arial"/>
          <w:sz w:val="30"/>
          <w:szCs w:val="30"/>
          <w:color w:val="auto"/>
          <w:vertAlign w:val="superscript"/>
        </w:rPr>
        <w:t>**</w:t>
      </w:r>
      <w:r>
        <w:rPr>
          <w:rFonts w:ascii="Arial" w:cs="Arial" w:eastAsia="Arial" w:hAnsi="Arial"/>
          <w:sz w:val="18"/>
          <w:szCs w:val="18"/>
          <w:color w:val="auto"/>
        </w:rPr>
        <w:t>: 6/28/07</w:t>
      </w:r>
    </w:p>
    <w:p>
      <w:pPr>
        <w:spacing w:after="0" w:line="124" w:lineRule="exact"/>
        <w:rPr>
          <w:rFonts w:ascii="Arial" w:cs="Arial" w:eastAsia="Arial" w:hAnsi="Arial"/>
          <w:sz w:val="18"/>
          <w:szCs w:val="18"/>
          <w:color w:val="auto"/>
        </w:rPr>
      </w:pPr>
    </w:p>
    <w:p>
      <w:pPr>
        <w:ind w:firstLine="8"/>
        <w:spacing w:after="0" w:line="291" w:lineRule="auto"/>
        <w:tabs>
          <w:tab w:leader="none" w:pos="675" w:val="left"/>
        </w:tabs>
        <w:numPr>
          <w:ilvl w:val="0"/>
          <w:numId w:val="29"/>
        </w:numPr>
        <w:rPr>
          <w:rFonts w:ascii="Arial" w:cs="Arial" w:eastAsia="Arial" w:hAnsi="Arial"/>
          <w:sz w:val="16"/>
          <w:szCs w:val="16"/>
          <w:color w:val="auto"/>
        </w:rPr>
      </w:pPr>
      <w:r>
        <w:rPr>
          <w:rFonts w:ascii="Arial" w:cs="Arial" w:eastAsia="Arial" w:hAnsi="Arial"/>
          <w:sz w:val="16"/>
          <w:szCs w:val="16"/>
          <w:color w:val="auto"/>
        </w:rPr>
        <w:t>Signatures – Must be signed by: An officer of each Nevada corporation; All general partners of each Nevada limited partnership; All general partners of each Nevada limited partnership; A manager of each Nevada limited liability company with managers or all the members if there are no managers;</w:t>
      </w:r>
    </w:p>
    <w:p>
      <w:pPr>
        <w:ind w:right="260"/>
        <w:spacing w:after="0" w:line="236" w:lineRule="exact"/>
        <w:rPr>
          <w:sz w:val="20"/>
          <w:szCs w:val="20"/>
          <w:color w:val="auto"/>
        </w:rPr>
      </w:pPr>
      <w:r>
        <w:rPr>
          <w:rFonts w:ascii="Arial" w:cs="Arial" w:eastAsia="Arial" w:hAnsi="Arial"/>
          <w:sz w:val="18"/>
          <w:szCs w:val="18"/>
          <w:color w:val="auto"/>
        </w:rPr>
        <w:t>A trustee of each Nevada business trust (NRS 92A.230)</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(If there are more than four merging entities, check box </w:t>
      </w:r>
      <w:r>
        <w:rPr>
          <w:rFonts w:ascii="MS PGothic" w:cs="MS PGothic" w:eastAsia="MS PGothic" w:hAnsi="MS PGothic"/>
          <w:sz w:val="18"/>
          <w:szCs w:val="18"/>
          <w:color w:val="auto"/>
        </w:rPr>
        <w:t>☐</w:t>
      </w:r>
      <w:r>
        <w:rPr>
          <w:rFonts w:ascii="Arial" w:cs="Arial" w:eastAsia="Arial" w:hAnsi="Arial"/>
          <w:sz w:val="18"/>
          <w:szCs w:val="18"/>
          <w:color w:val="auto"/>
        </w:rPr>
        <w:t xml:space="preserve"> and attach an 8 1/2” x 11” blank sheet containing the required information for each additional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8097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51" w:lineRule="exact"/>
        <w:rPr>
          <w:sz w:val="20"/>
          <w:szCs w:val="20"/>
          <w:color w:val="auto"/>
        </w:rPr>
      </w:pPr>
    </w:p>
    <w:p>
      <w:pPr>
        <w:ind w:right="300" w:firstLine="8"/>
        <w:spacing w:after="0" w:line="247" w:lineRule="auto"/>
        <w:tabs>
          <w:tab w:leader="none" w:pos="120" w:val="left"/>
        </w:tabs>
        <w:numPr>
          <w:ilvl w:val="0"/>
          <w:numId w:val="30"/>
        </w:numPr>
        <w:rPr>
          <w:rFonts w:ascii="Arial" w:cs="Arial" w:eastAsia="Arial" w:hAnsi="Arial"/>
          <w:sz w:val="26"/>
          <w:szCs w:val="26"/>
          <w:color w:val="auto"/>
          <w:vertAlign w:val="superscript"/>
        </w:rPr>
      </w:pPr>
      <w:r>
        <w:rPr>
          <w:rFonts w:ascii="Arial" w:cs="Arial" w:eastAsia="Arial" w:hAnsi="Arial"/>
          <w:sz w:val="16"/>
          <w:szCs w:val="16"/>
          <w:color w:val="auto"/>
        </w:rPr>
        <w:t>Amended and restated articles may be attached as an exhibit or integrated into the articles of merger. Please entitle them “Restated” or “Amended and Restated,” accordingly. The form to accompany restated articles prescribed by the secretary of state must accompany the amended and/or restated articles. Pursuant to NRS 92A.180 (merger of subsidiary into parent – Nevada parent owning 90% or more of subsidiary), the articles of merger may not contain amendments to the constituent documents of the surviving entity except that the name of the surviving entity may be changed.</w:t>
      </w:r>
    </w:p>
    <w:p>
      <w:pPr>
        <w:spacing w:after="0" w:line="29" w:lineRule="exact"/>
        <w:rPr>
          <w:sz w:val="20"/>
          <w:szCs w:val="20"/>
          <w:color w:val="auto"/>
        </w:rPr>
      </w:pPr>
    </w:p>
    <w:p>
      <w:pPr>
        <w:ind w:right="480" w:firstLine="8"/>
        <w:spacing w:after="0" w:line="194" w:lineRule="auto"/>
        <w:tabs>
          <w:tab w:leader="none" w:pos="195" w:val="left"/>
        </w:tabs>
        <w:numPr>
          <w:ilvl w:val="0"/>
          <w:numId w:val="31"/>
        </w:numPr>
        <w:rPr>
          <w:rFonts w:ascii="Arial" w:cs="Arial" w:eastAsia="Arial" w:hAnsi="Arial"/>
          <w:sz w:val="30"/>
          <w:szCs w:val="30"/>
          <w:color w:val="auto"/>
          <w:vertAlign w:val="superscript"/>
        </w:rPr>
      </w:pPr>
      <w:r>
        <w:rPr>
          <w:rFonts w:ascii="Arial" w:cs="Arial" w:eastAsia="Arial" w:hAnsi="Arial"/>
          <w:sz w:val="18"/>
          <w:szCs w:val="18"/>
          <w:color w:val="auto"/>
        </w:rPr>
        <w:t>A merger takes effect upon filing the articles of merger or upon a later date as specified in the articles, which must not be more than 90 days after the articles are filed (NRS 92A.240).</w:t>
      </w:r>
    </w:p>
    <w:p>
      <w:pPr>
        <w:spacing w:after="0" w:line="27" w:lineRule="exact"/>
        <w:rPr>
          <w:sz w:val="20"/>
          <w:szCs w:val="20"/>
          <w:color w:val="auto"/>
        </w:rPr>
      </w:pPr>
    </w:p>
    <w:p>
      <w:pPr>
        <w:ind w:right="620" w:firstLine="8"/>
        <w:spacing w:after="0" w:line="194" w:lineRule="auto"/>
        <w:tabs>
          <w:tab w:leader="none" w:pos="120" w:val="left"/>
        </w:tabs>
        <w:numPr>
          <w:ilvl w:val="0"/>
          <w:numId w:val="32"/>
        </w:numPr>
        <w:rPr>
          <w:rFonts w:ascii="Arial" w:cs="Arial" w:eastAsia="Arial" w:hAnsi="Arial"/>
          <w:sz w:val="30"/>
          <w:szCs w:val="30"/>
          <w:color w:val="auto"/>
          <w:vertAlign w:val="superscript"/>
        </w:rPr>
      </w:pPr>
      <w:r>
        <w:rPr>
          <w:rFonts w:ascii="Arial" w:cs="Arial" w:eastAsia="Arial" w:hAnsi="Arial"/>
          <w:sz w:val="18"/>
          <w:szCs w:val="18"/>
          <w:color w:val="auto"/>
        </w:rPr>
        <w:t>The articles of merger must be signed by each foreign constituent entity in the manner provided by the law governing it (NRS 92A.230). Additional signature blocks may be added to this page or as an attachment, as needed.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IMPORTANT: </w:t>
      </w:r>
      <w:r>
        <w:rPr>
          <w:rFonts w:ascii="Arial" w:cs="Arial" w:eastAsia="Arial" w:hAnsi="Arial"/>
          <w:sz w:val="18"/>
          <w:szCs w:val="18"/>
          <w:color w:val="auto"/>
        </w:rPr>
        <w:t>Failure to include any of the above information and submit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Name of merging entity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X /s/ Denis Corin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2588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Name of merging entity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2588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Name of merging entity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2588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Name of merging entity</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2588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GENEMAX CORP.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 of surviving entity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X /s/ Denis Corin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2588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President, Secretary &amp; Treasurer</w:t>
      </w:r>
    </w:p>
    <w:p>
      <w:pPr>
        <w:spacing w:after="0" w:line="23"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 Officer</w:t>
      </w:r>
    </w:p>
    <w:p>
      <w:pPr>
        <w:spacing w:after="0" w:line="23" w:lineRule="exact"/>
        <w:rPr>
          <w:sz w:val="20"/>
          <w:szCs w:val="20"/>
          <w:color w:val="auto"/>
        </w:rPr>
      </w:pPr>
    </w:p>
    <w:p>
      <w:pPr>
        <w:spacing w:after="0"/>
        <w:tabs>
          <w:tab w:leader="none" w:pos="226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5"/>
          <w:szCs w:val="15"/>
          <w:color w:val="auto"/>
        </w:rPr>
        <w:t>Date June 13,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464820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980" w:space="720"/>
            <w:col w:w="3660"/>
          </w:cols>
          <w:pgMar w:left="1400" w:top="909" w:right="113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t>PLAN OF MERGER</w:t>
      </w:r>
    </w:p>
    <w:p>
      <w:pPr>
        <w:spacing w:after="0" w:line="229" w:lineRule="exact"/>
        <w:rPr>
          <w:sz w:val="20"/>
          <w:szCs w:val="20"/>
          <w:color w:val="auto"/>
        </w:rPr>
      </w:pPr>
    </w:p>
    <w:p>
      <w:pPr>
        <w:ind w:right="20" w:firstLine="648"/>
        <w:spacing w:after="0" w:line="228" w:lineRule="auto"/>
        <w:rPr>
          <w:sz w:val="20"/>
          <w:szCs w:val="20"/>
          <w:color w:val="auto"/>
        </w:rPr>
      </w:pPr>
      <w:r>
        <w:rPr>
          <w:rFonts w:ascii="Arial" w:cs="Arial" w:eastAsia="Arial" w:hAnsi="Arial"/>
          <w:sz w:val="18"/>
          <w:szCs w:val="18"/>
          <w:color w:val="auto"/>
        </w:rPr>
        <w:t>THIS PLAN OF MERGER (the “Plan of Merger”), which has been adopted by the Board of Directors of GeneMax Corp., a Nevada corporation (the “Company”), as of the 13</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June, 2007, with respect to the merger of TapImmune, Inc. (“SubCo”), a Nevada corporation that is a wholly-owned subsidiary of the Company, with and into the Company, is executed on behalf of the Company as evidenced by the signature of the Company’s President and Chief Executive Officer as set forth at the end of this Plan of Merger.</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PRELIMINARY STATEMENTS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Board of Directors of the Company deems it desirable and in the best interests of its shareholders that SubCo be merged with and into the Company (the “Merger”) on the terms and conditions of this Plan of Merger.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of Directors of the Company, by resolutions duly adopted, has approved and adopted this Plan of Merger as of the day first written above.</w:t>
      </w:r>
    </w:p>
    <w:p>
      <w:pPr>
        <w:spacing w:after="0" w:line="2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It is intended that the Merger be completed pursuant to the provisions of Section 92A.180 of the </w:t>
      </w:r>
      <w:r>
        <w:rPr>
          <w:rFonts w:ascii="Arial" w:cs="Arial" w:eastAsia="Arial" w:hAnsi="Arial"/>
          <w:sz w:val="18"/>
          <w:szCs w:val="18"/>
          <w:i w:val="1"/>
          <w:iCs w:val="1"/>
          <w:color w:val="auto"/>
        </w:rPr>
        <w:t>Nevada Revised Statutes</w:t>
      </w:r>
      <w:r>
        <w:rPr>
          <w:rFonts w:ascii="Arial" w:cs="Arial" w:eastAsia="Arial" w:hAnsi="Arial"/>
          <w:sz w:val="18"/>
          <w:szCs w:val="18"/>
          <w:color w:val="auto"/>
        </w:rPr>
        <w:t>: Chapter 92A, as amended, (the “Act”).</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Pursuant to the provisions of Section 92A.180(1) of the Act, shareholder approval is not required by the shareholders of the Company or SubCo in order to effectuate the Merger.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STATEMENT OF TERMS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The Merger</w:t>
      </w:r>
      <w:r>
        <w:rPr>
          <w:rFonts w:ascii="Arial" w:cs="Arial" w:eastAsia="Arial" w:hAnsi="Arial"/>
          <w:sz w:val="18"/>
          <w:szCs w:val="18"/>
          <w:color w:val="auto"/>
        </w:rPr>
        <w:t>. SubCo will be merged with and into the Company in accordance with this Plan of Merger and the applicable provisions of the Act and the Articles of Merger substantially in the form of Exhibit A attached to this Plan of Merger (the “Articles of Merger”). Following the Merger, the Company will continue as the surviving corporation (the “Surviving Corporation”) and the separate existence of SubCo will cease, except insofar as it may be continued by the Act.</w:t>
      </w:r>
    </w:p>
    <w:p>
      <w:pPr>
        <w:spacing w:after="0" w:line="18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Effective Time of the Merger</w:t>
      </w:r>
      <w:r>
        <w:rPr>
          <w:rFonts w:ascii="Arial" w:cs="Arial" w:eastAsia="Arial" w:hAnsi="Arial"/>
          <w:sz w:val="18"/>
          <w:szCs w:val="18"/>
          <w:color w:val="auto"/>
        </w:rPr>
        <w:t>. The Merger will be effective at the time (the “Effective Time”) set forth in the Articles of Merger to be filed with the Secretary of State of the State of Nevada, which filing is to be completed as soon as practicable following the adoption of this Plan of Merger by the Board of Directors of the Company.</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Effect of the Merger</w:t>
      </w:r>
      <w:r>
        <w:rPr>
          <w:rFonts w:ascii="Arial" w:cs="Arial" w:eastAsia="Arial" w:hAnsi="Arial"/>
          <w:sz w:val="18"/>
          <w:szCs w:val="18"/>
          <w:color w:val="auto"/>
        </w:rPr>
        <w:t>. The Merger will have the effects set forth in Section 92A.250 of the Act. Without limiting the generality of the foregoing, and subject thereto, at the Effective Time all the property, rights, privileges, powers and franchises of SubCo and the Company will vest in Surviving Corporation without further act or deed, and all debts, liabilities and duties of SubCo and the Company will become the debts, liabilities and duties of the Surviving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52" w:name="page53"/>
    <w:bookmarkEnd w:id="52"/>
    <w:p>
      <w:pPr>
        <w:ind w:left="660"/>
        <w:spacing w:after="0"/>
        <w:tabs>
          <w:tab w:leader="none" w:pos="12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u w:val="single" w:color="auto"/>
          <w:color w:val="auto"/>
        </w:rPr>
        <w:t>Articles of Incorporation: Bylaws.</w:t>
      </w:r>
    </w:p>
    <w:p>
      <w:pPr>
        <w:spacing w:after="0" w:line="225" w:lineRule="exact"/>
        <w:rPr>
          <w:sz w:val="20"/>
          <w:szCs w:val="20"/>
          <w:color w:val="auto"/>
        </w:rPr>
      </w:pPr>
    </w:p>
    <w:p>
      <w:pPr>
        <w:ind w:firstLine="1305"/>
        <w:spacing w:after="0" w:line="259" w:lineRule="auto"/>
        <w:tabs>
          <w:tab w:leader="none" w:pos="189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articles of incorporation of the Company in effect immediately prior to the Effective Time will continue unchanged and will be the articles of incorporation of the Surviving Corporation until thereafter amended in accordance with the terms thereof and in accordance with applicable law, except that at the Effective Time, Article I of the articles of incorporation of the Surviving Corporation shall be amended to read: “The name of the Corporation (hereinafter the Corporation) is TAPIMMUNE INC.”</w:t>
      </w:r>
    </w:p>
    <w:p>
      <w:pPr>
        <w:spacing w:after="0" w:line="186" w:lineRule="exact"/>
        <w:rPr>
          <w:rFonts w:ascii="Arial" w:cs="Arial" w:eastAsia="Arial" w:hAnsi="Arial"/>
          <w:sz w:val="18"/>
          <w:szCs w:val="18"/>
          <w:color w:val="auto"/>
        </w:rPr>
      </w:pPr>
    </w:p>
    <w:p>
      <w:pPr>
        <w:ind w:right="80" w:firstLine="1305"/>
        <w:spacing w:after="0" w:line="264" w:lineRule="auto"/>
        <w:tabs>
          <w:tab w:leader="none" w:pos="190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by-laws of the Company in effect immediately prior to the Effective Time will continue unchanged and will be the by-laws of the Surviving Corporation until thereafter amended in accordance with the terms thereof and in accordance with applicable law, except that any and all references to “GeneMax Corp.” shall be deemed to be references to “TapImmune Inc.”</w:t>
      </w:r>
    </w:p>
    <w:p>
      <w:pPr>
        <w:spacing w:after="0" w:line="18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Directors and Officers</w:t>
      </w:r>
      <w:r>
        <w:rPr>
          <w:rFonts w:ascii="Arial" w:cs="Arial" w:eastAsia="Arial" w:hAnsi="Arial"/>
          <w:sz w:val="18"/>
          <w:szCs w:val="18"/>
          <w:color w:val="auto"/>
        </w:rPr>
        <w:t>. The directors and officers of the Company immediately prior to the Effective Time will be the directors and officers of the Surviving Corporation after the Effective Time and shall hold office until their successors are duly elected, appointed or qualified or until their earlier death, resignation or removal in accordance with certificate of incorporation and bylaws of the Surviving Corporation.</w:t>
      </w:r>
    </w:p>
    <w:p>
      <w:pPr>
        <w:spacing w:after="0" w:line="18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Taking of Necessary Action</w:t>
      </w:r>
      <w:r>
        <w:rPr>
          <w:rFonts w:ascii="Arial" w:cs="Arial" w:eastAsia="Arial" w:hAnsi="Arial"/>
          <w:sz w:val="16"/>
          <w:szCs w:val="16"/>
          <w:color w:val="auto"/>
        </w:rPr>
        <w:t>. If after the Effective Time any further action is necessary to carry out the purposes of this Plan of Merger or to vest the Surviving Corporation with full title to all assets, rights, approvals, immunities and franchises of either SubCo or the Company, the officers and directors, or the former officers and directors, as the case may be, of SubCo, the Company and the Surviving Corporation will take all such necessary action.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2</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SUBCO AND COMPANY STOCK</w:t>
      </w:r>
    </w:p>
    <w:p>
      <w:pPr>
        <w:spacing w:after="0" w:line="211"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Conversion of the SubCo Common Stock</w:t>
      </w:r>
      <w:r>
        <w:rPr>
          <w:rFonts w:ascii="Arial" w:cs="Arial" w:eastAsia="Arial" w:hAnsi="Arial"/>
          <w:sz w:val="16"/>
          <w:szCs w:val="16"/>
          <w:color w:val="auto"/>
        </w:rPr>
        <w:t>. The one (1) outstanding share of SubCo common stock, par value $0.001 per share (“SubCo Common Stock”) issued and outstanding immediately prior to the Effective Time will, by virtue of the Merger and without any action on the part of the holder thereof, be converted into one (1) share of common stock of the Company (“Company Common Stock”) on a post-reverse stock split basis (the Company is planning a reverse stock split on a two and one-half (2 ½) old shares for one (1) new share basis to occur at or around the Effective Time).</w:t>
      </w:r>
    </w:p>
    <w:p>
      <w:pPr>
        <w:spacing w:after="0" w:line="15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Company Common Stock</w:t>
      </w:r>
      <w:r>
        <w:rPr>
          <w:rFonts w:ascii="Arial" w:cs="Arial" w:eastAsia="Arial" w:hAnsi="Arial"/>
          <w:sz w:val="16"/>
          <w:szCs w:val="16"/>
          <w:color w:val="auto"/>
        </w:rPr>
        <w:t>. The terms and conditions of the Company’s Common Stock shall remain unchanged as a result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53" w:name="page54"/>
    <w:bookmarkEnd w:id="53"/>
    <w:p>
      <w:pPr>
        <w:jc w:val="center"/>
        <w:ind w:right="-339"/>
        <w:spacing w:after="0"/>
        <w:rPr>
          <w:sz w:val="20"/>
          <w:szCs w:val="20"/>
          <w:color w:val="auto"/>
        </w:rPr>
      </w:pPr>
      <w:r>
        <w:rPr>
          <w:rFonts w:ascii="Arial" w:cs="Arial" w:eastAsia="Arial" w:hAnsi="Arial"/>
          <w:sz w:val="18"/>
          <w:szCs w:val="18"/>
          <w:b w:val="1"/>
          <w:bCs w:val="1"/>
          <w:color w:val="auto"/>
        </w:rPr>
        <w:t>SECTION 3</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MISCELLANEOUS PROVISIONS</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 This Plan of Merger will be governed by and construed in accordance with the laws of the State of Nevada.</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Fax Exception</w:t>
      </w:r>
      <w:r>
        <w:rPr>
          <w:rFonts w:ascii="Arial" w:cs="Arial" w:eastAsia="Arial" w:hAnsi="Arial"/>
          <w:sz w:val="18"/>
          <w:szCs w:val="18"/>
          <w:color w:val="auto"/>
        </w:rPr>
        <w:t>. This Plan of Merger may be executed by delivery of an executed signature page by fax and such fax execution will be effective for all purposes.</w:t>
      </w:r>
    </w:p>
    <w:p>
      <w:pPr>
        <w:spacing w:after="0" w:line="17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Exhibit</w:t>
      </w:r>
      <w:r>
        <w:rPr>
          <w:rFonts w:ascii="Arial" w:cs="Arial" w:eastAsia="Arial" w:hAnsi="Arial"/>
          <w:sz w:val="16"/>
          <w:szCs w:val="16"/>
          <w:color w:val="auto"/>
        </w:rPr>
        <w:t>. The Exhibit A attached to this Plan of Merger if incorporated herein as an integral part of this Plan of Merger.</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this Plan of Merger, having first been duly approved by the board of directors of the Company, is hereby executed on behalf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GENEMAX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Nevada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Denis Corin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Denis Corin,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905" w:right="579" w:bottom="1440" w:gutter="0" w:footer="0" w:header="0"/>
        </w:sectPr>
      </w:pPr>
    </w:p>
    <w:bookmarkStart w:id="54" w:name="page55"/>
    <w:bookmarkEnd w:id="54"/>
    <w:p>
      <w:pPr>
        <w:jc w:val="center"/>
        <w:ind w:right="-5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ARTICLES OF MERGER</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Nevada Revised Statutes Chapter 92A)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(excluding 92A.200(4b))</w:t>
      </w:r>
    </w:p>
    <w:p>
      <w:pPr>
        <w:spacing w:after="0" w:line="178" w:lineRule="exact"/>
        <w:rPr>
          <w:sz w:val="20"/>
          <w:szCs w:val="20"/>
          <w:color w:val="auto"/>
        </w:rPr>
      </w:pPr>
    </w:p>
    <w:p>
      <w:pPr>
        <w:ind w:firstLine="8"/>
        <w:spacing w:after="0" w:line="239" w:lineRule="exact"/>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Name and Jurisdiction of organization of each constituent entity (NRS 92A.200). If there are more than four merging entities, check box </w:t>
      </w:r>
      <w:r>
        <w:rPr>
          <w:rFonts w:ascii="MS PGothic" w:cs="MS PGothic" w:eastAsia="MS PGothic" w:hAnsi="MS PGothic"/>
          <w:sz w:val="18"/>
          <w:szCs w:val="18"/>
          <w:color w:val="auto"/>
        </w:rPr>
        <w:t>☐</w:t>
      </w:r>
      <w:r>
        <w:rPr>
          <w:rFonts w:ascii="Arial" w:cs="Arial" w:eastAsia="Arial" w:hAnsi="Arial"/>
          <w:sz w:val="18"/>
          <w:szCs w:val="18"/>
          <w:color w:val="auto"/>
        </w:rPr>
        <w:t xml:space="preserve"> and attach an 8 1/2 x 11” blank sheet containing the required information for each additional entity.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60" w:type="dxa"/>
            <w:vAlign w:val="bottom"/>
          </w:tcPr>
          <w:p>
            <w:pPr>
              <w:spacing w:after="0"/>
              <w:rPr>
                <w:sz w:val="20"/>
                <w:szCs w:val="20"/>
                <w:color w:val="auto"/>
              </w:rPr>
            </w:pPr>
            <w:r>
              <w:rPr>
                <w:rFonts w:ascii="Arial" w:cs="Arial" w:eastAsia="Arial" w:hAnsi="Arial"/>
                <w:sz w:val="18"/>
                <w:szCs w:val="18"/>
                <w:b w:val="1"/>
                <w:bCs w:val="1"/>
                <w:color w:val="auto"/>
              </w:rPr>
              <w:t>TAPIMMUNE INC.</w:t>
            </w:r>
          </w:p>
        </w:tc>
        <w:tc>
          <w:tcPr>
            <w:tcW w:w="3320" w:type="dxa"/>
            <w:vAlign w:val="bottom"/>
          </w:tcPr>
          <w:p>
            <w:pPr>
              <w:spacing w:after="0"/>
              <w:rPr>
                <w:sz w:val="19"/>
                <w:szCs w:val="19"/>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Name of merging entity</w:t>
            </w:r>
          </w:p>
        </w:tc>
        <w:tc>
          <w:tcPr>
            <w:tcW w:w="332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NEVADA</w:t>
            </w:r>
          </w:p>
        </w:tc>
        <w:tc>
          <w:tcPr>
            <w:tcW w:w="3320" w:type="dxa"/>
            <w:vAlign w:val="bottom"/>
          </w:tcPr>
          <w:p>
            <w:pPr>
              <w:ind w:left="1960"/>
              <w:spacing w:after="0"/>
              <w:rPr>
                <w:sz w:val="20"/>
                <w:szCs w:val="20"/>
                <w:color w:val="auto"/>
              </w:rPr>
            </w:pPr>
            <w:r>
              <w:rPr>
                <w:rFonts w:ascii="Arial" w:cs="Arial" w:eastAsia="Arial" w:hAnsi="Arial"/>
                <w:sz w:val="18"/>
                <w:szCs w:val="18"/>
                <w:color w:val="auto"/>
                <w:w w:val="99"/>
              </w:rPr>
              <w:t>CORPORATION</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Jurisdiction</w:t>
            </w:r>
          </w:p>
        </w:tc>
        <w:tc>
          <w:tcPr>
            <w:tcW w:w="3320" w:type="dxa"/>
            <w:vAlign w:val="bottom"/>
          </w:tcPr>
          <w:p>
            <w:pPr>
              <w:ind w:left="1960"/>
              <w:spacing w:after="0"/>
              <w:rPr>
                <w:sz w:val="20"/>
                <w:szCs w:val="20"/>
                <w:color w:val="auto"/>
              </w:rPr>
            </w:pPr>
            <w:r>
              <w:rPr>
                <w:rFonts w:ascii="Arial" w:cs="Arial" w:eastAsia="Arial" w:hAnsi="Arial"/>
                <w:sz w:val="18"/>
                <w:szCs w:val="18"/>
                <w:color w:val="auto"/>
              </w:rPr>
              <w:t>Entity type*</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Name of Merging entity</w:t>
            </w:r>
          </w:p>
        </w:tc>
        <w:tc>
          <w:tcPr>
            <w:tcW w:w="3320" w:type="dxa"/>
            <w:vAlign w:val="bottom"/>
          </w:tcPr>
          <w:p>
            <w:pPr>
              <w:spacing w:after="0"/>
              <w:rPr>
                <w:sz w:val="24"/>
                <w:szCs w:val="24"/>
                <w:color w:val="auto"/>
              </w:rPr>
            </w:pP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Jurisdiction</w:t>
            </w:r>
          </w:p>
        </w:tc>
        <w:tc>
          <w:tcPr>
            <w:tcW w:w="3320" w:type="dxa"/>
            <w:vAlign w:val="bottom"/>
          </w:tcPr>
          <w:p>
            <w:pPr>
              <w:ind w:left="1960"/>
              <w:spacing w:after="0"/>
              <w:rPr>
                <w:sz w:val="20"/>
                <w:szCs w:val="20"/>
                <w:color w:val="auto"/>
              </w:rPr>
            </w:pPr>
            <w:r>
              <w:rPr>
                <w:rFonts w:ascii="Arial" w:cs="Arial" w:eastAsia="Arial" w:hAnsi="Arial"/>
                <w:sz w:val="18"/>
                <w:szCs w:val="18"/>
                <w:color w:val="auto"/>
              </w:rPr>
              <w:t>Entity type*</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Name of Merging entity</w:t>
            </w:r>
          </w:p>
        </w:tc>
        <w:tc>
          <w:tcPr>
            <w:tcW w:w="3320" w:type="dxa"/>
            <w:vAlign w:val="bottom"/>
          </w:tcPr>
          <w:p>
            <w:pPr>
              <w:spacing w:after="0"/>
              <w:rPr>
                <w:sz w:val="24"/>
                <w:szCs w:val="24"/>
                <w:color w:val="auto"/>
              </w:rPr>
            </w:pP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Jurisdiction</w:t>
            </w:r>
          </w:p>
        </w:tc>
        <w:tc>
          <w:tcPr>
            <w:tcW w:w="3320" w:type="dxa"/>
            <w:vAlign w:val="bottom"/>
          </w:tcPr>
          <w:p>
            <w:pPr>
              <w:ind w:left="1960"/>
              <w:spacing w:after="0"/>
              <w:rPr>
                <w:sz w:val="20"/>
                <w:szCs w:val="20"/>
                <w:color w:val="auto"/>
              </w:rPr>
            </w:pPr>
            <w:r>
              <w:rPr>
                <w:rFonts w:ascii="Arial" w:cs="Arial" w:eastAsia="Arial" w:hAnsi="Arial"/>
                <w:sz w:val="18"/>
                <w:szCs w:val="18"/>
                <w:color w:val="auto"/>
              </w:rPr>
              <w:t>Entity type*</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Name of Merging entity</w:t>
            </w:r>
          </w:p>
        </w:tc>
        <w:tc>
          <w:tcPr>
            <w:tcW w:w="3320" w:type="dxa"/>
            <w:vAlign w:val="bottom"/>
          </w:tcPr>
          <w:p>
            <w:pPr>
              <w:spacing w:after="0"/>
              <w:rPr>
                <w:sz w:val="24"/>
                <w:szCs w:val="24"/>
                <w:color w:val="auto"/>
              </w:rPr>
            </w:pPr>
          </w:p>
        </w:tc>
      </w:tr>
      <w:tr>
        <w:trPr>
          <w:trHeight w:val="596"/>
        </w:trPr>
        <w:tc>
          <w:tcPr>
            <w:tcW w:w="3760" w:type="dxa"/>
            <w:vAlign w:val="bottom"/>
          </w:tcPr>
          <w:p>
            <w:pPr>
              <w:spacing w:after="0"/>
              <w:rPr>
                <w:sz w:val="20"/>
                <w:szCs w:val="20"/>
                <w:color w:val="auto"/>
              </w:rPr>
            </w:pPr>
            <w:r>
              <w:rPr>
                <w:rFonts w:ascii="Arial" w:cs="Arial" w:eastAsia="Arial" w:hAnsi="Arial"/>
                <w:sz w:val="18"/>
                <w:szCs w:val="18"/>
                <w:color w:val="auto"/>
              </w:rPr>
              <w:t>Jurisdiction</w:t>
            </w:r>
          </w:p>
        </w:tc>
        <w:tc>
          <w:tcPr>
            <w:tcW w:w="3320" w:type="dxa"/>
            <w:vAlign w:val="bottom"/>
          </w:tcPr>
          <w:p>
            <w:pPr>
              <w:ind w:left="1960"/>
              <w:spacing w:after="0"/>
              <w:rPr>
                <w:sz w:val="20"/>
                <w:szCs w:val="20"/>
                <w:color w:val="auto"/>
              </w:rPr>
            </w:pPr>
            <w:r>
              <w:rPr>
                <w:rFonts w:ascii="Arial" w:cs="Arial" w:eastAsia="Arial" w:hAnsi="Arial"/>
                <w:sz w:val="18"/>
                <w:szCs w:val="18"/>
                <w:color w:val="auto"/>
              </w:rPr>
              <w:t>Entity type</w:t>
            </w:r>
            <w:r>
              <w:rPr>
                <w:rFonts w:ascii="Arial" w:cs="Arial" w:eastAsia="Arial" w:hAnsi="Arial"/>
                <w:sz w:val="30"/>
                <w:szCs w:val="30"/>
                <w:color w:val="auto"/>
                <w:vertAlign w:val="superscript"/>
              </w:rPr>
              <w:t>4</w:t>
            </w:r>
          </w:p>
        </w:tc>
      </w:tr>
      <w:tr>
        <w:trPr>
          <w:trHeight w:val="291"/>
        </w:trPr>
        <w:tc>
          <w:tcPr>
            <w:tcW w:w="3760" w:type="dxa"/>
            <w:vAlign w:val="bottom"/>
          </w:tcPr>
          <w:p>
            <w:pPr>
              <w:spacing w:after="0"/>
              <w:rPr>
                <w:sz w:val="20"/>
                <w:szCs w:val="20"/>
                <w:color w:val="auto"/>
              </w:rPr>
            </w:pPr>
            <w:r>
              <w:rPr>
                <w:rFonts w:ascii="Arial" w:cs="Arial" w:eastAsia="Arial" w:hAnsi="Arial"/>
                <w:sz w:val="18"/>
                <w:szCs w:val="18"/>
                <w:color w:val="auto"/>
              </w:rPr>
              <w:t>and,</w:t>
            </w:r>
          </w:p>
        </w:tc>
        <w:tc>
          <w:tcPr>
            <w:tcW w:w="3320" w:type="dxa"/>
            <w:vAlign w:val="bottom"/>
          </w:tcPr>
          <w:p>
            <w:pPr>
              <w:spacing w:after="0"/>
              <w:rPr>
                <w:sz w:val="24"/>
                <w:szCs w:val="24"/>
                <w:color w:val="auto"/>
              </w:rPr>
            </w:pPr>
          </w:p>
        </w:tc>
      </w:tr>
      <w:tr>
        <w:trPr>
          <w:trHeight w:val="220"/>
        </w:trPr>
        <w:tc>
          <w:tcPr>
            <w:tcW w:w="3760" w:type="dxa"/>
            <w:vAlign w:val="bottom"/>
          </w:tcPr>
          <w:p>
            <w:pPr>
              <w:spacing w:after="0"/>
              <w:rPr>
                <w:sz w:val="20"/>
                <w:szCs w:val="20"/>
                <w:color w:val="auto"/>
              </w:rPr>
            </w:pPr>
            <w:r>
              <w:rPr>
                <w:rFonts w:ascii="Arial" w:cs="Arial" w:eastAsia="Arial" w:hAnsi="Arial"/>
                <w:sz w:val="18"/>
                <w:szCs w:val="18"/>
                <w:b w:val="1"/>
                <w:bCs w:val="1"/>
                <w:color w:val="auto"/>
              </w:rPr>
              <w:t>GENEMAX CORP.</w:t>
            </w:r>
          </w:p>
        </w:tc>
        <w:tc>
          <w:tcPr>
            <w:tcW w:w="3320" w:type="dxa"/>
            <w:vAlign w:val="bottom"/>
          </w:tcPr>
          <w:p>
            <w:pPr>
              <w:spacing w:after="0"/>
              <w:rPr>
                <w:sz w:val="19"/>
                <w:szCs w:val="19"/>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Name of surviving entity</w:t>
            </w:r>
          </w:p>
        </w:tc>
        <w:tc>
          <w:tcPr>
            <w:tcW w:w="3320" w:type="dxa"/>
            <w:vAlign w:val="bottom"/>
          </w:tcPr>
          <w:p>
            <w:pPr>
              <w:spacing w:after="0"/>
              <w:rPr>
                <w:sz w:val="20"/>
                <w:szCs w:val="20"/>
                <w:color w:val="auto"/>
              </w:rPr>
            </w:pPr>
          </w:p>
        </w:tc>
      </w:tr>
      <w:tr>
        <w:trPr>
          <w:trHeight w:val="418"/>
        </w:trPr>
        <w:tc>
          <w:tcPr>
            <w:tcW w:w="3760" w:type="dxa"/>
            <w:vAlign w:val="bottom"/>
          </w:tcPr>
          <w:p>
            <w:pPr>
              <w:spacing w:after="0"/>
              <w:rPr>
                <w:sz w:val="20"/>
                <w:szCs w:val="20"/>
                <w:color w:val="auto"/>
              </w:rPr>
            </w:pPr>
            <w:r>
              <w:rPr>
                <w:rFonts w:ascii="Arial" w:cs="Arial" w:eastAsia="Arial" w:hAnsi="Arial"/>
                <w:sz w:val="18"/>
                <w:szCs w:val="18"/>
                <w:b w:val="1"/>
                <w:bCs w:val="1"/>
                <w:color w:val="auto"/>
              </w:rPr>
              <w:t>NEVADA</w:t>
            </w:r>
          </w:p>
        </w:tc>
        <w:tc>
          <w:tcPr>
            <w:tcW w:w="3320" w:type="dxa"/>
            <w:vAlign w:val="bottom"/>
          </w:tcPr>
          <w:p>
            <w:pPr>
              <w:ind w:left="1960"/>
              <w:spacing w:after="0"/>
              <w:rPr>
                <w:sz w:val="20"/>
                <w:szCs w:val="20"/>
                <w:color w:val="auto"/>
              </w:rPr>
            </w:pPr>
            <w:r>
              <w:rPr>
                <w:rFonts w:ascii="Arial" w:cs="Arial" w:eastAsia="Arial" w:hAnsi="Arial"/>
                <w:sz w:val="18"/>
                <w:szCs w:val="18"/>
                <w:b w:val="1"/>
                <w:bCs w:val="1"/>
                <w:color w:val="auto"/>
                <w:w w:val="99"/>
              </w:rPr>
              <w:t>CORPORATION</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Jurisdiction</w:t>
            </w:r>
          </w:p>
        </w:tc>
        <w:tc>
          <w:tcPr>
            <w:tcW w:w="3320" w:type="dxa"/>
            <w:vAlign w:val="bottom"/>
          </w:tcPr>
          <w:p>
            <w:pPr>
              <w:ind w:left="1960"/>
              <w:spacing w:after="0"/>
              <w:rPr>
                <w:sz w:val="20"/>
                <w:szCs w:val="20"/>
                <w:color w:val="auto"/>
              </w:rPr>
            </w:pPr>
            <w:r>
              <w:rPr>
                <w:rFonts w:ascii="Arial" w:cs="Arial" w:eastAsia="Arial" w:hAnsi="Arial"/>
                <w:sz w:val="18"/>
                <w:szCs w:val="18"/>
                <w:color w:val="auto"/>
              </w:rPr>
              <w:t>Entity type*</w:t>
            </w:r>
          </w:p>
        </w:tc>
      </w:tr>
    </w:tbl>
    <w:p>
      <w:pPr>
        <w:spacing w:after="0" w:line="202"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Forwarding address where copies of process may be sent by the Secretary of State of Nevada (if a foreign entity is the survivor in the merger – NRS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92A.1 90):</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w:t>
      </w:r>
    </w:p>
    <w:p>
      <w:pPr>
        <w:spacing w:after="0" w:line="225"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(Choose one)</w:t>
      </w:r>
    </w:p>
    <w:p>
      <w:pPr>
        <w:spacing w:after="0" w:line="225" w:lineRule="exact"/>
        <w:rPr>
          <w:sz w:val="20"/>
          <w:szCs w:val="20"/>
          <w:color w:val="auto"/>
        </w:rPr>
      </w:pPr>
    </w:p>
    <w:p>
      <w:pPr>
        <w:ind w:left="220" w:hanging="212"/>
        <w:spacing w:after="0"/>
        <w:tabs>
          <w:tab w:leader="none" w:pos="220" w:val="left"/>
        </w:tabs>
        <w:numPr>
          <w:ilvl w:val="0"/>
          <w:numId w:val="37"/>
        </w:numPr>
        <w:rPr>
          <w:rFonts w:ascii="MS PGothic" w:cs="MS PGothic" w:eastAsia="MS PGothic" w:hAnsi="MS PGothic"/>
          <w:sz w:val="18"/>
          <w:szCs w:val="18"/>
          <w:color w:val="auto"/>
        </w:rPr>
      </w:pPr>
      <w:r>
        <w:rPr>
          <w:rFonts w:ascii="Arial" w:cs="Arial" w:eastAsia="Arial" w:hAnsi="Arial"/>
          <w:sz w:val="18"/>
          <w:szCs w:val="18"/>
          <w:color w:val="auto"/>
        </w:rPr>
        <w:t>The undersigned declares that a plan of merger has been adopted by each constituent entity (NRS 92A.208).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58" w:lineRule="exact"/>
        <w:rPr>
          <w:sz w:val="20"/>
          <w:szCs w:val="20"/>
          <w:color w:val="auto"/>
        </w:rPr>
      </w:pPr>
    </w:p>
    <w:p>
      <w:pPr>
        <w:ind w:left="120" w:hanging="112"/>
        <w:spacing w:after="0"/>
        <w:tabs>
          <w:tab w:leader="none" w:pos="120" w:val="left"/>
        </w:tabs>
        <w:numPr>
          <w:ilvl w:val="0"/>
          <w:numId w:val="38"/>
        </w:numPr>
        <w:rPr>
          <w:rFonts w:ascii="Arial" w:cs="Arial" w:eastAsia="Arial" w:hAnsi="Arial"/>
          <w:sz w:val="30"/>
          <w:szCs w:val="30"/>
          <w:color w:val="auto"/>
          <w:vertAlign w:val="superscript"/>
        </w:rPr>
      </w:pPr>
      <w:r>
        <w:rPr>
          <w:rFonts w:ascii="Arial" w:cs="Arial" w:eastAsia="Arial" w:hAnsi="Arial"/>
          <w:sz w:val="18"/>
          <w:szCs w:val="18"/>
          <w:color w:val="auto"/>
        </w:rPr>
        <w:t>Corporation, non-profit corporation, limited partnership, limited-liability company or business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55" w:name="page56"/>
    <w:bookmarkEnd w:id="55"/>
    <w:p>
      <w:pPr>
        <w:ind w:left="212" w:hanging="212"/>
        <w:spacing w:after="0"/>
        <w:tabs>
          <w:tab w:leader="none" w:pos="212" w:val="left"/>
        </w:tabs>
        <w:numPr>
          <w:ilvl w:val="0"/>
          <w:numId w:val="39"/>
        </w:numPr>
        <w:rPr>
          <w:rFonts w:ascii="MS PGothic" w:cs="MS PGothic" w:eastAsia="MS PGothic" w:hAnsi="MS PGothic"/>
          <w:sz w:val="18"/>
          <w:szCs w:val="18"/>
          <w:color w:val="auto"/>
        </w:rPr>
      </w:pPr>
      <w:r>
        <w:rPr>
          <w:rFonts w:ascii="Arial" w:cs="Arial" w:eastAsia="Arial" w:hAnsi="Arial"/>
          <w:sz w:val="18"/>
          <w:szCs w:val="18"/>
          <w:color w:val="auto"/>
        </w:rPr>
        <w:t>The undersigned declares that a plan of merger has been adopted by the parent domestic entity (NRS 92A.180).</w:t>
      </w:r>
    </w:p>
    <w:p>
      <w:pPr>
        <w:spacing w:after="0" w:line="225" w:lineRule="exact"/>
        <w:rPr>
          <w:sz w:val="20"/>
          <w:szCs w:val="20"/>
          <w:color w:val="auto"/>
        </w:rPr>
      </w:pPr>
    </w:p>
    <w:p>
      <w:pPr>
        <w:ind w:left="-8" w:right="40" w:firstLine="8"/>
        <w:spacing w:after="0" w:line="233" w:lineRule="exact"/>
        <w:tabs>
          <w:tab w:leader="none" w:pos="622"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Owner’s approval (NRS 92A.200)(options a, b, or c must be used, as applicable, for each entity). (If there are more than four merging entities, check box </w:t>
      </w:r>
      <w:r>
        <w:rPr>
          <w:rFonts w:ascii="MS PGothic" w:cs="MS PGothic" w:eastAsia="MS PGothic" w:hAnsi="MS PGothic"/>
          <w:sz w:val="18"/>
          <w:szCs w:val="18"/>
          <w:color w:val="auto"/>
        </w:rPr>
        <w:t>☐</w:t>
      </w:r>
      <w:r>
        <w:rPr>
          <w:rFonts w:ascii="Arial" w:cs="Arial" w:eastAsia="Arial" w:hAnsi="Arial"/>
          <w:sz w:val="18"/>
          <w:szCs w:val="18"/>
          <w:color w:val="auto"/>
        </w:rPr>
        <w:t xml:space="preserve"> and attach an 8 1/2” x 11” blank sheet containing the required information for each additional entity):</w:t>
      </w:r>
    </w:p>
    <w:p>
      <w:pPr>
        <w:spacing w:after="0" w:line="182" w:lineRule="exact"/>
        <w:rPr>
          <w:rFonts w:ascii="Arial" w:cs="Arial" w:eastAsia="Arial" w:hAnsi="Arial"/>
          <w:sz w:val="18"/>
          <w:szCs w:val="18"/>
          <w:color w:val="auto"/>
        </w:rPr>
      </w:pPr>
    </w:p>
    <w:p>
      <w:pPr>
        <w:ind w:left="1292" w:hanging="644"/>
        <w:spacing w:after="0"/>
        <w:tabs>
          <w:tab w:leader="none" w:pos="1292" w:val="left"/>
        </w:tabs>
        <w:numPr>
          <w:ilvl w:val="1"/>
          <w:numId w:val="40"/>
        </w:numPr>
        <w:rPr>
          <w:rFonts w:ascii="Arial" w:cs="Arial" w:eastAsia="Arial" w:hAnsi="Arial"/>
          <w:sz w:val="18"/>
          <w:szCs w:val="18"/>
          <w:color w:val="auto"/>
        </w:rPr>
      </w:pPr>
      <w:r>
        <w:rPr>
          <w:rFonts w:ascii="Arial" w:cs="Arial" w:eastAsia="Arial" w:hAnsi="Arial"/>
          <w:sz w:val="18"/>
          <w:szCs w:val="18"/>
          <w:color w:val="auto"/>
        </w:rPr>
        <w:t>Owner’s approval was not required from</w:t>
      </w:r>
    </w:p>
    <w:p>
      <w:pPr>
        <w:spacing w:after="0" w:line="225"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8"/>
          <w:szCs w:val="18"/>
          <w:color w:val="auto"/>
        </w:rPr>
        <w:t>TAPIMMUNE INC.</w:t>
      </w:r>
    </w:p>
    <w:p>
      <w:pPr>
        <w:spacing w:after="0" w:line="23" w:lineRule="exact"/>
        <w:rPr>
          <w:rFonts w:ascii="Arial" w:cs="Arial" w:eastAsia="Arial" w:hAnsi="Arial"/>
          <w:sz w:val="18"/>
          <w:szCs w:val="18"/>
          <w:color w:val="auto"/>
        </w:rPr>
      </w:pPr>
    </w:p>
    <w:p>
      <w:pPr>
        <w:jc w:val="both"/>
        <w:ind w:left="1292" w:right="7380"/>
        <w:spacing w:after="0" w:line="527" w:lineRule="auto"/>
        <w:rPr>
          <w:rFonts w:ascii="Arial" w:cs="Arial" w:eastAsia="Arial" w:hAnsi="Arial"/>
          <w:sz w:val="18"/>
          <w:szCs w:val="18"/>
          <w:color w:val="auto"/>
        </w:rPr>
      </w:pPr>
      <w:r>
        <w:rPr>
          <w:rFonts w:ascii="Arial" w:cs="Arial" w:eastAsia="Arial" w:hAnsi="Arial"/>
          <w:sz w:val="17"/>
          <w:szCs w:val="17"/>
          <w:color w:val="auto"/>
        </w:rPr>
        <w:t>Name of merging entity, if applicable Name of merging entity, if applicable Name of merging entity, if applicable Name of merging entity, if applicable and, or;</w:t>
      </w:r>
    </w:p>
    <w:p>
      <w:pPr>
        <w:ind w:left="1292"/>
        <w:spacing w:after="0"/>
        <w:rPr>
          <w:rFonts w:ascii="Arial" w:cs="Arial" w:eastAsia="Arial" w:hAnsi="Arial"/>
          <w:sz w:val="18"/>
          <w:szCs w:val="18"/>
          <w:color w:val="auto"/>
        </w:rPr>
      </w:pPr>
      <w:r>
        <w:rPr>
          <w:rFonts w:ascii="Arial" w:cs="Arial" w:eastAsia="Arial" w:hAnsi="Arial"/>
          <w:sz w:val="18"/>
          <w:szCs w:val="18"/>
          <w:color w:val="auto"/>
        </w:rPr>
        <w:t>GENEMAX CORP.</w:t>
      </w:r>
    </w:p>
    <w:p>
      <w:pPr>
        <w:spacing w:after="0" w:line="23"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8"/>
          <w:szCs w:val="18"/>
          <w:color w:val="auto"/>
        </w:rPr>
        <w:t>Name of surviving entity, if applicable</w:t>
      </w:r>
    </w:p>
    <w:p>
      <w:pPr>
        <w:spacing w:after="0" w:line="214" w:lineRule="exact"/>
        <w:rPr>
          <w:rFonts w:ascii="Arial" w:cs="Arial" w:eastAsia="Arial" w:hAnsi="Arial"/>
          <w:sz w:val="18"/>
          <w:szCs w:val="18"/>
          <w:color w:val="auto"/>
        </w:rPr>
      </w:pPr>
    </w:p>
    <w:p>
      <w:pPr>
        <w:ind w:left="1292" w:right="5380" w:hanging="644"/>
        <w:spacing w:after="0" w:line="221" w:lineRule="auto"/>
        <w:tabs>
          <w:tab w:leader="none" w:pos="1292" w:val="left"/>
        </w:tabs>
        <w:numPr>
          <w:ilvl w:val="1"/>
          <w:numId w:val="40"/>
        </w:numPr>
        <w:rPr>
          <w:rFonts w:ascii="Arial" w:cs="Arial" w:eastAsia="Arial" w:hAnsi="Arial"/>
          <w:sz w:val="36"/>
          <w:szCs w:val="36"/>
          <w:color w:val="auto"/>
          <w:vertAlign w:val="superscript"/>
        </w:rPr>
      </w:pPr>
      <w:r>
        <w:rPr>
          <w:rFonts w:ascii="Arial" w:cs="Arial" w:eastAsia="Arial" w:hAnsi="Arial"/>
          <w:sz w:val="18"/>
          <w:szCs w:val="18"/>
          <w:color w:val="auto"/>
        </w:rPr>
        <w:t>The plan was approved by the required consent of the owners of</w:t>
      </w:r>
      <w:r>
        <w:rPr>
          <w:rFonts w:ascii="Arial" w:cs="Arial" w:eastAsia="Arial" w:hAnsi="Arial"/>
          <w:sz w:val="30"/>
          <w:szCs w:val="30"/>
          <w:color w:val="auto"/>
          <w:vertAlign w:val="superscript"/>
        </w:rPr>
        <w:t>5</w:t>
      </w:r>
      <w:r>
        <w:rPr>
          <w:rFonts w:ascii="Arial" w:cs="Arial" w:eastAsia="Arial" w:hAnsi="Arial"/>
          <w:sz w:val="18"/>
          <w:szCs w:val="18"/>
          <w:color w:val="auto"/>
        </w:rPr>
        <w:t xml:space="preserve"> Name of merging entity, if applicable</w:t>
      </w:r>
    </w:p>
    <w:p>
      <w:pPr>
        <w:spacing w:after="0" w:line="202" w:lineRule="exact"/>
        <w:rPr>
          <w:rFonts w:ascii="Arial" w:cs="Arial" w:eastAsia="Arial" w:hAnsi="Arial"/>
          <w:sz w:val="36"/>
          <w:szCs w:val="36"/>
          <w:color w:val="auto"/>
          <w:vertAlign w:val="superscript"/>
        </w:rPr>
      </w:pPr>
    </w:p>
    <w:p>
      <w:pPr>
        <w:jc w:val="both"/>
        <w:ind w:left="1292" w:right="7380"/>
        <w:spacing w:after="0" w:line="530" w:lineRule="auto"/>
        <w:rPr>
          <w:rFonts w:ascii="Arial" w:cs="Arial" w:eastAsia="Arial" w:hAnsi="Arial"/>
          <w:sz w:val="36"/>
          <w:szCs w:val="36"/>
          <w:color w:val="auto"/>
          <w:vertAlign w:val="superscript"/>
        </w:rPr>
      </w:pPr>
      <w:r>
        <w:rPr>
          <w:rFonts w:ascii="Arial" w:cs="Arial" w:eastAsia="Arial" w:hAnsi="Arial"/>
          <w:sz w:val="17"/>
          <w:szCs w:val="17"/>
          <w:color w:val="auto"/>
        </w:rPr>
        <w:t>Name of merging entity, if applicable Name of merging entity, if applicable Name of merging entity, if applicable and, or;</w:t>
      </w:r>
    </w:p>
    <w:p>
      <w:pPr>
        <w:spacing w:after="0" w:line="1" w:lineRule="exact"/>
        <w:rPr>
          <w:rFonts w:ascii="Arial" w:cs="Arial" w:eastAsia="Arial" w:hAnsi="Arial"/>
          <w:sz w:val="36"/>
          <w:szCs w:val="36"/>
          <w:color w:val="auto"/>
          <w:vertAlign w:val="superscript"/>
        </w:rPr>
      </w:pPr>
    </w:p>
    <w:p>
      <w:pPr>
        <w:ind w:left="1292"/>
        <w:spacing w:after="0"/>
        <w:rPr>
          <w:rFonts w:ascii="Arial" w:cs="Arial" w:eastAsia="Arial" w:hAnsi="Arial"/>
          <w:sz w:val="36"/>
          <w:szCs w:val="36"/>
          <w:color w:val="auto"/>
          <w:vertAlign w:val="superscript"/>
        </w:rPr>
      </w:pPr>
      <w:r>
        <w:rPr>
          <w:rFonts w:ascii="Arial" w:cs="Arial" w:eastAsia="Arial" w:hAnsi="Arial"/>
          <w:sz w:val="18"/>
          <w:szCs w:val="18"/>
          <w:color w:val="auto"/>
        </w:rPr>
        <w:t>Name of surviving entity, if applicable</w:t>
      </w:r>
    </w:p>
    <w:p>
      <w:pPr>
        <w:spacing w:after="0" w:line="225" w:lineRule="exact"/>
        <w:rPr>
          <w:rFonts w:ascii="Arial" w:cs="Arial" w:eastAsia="Arial" w:hAnsi="Arial"/>
          <w:sz w:val="36"/>
          <w:szCs w:val="36"/>
          <w:color w:val="auto"/>
          <w:vertAlign w:val="superscript"/>
        </w:rPr>
      </w:pPr>
    </w:p>
    <w:p>
      <w:pPr>
        <w:ind w:left="1292" w:hanging="644"/>
        <w:spacing w:after="0"/>
        <w:tabs>
          <w:tab w:leader="none" w:pos="1292" w:val="left"/>
        </w:tabs>
        <w:numPr>
          <w:ilvl w:val="1"/>
          <w:numId w:val="40"/>
        </w:numPr>
        <w:rPr>
          <w:rFonts w:ascii="Arial" w:cs="Arial" w:eastAsia="Arial" w:hAnsi="Arial"/>
          <w:sz w:val="18"/>
          <w:szCs w:val="18"/>
          <w:color w:val="auto"/>
        </w:rPr>
      </w:pPr>
      <w:r>
        <w:rPr>
          <w:rFonts w:ascii="Arial" w:cs="Arial" w:eastAsia="Arial" w:hAnsi="Arial"/>
          <w:sz w:val="18"/>
          <w:szCs w:val="18"/>
          <w:color w:val="auto"/>
        </w:rPr>
        <w:t>Approval of plan of merger for Nevada non-profit corporation (NRS 92A.150):</w:t>
      </w:r>
    </w:p>
    <w:p>
      <w:pPr>
        <w:spacing w:after="0" w:line="225" w:lineRule="exact"/>
        <w:rPr>
          <w:rFonts w:ascii="Arial" w:cs="Arial" w:eastAsia="Arial" w:hAnsi="Arial"/>
          <w:sz w:val="18"/>
          <w:szCs w:val="18"/>
          <w:color w:val="auto"/>
        </w:rPr>
      </w:pPr>
    </w:p>
    <w:p>
      <w:pPr>
        <w:ind w:left="1292" w:right="120"/>
        <w:spacing w:after="0" w:line="277" w:lineRule="auto"/>
        <w:rPr>
          <w:rFonts w:ascii="Arial" w:cs="Arial" w:eastAsia="Arial" w:hAnsi="Arial"/>
          <w:sz w:val="18"/>
          <w:szCs w:val="18"/>
          <w:color w:val="auto"/>
        </w:rPr>
      </w:pPr>
      <w:r>
        <w:rPr>
          <w:rFonts w:ascii="Arial" w:cs="Arial" w:eastAsia="Arial" w:hAnsi="Arial"/>
          <w:sz w:val="18"/>
          <w:szCs w:val="18"/>
          <w:color w:val="auto"/>
        </w:rPr>
        <w:t>The plan of merger has been approved by the directors of the corporation and by each public officer or other person whose approval of the plan of merger is required by the articles of incorporation of the domestic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8097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8" w:lineRule="exact"/>
        <w:rPr>
          <w:sz w:val="20"/>
          <w:szCs w:val="20"/>
          <w:color w:val="auto"/>
        </w:rPr>
      </w:pPr>
    </w:p>
    <w:p>
      <w:pPr>
        <w:ind w:left="-8" w:firstLine="8"/>
        <w:spacing w:after="0" w:line="194" w:lineRule="auto"/>
        <w:tabs>
          <w:tab w:leader="none" w:pos="112" w:val="left"/>
        </w:tabs>
        <w:numPr>
          <w:ilvl w:val="0"/>
          <w:numId w:val="41"/>
        </w:numPr>
        <w:rPr>
          <w:rFonts w:ascii="Arial" w:cs="Arial" w:eastAsia="Arial" w:hAnsi="Arial"/>
          <w:sz w:val="30"/>
          <w:szCs w:val="30"/>
          <w:color w:val="auto"/>
          <w:vertAlign w:val="superscript"/>
        </w:rPr>
      </w:pPr>
      <w:r>
        <w:rPr>
          <w:rFonts w:ascii="Arial" w:cs="Arial" w:eastAsia="Arial" w:hAnsi="Arial"/>
          <w:sz w:val="18"/>
          <w:szCs w:val="18"/>
          <w:color w:val="auto"/>
        </w:rPr>
        <w:t>Unless otherwise provided in the certificate of trust or governing Instrument of a business trust, a merger must be approved by all the trustees and beneficial owners of each business trust that is a constituent entity in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437515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908" w:right="279" w:bottom="1440" w:gutter="0" w:footer="0" w:header="0"/>
        </w:sectPr>
      </w:pPr>
    </w:p>
    <w:bookmarkStart w:id="56" w:name="page57"/>
    <w:bookmarkEnd w:id="56"/>
    <w:p>
      <w:pPr>
        <w:ind w:left="1300"/>
        <w:spacing w:after="0"/>
        <w:rPr>
          <w:sz w:val="20"/>
          <w:szCs w:val="20"/>
          <w:color w:val="auto"/>
        </w:rPr>
      </w:pPr>
      <w:r>
        <w:rPr>
          <w:rFonts w:ascii="Arial" w:cs="Arial" w:eastAsia="Arial" w:hAnsi="Arial"/>
          <w:sz w:val="18"/>
          <w:szCs w:val="18"/>
          <w:color w:val="auto"/>
        </w:rPr>
        <w:t>Name of merging entity, if applicable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 of merging entity, if applicable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 of merging entity, if applicable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 of merging entity, if applicable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 of surviving entity, if applicable</w:t>
      </w:r>
    </w:p>
    <w:p>
      <w:pPr>
        <w:spacing w:after="0" w:line="229" w:lineRule="exact"/>
        <w:rPr>
          <w:sz w:val="20"/>
          <w:szCs w:val="20"/>
          <w:color w:val="auto"/>
        </w:rPr>
      </w:pPr>
    </w:p>
    <w:p>
      <w:pPr>
        <w:ind w:left="660" w:right="1560" w:hanging="652"/>
        <w:spacing w:after="0" w:line="342" w:lineRule="auto"/>
        <w:tabs>
          <w:tab w:leader="none" w:pos="6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Amendments, if any, to the articles or certificate of the surviving entity. Provide article numbers, if available. (NRS 92A.200):</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Article I of the articles of the surviving entity is hereby amended to read as follows:</w:t>
      </w:r>
    </w:p>
    <w:p>
      <w:pPr>
        <w:spacing w:after="0" w:line="11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 The name of the Corporation (hereinafter the Corporation) is TAPIMMUNE INC.”</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Location of Plan of Merger (check a or b):</w:t>
      </w:r>
    </w:p>
    <w:p>
      <w:pPr>
        <w:spacing w:after="0" w:line="225" w:lineRule="exact"/>
        <w:rPr>
          <w:sz w:val="20"/>
          <w:szCs w:val="20"/>
          <w:color w:val="auto"/>
        </w:rPr>
      </w:pPr>
    </w:p>
    <w:p>
      <w:pPr>
        <w:ind w:left="860" w:hanging="204"/>
        <w:spacing w:after="0"/>
        <w:tabs>
          <w:tab w:leader="none" w:pos="860" w:val="left"/>
        </w:tabs>
        <w:numPr>
          <w:ilvl w:val="1"/>
          <w:numId w:val="43"/>
        </w:numPr>
        <w:rPr>
          <w:rFonts w:ascii="MS PGothic" w:cs="MS PGothic" w:eastAsia="MS PGothic" w:hAnsi="MS PGothic"/>
          <w:sz w:val="18"/>
          <w:szCs w:val="18"/>
          <w:color w:val="auto"/>
        </w:rPr>
      </w:pPr>
      <w:r>
        <w:rPr>
          <w:rFonts w:ascii="Arial" w:cs="Arial" w:eastAsia="Arial" w:hAnsi="Arial"/>
          <w:sz w:val="18"/>
          <w:szCs w:val="18"/>
          <w:color w:val="auto"/>
        </w:rPr>
        <w:t>(a) the entire plan of merger is attached;</w:t>
      </w:r>
    </w:p>
    <w:p>
      <w:pPr>
        <w:spacing w:after="0" w:line="25" w:lineRule="exact"/>
        <w:rPr>
          <w:rFonts w:ascii="MS PGothic" w:cs="MS PGothic" w:eastAsia="MS PGothic" w:hAnsi="MS PGothic"/>
          <w:sz w:val="18"/>
          <w:szCs w:val="18"/>
          <w:color w:val="auto"/>
        </w:rPr>
      </w:pPr>
    </w:p>
    <w:p>
      <w:pPr>
        <w:ind w:left="66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7" w:lineRule="exact"/>
        <w:rPr>
          <w:rFonts w:ascii="MS PGothic" w:cs="MS PGothic" w:eastAsia="MS PGothic" w:hAnsi="MS PGothic"/>
          <w:sz w:val="18"/>
          <w:szCs w:val="18"/>
          <w:color w:val="auto"/>
        </w:rPr>
      </w:pPr>
    </w:p>
    <w:p>
      <w:pPr>
        <w:ind w:left="660" w:right="300"/>
        <w:spacing w:after="0" w:line="216"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 the entire plan of merger is on file at the registered office of the surviving corporation, limited-liability company or business trust, or at the records office address if a limited partnership, or other place of business of the surviving entity (NRS 92A.200).</w:t>
      </w:r>
    </w:p>
    <w:p>
      <w:pPr>
        <w:spacing w:after="0" w:line="206" w:lineRule="exact"/>
        <w:rPr>
          <w:rFonts w:ascii="MS PGothic" w:cs="MS PGothic" w:eastAsia="MS PGothic" w:hAnsi="MS PGothic"/>
          <w:sz w:val="18"/>
          <w:szCs w:val="18"/>
          <w:color w:val="auto"/>
        </w:rPr>
      </w:pPr>
    </w:p>
    <w:p>
      <w:pPr>
        <w:ind w:left="640" w:hanging="632"/>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Effective date (optional)</w:t>
      </w:r>
      <w:r>
        <w:rPr>
          <w:rFonts w:ascii="Arial" w:cs="Arial" w:eastAsia="Arial" w:hAnsi="Arial"/>
          <w:sz w:val="30"/>
          <w:szCs w:val="30"/>
          <w:color w:val="auto"/>
          <w:vertAlign w:val="superscript"/>
        </w:rPr>
        <w:t>**</w:t>
      </w:r>
      <w:r>
        <w:rPr>
          <w:rFonts w:ascii="Arial" w:cs="Arial" w:eastAsia="Arial" w:hAnsi="Arial"/>
          <w:sz w:val="18"/>
          <w:szCs w:val="18"/>
          <w:color w:val="auto"/>
        </w:rPr>
        <w:t>: 6/28/07</w:t>
      </w:r>
    </w:p>
    <w:p>
      <w:pPr>
        <w:spacing w:after="0" w:line="124" w:lineRule="exact"/>
        <w:rPr>
          <w:rFonts w:ascii="Arial" w:cs="Arial" w:eastAsia="Arial" w:hAnsi="Arial"/>
          <w:sz w:val="18"/>
          <w:szCs w:val="18"/>
          <w:color w:val="auto"/>
        </w:rPr>
      </w:pPr>
    </w:p>
    <w:p>
      <w:pPr>
        <w:ind w:firstLine="8"/>
        <w:spacing w:after="0" w:line="291" w:lineRule="auto"/>
        <w:tabs>
          <w:tab w:leader="none" w:pos="63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Signatures – Must be signed by: An officer of each Nevada corporation; All general partners of each Nevada limited partnership; All general partners of each Nevada limited partnership; A manager of each Nevada limited liability company with managers or all the members if there are no managers; A</w:t>
      </w:r>
    </w:p>
    <w:p>
      <w:pPr>
        <w:ind w:right="440"/>
        <w:spacing w:after="0" w:line="236" w:lineRule="exact"/>
        <w:rPr>
          <w:sz w:val="20"/>
          <w:szCs w:val="20"/>
          <w:color w:val="auto"/>
        </w:rPr>
      </w:pPr>
      <w:r>
        <w:rPr>
          <w:rFonts w:ascii="Arial" w:cs="Arial" w:eastAsia="Arial" w:hAnsi="Arial"/>
          <w:sz w:val="18"/>
          <w:szCs w:val="18"/>
          <w:color w:val="auto"/>
        </w:rPr>
        <w:t>trustee of each Nevada business trust (NRS 92A.230)</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(If there are more than four merging entities, check box </w:t>
      </w:r>
      <w:r>
        <w:rPr>
          <w:rFonts w:ascii="MS PGothic" w:cs="MS PGothic" w:eastAsia="MS PGothic" w:hAnsi="MS PGothic"/>
          <w:sz w:val="18"/>
          <w:szCs w:val="18"/>
          <w:color w:val="auto"/>
        </w:rPr>
        <w:t>☐</w:t>
      </w:r>
      <w:r>
        <w:rPr>
          <w:rFonts w:ascii="Arial" w:cs="Arial" w:eastAsia="Arial" w:hAnsi="Arial"/>
          <w:sz w:val="18"/>
          <w:szCs w:val="18"/>
          <w:color w:val="auto"/>
        </w:rPr>
        <w:t xml:space="preserve"> and attach an 8 1/2” x 11” blank sheet containing the required information for each additional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80975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51" w:lineRule="exact"/>
        <w:rPr>
          <w:sz w:val="20"/>
          <w:szCs w:val="20"/>
          <w:color w:val="auto"/>
        </w:rPr>
      </w:pPr>
    </w:p>
    <w:p>
      <w:pPr>
        <w:ind w:right="300" w:firstLine="8"/>
        <w:spacing w:after="0" w:line="247" w:lineRule="auto"/>
        <w:tabs>
          <w:tab w:leader="none" w:pos="120" w:val="left"/>
        </w:tabs>
        <w:numPr>
          <w:ilvl w:val="0"/>
          <w:numId w:val="44"/>
        </w:numPr>
        <w:rPr>
          <w:rFonts w:ascii="Arial" w:cs="Arial" w:eastAsia="Arial" w:hAnsi="Arial"/>
          <w:sz w:val="26"/>
          <w:szCs w:val="26"/>
          <w:color w:val="auto"/>
          <w:vertAlign w:val="superscript"/>
        </w:rPr>
      </w:pPr>
      <w:r>
        <w:rPr>
          <w:rFonts w:ascii="Arial" w:cs="Arial" w:eastAsia="Arial" w:hAnsi="Arial"/>
          <w:sz w:val="16"/>
          <w:szCs w:val="16"/>
          <w:color w:val="auto"/>
        </w:rPr>
        <w:t>Amended and restated articles may be attached as an exhibit or integrated into the articles of merger. Please entitle them “Restated” or “Amended and Restated,” accordingly. The form to accompany restated articles prescribed by the secretary of state must accompany the amended and/or restated articles. Pursuant to NRS 92A.180 (merger of subsidiary into parent – Nevada parent owning 90% or more of subsidiary), the articles of merger may not contain amendments to the constituent documents of the surviving entity except that the name of the surviving entity may be changed.</w:t>
      </w:r>
    </w:p>
    <w:p>
      <w:pPr>
        <w:spacing w:after="0" w:line="29" w:lineRule="exact"/>
        <w:rPr>
          <w:sz w:val="20"/>
          <w:szCs w:val="20"/>
          <w:color w:val="auto"/>
        </w:rPr>
      </w:pPr>
    </w:p>
    <w:p>
      <w:pPr>
        <w:ind w:right="480" w:firstLine="8"/>
        <w:spacing w:after="0" w:line="194" w:lineRule="auto"/>
        <w:tabs>
          <w:tab w:leader="none" w:pos="195" w:val="left"/>
        </w:tabs>
        <w:numPr>
          <w:ilvl w:val="0"/>
          <w:numId w:val="45"/>
        </w:numPr>
        <w:rPr>
          <w:rFonts w:ascii="Arial" w:cs="Arial" w:eastAsia="Arial" w:hAnsi="Arial"/>
          <w:sz w:val="30"/>
          <w:szCs w:val="30"/>
          <w:color w:val="auto"/>
          <w:vertAlign w:val="superscript"/>
        </w:rPr>
      </w:pPr>
      <w:r>
        <w:rPr>
          <w:rFonts w:ascii="Arial" w:cs="Arial" w:eastAsia="Arial" w:hAnsi="Arial"/>
          <w:sz w:val="18"/>
          <w:szCs w:val="18"/>
          <w:color w:val="auto"/>
        </w:rPr>
        <w:t>A merger takes effect upon filing the articles of merger or upon a later date as specified in the articles, which must not be more than 90 days after the articles are filed (NRS 92A.240).</w:t>
      </w:r>
    </w:p>
    <w:p>
      <w:pPr>
        <w:spacing w:after="0" w:line="27" w:lineRule="exact"/>
        <w:rPr>
          <w:sz w:val="20"/>
          <w:szCs w:val="20"/>
          <w:color w:val="auto"/>
        </w:rPr>
      </w:pPr>
    </w:p>
    <w:p>
      <w:pPr>
        <w:ind w:right="620" w:firstLine="8"/>
        <w:spacing w:after="0" w:line="194" w:lineRule="auto"/>
        <w:tabs>
          <w:tab w:leader="none" w:pos="120" w:val="left"/>
        </w:tabs>
        <w:numPr>
          <w:ilvl w:val="0"/>
          <w:numId w:val="46"/>
        </w:numPr>
        <w:rPr>
          <w:rFonts w:ascii="Arial" w:cs="Arial" w:eastAsia="Arial" w:hAnsi="Arial"/>
          <w:sz w:val="30"/>
          <w:szCs w:val="30"/>
          <w:color w:val="auto"/>
          <w:vertAlign w:val="superscript"/>
        </w:rPr>
      </w:pPr>
      <w:r>
        <w:rPr>
          <w:rFonts w:ascii="Arial" w:cs="Arial" w:eastAsia="Arial" w:hAnsi="Arial"/>
          <w:sz w:val="18"/>
          <w:szCs w:val="18"/>
          <w:color w:val="auto"/>
        </w:rPr>
        <w:t>The articles of merger must be signed by each foreign constituent entity in the manner provided by the law governing it (NRS 92A.230). Additional signature blocks may be added to this page or as an attachment, as needed.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IMPORTANT: </w:t>
      </w:r>
      <w:r>
        <w:rPr>
          <w:rFonts w:ascii="Arial" w:cs="Arial" w:eastAsia="Arial" w:hAnsi="Arial"/>
          <w:sz w:val="18"/>
          <w:szCs w:val="18"/>
          <w:color w:val="auto"/>
        </w:rPr>
        <w:t>Failure to include any of the above information and submit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Name of merging entity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0702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Name of merging entity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0702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Name of merging entity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0702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Name of merging entity</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0702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GENEMAX CORP.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 of surviving entity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0702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President, Secretary &amp; Treasurer</w:t>
      </w:r>
    </w:p>
    <w:p>
      <w:pPr>
        <w:spacing w:after="0" w:line="23" w:lineRule="exact"/>
        <w:rPr>
          <w:sz w:val="20"/>
          <w:szCs w:val="20"/>
          <w:color w:val="auto"/>
        </w:rPr>
      </w:pPr>
    </w:p>
    <w:p>
      <w:pPr>
        <w:spacing w:after="0"/>
        <w:tabs>
          <w:tab w:leader="none" w:pos="29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29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29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29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 Officer</w:t>
      </w:r>
    </w:p>
    <w:p>
      <w:pPr>
        <w:spacing w:after="0" w:line="23" w:lineRule="exact"/>
        <w:rPr>
          <w:sz w:val="20"/>
          <w:szCs w:val="20"/>
          <w:color w:val="auto"/>
        </w:rPr>
      </w:pPr>
    </w:p>
    <w:p>
      <w:pPr>
        <w:spacing w:after="0"/>
        <w:tabs>
          <w:tab w:leader="none" w:pos="29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457835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320" w:space="720"/>
            <w:col w:w="4519"/>
          </w:cols>
          <w:pgMar w:left="900" w:top="909" w:right="1440" w:bottom="1440" w:gutter="0" w:footer="0" w:header="0"/>
        </w:sectPr>
      </w:pPr>
    </w:p>
    <w:bookmarkStart w:id="58" w:name="page59"/>
    <w:bookmarkEnd w:id="58"/>
    <w:tbl>
      <w:tblPr>
        <w:tblLayout w:type="fixed"/>
        <w:tblInd w:w="10" w:type="dxa"/>
        <w:tblCellMar>
          <w:top w:w="0" w:type="dxa"/>
          <w:left w:w="0" w:type="dxa"/>
          <w:bottom w:w="0" w:type="dxa"/>
          <w:right w:w="0" w:type="dxa"/>
        </w:tblCellMar>
      </w:tblPr>
      <w:tr>
        <w:trPr>
          <w:trHeight w:val="197"/>
        </w:trPr>
        <w:tc>
          <w:tcPr>
            <w:tcW w:w="1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Filed in the office of Ross</w:t>
            </w:r>
          </w:p>
        </w:tc>
        <w:tc>
          <w:tcPr>
            <w:tcW w:w="22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Document Number</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Miller Secretary of State</w:t>
            </w:r>
          </w:p>
        </w:tc>
        <w:tc>
          <w:tcPr>
            <w:tcW w:w="22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20070429826-20</w:t>
            </w: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State of Nevada</w:t>
            </w:r>
          </w:p>
        </w:tc>
        <w:tc>
          <w:tcPr>
            <w:tcW w:w="22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Filing Date and Time</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spacing w:after="0"/>
              <w:rPr>
                <w:sz w:val="15"/>
                <w:szCs w:val="15"/>
                <w:color w:val="auto"/>
              </w:rPr>
            </w:pPr>
          </w:p>
        </w:tc>
        <w:tc>
          <w:tcPr>
            <w:tcW w:w="22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06/21/2007 11:45 AM</w:t>
            </w:r>
          </w:p>
        </w:tc>
        <w:tc>
          <w:tcPr>
            <w:tcW w:w="0" w:type="dxa"/>
            <w:vAlign w:val="bottom"/>
          </w:tcPr>
          <w:p>
            <w:pPr>
              <w:spacing w:after="0"/>
              <w:rPr>
                <w:sz w:val="1"/>
                <w:szCs w:val="1"/>
                <w:color w:val="auto"/>
              </w:rPr>
            </w:pPr>
          </w:p>
        </w:tc>
      </w:tr>
      <w:tr>
        <w:trPr>
          <w:trHeight w:val="39"/>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Change filed Pursuant to NRS 78.209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Nevada Profit Corporations</w:t>
      </w:r>
    </w:p>
    <w:p>
      <w:pPr>
        <w:spacing w:after="0" w:line="211"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Name of corporation:</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GENEMAX CORP.</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board of directors have adopted a resolution pursuant to NRS 78.209 and have obtained any require approval of the stockholders.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current number of authorized shares at the par value, if any, of each class or series, if any, of shares before the change: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200,000,000 authorized shares of common stock, par value $0.001 per share; and</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5,000,000 authorized shares of preferred stock, par value $0.001 per share.</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authorized shares and the par value, if any, of each class or series, if any, of shares after the change: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80,000,000 authorized shares of common stock, par value $0.001 per share; and</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5,000,000 authorized shares of preferred stock, par value $0.001 per share</w:t>
      </w:r>
    </w:p>
    <w:p>
      <w:pPr>
        <w:spacing w:after="0" w:line="21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shares of each affected class or series, if any, to be issued after the change in exchange for each issued share of the same class or series: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23,122,682 shares of common stock shall be issued in exchange for 57,806,706 shares of common stock</w:t>
      </w:r>
    </w:p>
    <w:p>
      <w:pPr>
        <w:spacing w:after="0" w:line="22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provisions, if any, for the issuance of fractional shares, or for the payment of money or the issuance of scrip to stockholders otherwise entitled to a fraction of a share and the percentage of outstanding shares effected thereby: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Attachment A to this Certificate of Change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7.</w:t>
            </w:r>
          </w:p>
        </w:tc>
        <w:tc>
          <w:tcPr>
            <w:tcW w:w="3500" w:type="dxa"/>
            <w:vAlign w:val="bottom"/>
            <w:gridSpan w:val="2"/>
          </w:tcPr>
          <w:p>
            <w:pPr>
              <w:ind w:left="260"/>
              <w:spacing w:after="0"/>
              <w:rPr>
                <w:sz w:val="20"/>
                <w:szCs w:val="20"/>
                <w:color w:val="auto"/>
              </w:rPr>
            </w:pPr>
            <w:r>
              <w:rPr>
                <w:rFonts w:ascii="Arial" w:cs="Arial" w:eastAsia="Arial" w:hAnsi="Arial"/>
                <w:sz w:val="18"/>
                <w:szCs w:val="18"/>
                <w:color w:val="auto"/>
              </w:rPr>
              <w:t>Effective date of filing (optional):</w:t>
            </w:r>
          </w:p>
        </w:tc>
        <w:tc>
          <w:tcPr>
            <w:tcW w:w="7520" w:type="dxa"/>
            <w:vAlign w:val="bottom"/>
            <w:tcBorders>
              <w:bottom w:val="single" w:sz="8" w:color="auto"/>
            </w:tcBorders>
            <w:gridSpan w:val="2"/>
          </w:tcPr>
          <w:p>
            <w:pPr>
              <w:jc w:val="right"/>
              <w:ind w:right="3480"/>
              <w:spacing w:after="0"/>
              <w:rPr>
                <w:sz w:val="20"/>
                <w:szCs w:val="20"/>
                <w:color w:val="auto"/>
              </w:rPr>
            </w:pPr>
            <w:r>
              <w:rPr>
                <w:rFonts w:ascii="Arial" w:cs="Arial" w:eastAsia="Arial" w:hAnsi="Arial"/>
                <w:sz w:val="18"/>
                <w:szCs w:val="18"/>
                <w:color w:val="auto"/>
              </w:rPr>
              <w:t>6/28/07</w:t>
            </w:r>
          </w:p>
        </w:tc>
      </w:tr>
      <w:tr>
        <w:trPr>
          <w:trHeight w:val="224"/>
        </w:trPr>
        <w:tc>
          <w:tcPr>
            <w:tcW w:w="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520" w:type="dxa"/>
            <w:vAlign w:val="bottom"/>
            <w:gridSpan w:val="2"/>
          </w:tcPr>
          <w:p>
            <w:pPr>
              <w:jc w:val="right"/>
              <w:ind w:right="3300"/>
              <w:spacing w:after="0"/>
              <w:rPr>
                <w:sz w:val="20"/>
                <w:szCs w:val="20"/>
                <w:color w:val="auto"/>
              </w:rPr>
            </w:pPr>
            <w:r>
              <w:rPr>
                <w:rFonts w:ascii="Arial" w:cs="Arial" w:eastAsia="Arial" w:hAnsi="Arial"/>
                <w:sz w:val="18"/>
                <w:szCs w:val="18"/>
                <w:color w:val="auto"/>
                <w:w w:val="91"/>
              </w:rPr>
              <w:t>(must not be later than 90 days after the certificate if filed)</w:t>
            </w:r>
          </w:p>
        </w:tc>
      </w:tr>
      <w:tr>
        <w:trPr>
          <w:trHeight w:val="418"/>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8.</w:t>
            </w:r>
          </w:p>
        </w:tc>
        <w:tc>
          <w:tcPr>
            <w:tcW w:w="1880" w:type="dxa"/>
            <w:vAlign w:val="bottom"/>
          </w:tcPr>
          <w:p>
            <w:pPr>
              <w:ind w:left="260"/>
              <w:spacing w:after="0"/>
              <w:rPr>
                <w:sz w:val="20"/>
                <w:szCs w:val="20"/>
                <w:color w:val="auto"/>
              </w:rPr>
            </w:pPr>
            <w:r>
              <w:rPr>
                <w:rFonts w:ascii="Arial" w:cs="Arial" w:eastAsia="Arial" w:hAnsi="Arial"/>
                <w:sz w:val="18"/>
                <w:szCs w:val="18"/>
                <w:color w:val="auto"/>
              </w:rPr>
              <w:t>Officer Signature:</w:t>
            </w:r>
          </w:p>
        </w:tc>
        <w:tc>
          <w:tcPr>
            <w:tcW w:w="1620" w:type="dxa"/>
            <w:vAlign w:val="bottom"/>
          </w:tcPr>
          <w:p>
            <w:pPr>
              <w:spacing w:after="0"/>
              <w:rPr>
                <w:sz w:val="20"/>
                <w:szCs w:val="20"/>
                <w:color w:val="auto"/>
              </w:rPr>
            </w:pPr>
            <w:r>
              <w:rPr>
                <w:rFonts w:ascii="Arial" w:cs="Arial" w:eastAsia="Arial" w:hAnsi="Arial"/>
                <w:sz w:val="18"/>
                <w:szCs w:val="18"/>
                <w:color w:val="auto"/>
              </w:rPr>
              <w:t>X /s/ Denis Corin</w:t>
            </w:r>
          </w:p>
        </w:tc>
        <w:tc>
          <w:tcPr>
            <w:tcW w:w="7520" w:type="dxa"/>
            <w:vAlign w:val="bottom"/>
            <w:gridSpan w:val="2"/>
          </w:tcPr>
          <w:p>
            <w:pPr>
              <w:jc w:val="right"/>
              <w:ind w:right="4000"/>
              <w:spacing w:after="0"/>
              <w:rPr>
                <w:sz w:val="20"/>
                <w:szCs w:val="20"/>
                <w:color w:val="auto"/>
              </w:rPr>
            </w:pPr>
            <w:r>
              <w:rPr>
                <w:rFonts w:ascii="Arial" w:cs="Arial" w:eastAsia="Arial" w:hAnsi="Arial"/>
                <w:sz w:val="18"/>
                <w:szCs w:val="18"/>
                <w:color w:val="auto"/>
              </w:rPr>
              <w:t>President &amp; CEO</w:t>
            </w:r>
          </w:p>
        </w:tc>
      </w:tr>
      <w:tr>
        <w:trPr>
          <w:trHeight w:val="224"/>
        </w:trPr>
        <w:tc>
          <w:tcPr>
            <w:tcW w:w="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2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Signature</w:t>
            </w:r>
          </w:p>
        </w:tc>
        <w:tc>
          <w:tcPr>
            <w:tcW w:w="2260" w:type="dxa"/>
            <w:vAlign w:val="bottom"/>
            <w:tcBorders>
              <w:top w:val="single" w:sz="8" w:color="auto"/>
            </w:tcBorders>
          </w:tcPr>
          <w:p>
            <w:pPr>
              <w:spacing w:after="0"/>
              <w:rPr>
                <w:sz w:val="19"/>
                <w:szCs w:val="19"/>
                <w:color w:val="auto"/>
              </w:rPr>
            </w:pPr>
          </w:p>
        </w:tc>
        <w:tc>
          <w:tcPr>
            <w:tcW w:w="5260" w:type="dxa"/>
            <w:vAlign w:val="bottom"/>
          </w:tcPr>
          <w:p>
            <w:pPr>
              <w:spacing w:after="0"/>
              <w:rPr>
                <w:sz w:val="19"/>
                <w:szCs w:val="19"/>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IMPORTANT: </w:t>
      </w:r>
      <w:r>
        <w:rPr>
          <w:rFonts w:ascii="Arial" w:cs="Arial" w:eastAsia="Arial" w:hAnsi="Arial"/>
          <w:sz w:val="18"/>
          <w:szCs w:val="18"/>
          <w:color w:val="auto"/>
        </w:rPr>
        <w:t>Failure to include any of the above information and submit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9" w:name="page60"/>
    <w:bookmarkEnd w:id="59"/>
    <w:tbl>
      <w:tblPr>
        <w:tblLayout w:type="fixed"/>
        <w:tblInd w:w="10" w:type="dxa"/>
        <w:tblCellMar>
          <w:top w:w="0" w:type="dxa"/>
          <w:left w:w="0" w:type="dxa"/>
          <w:bottom w:w="0" w:type="dxa"/>
          <w:right w:w="0" w:type="dxa"/>
        </w:tblCellMar>
      </w:tblPr>
      <w:tr>
        <w:trPr>
          <w:trHeight w:val="197"/>
        </w:trPr>
        <w:tc>
          <w:tcPr>
            <w:tcW w:w="1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Filed in the office of Ross</w:t>
            </w:r>
          </w:p>
        </w:tc>
        <w:tc>
          <w:tcPr>
            <w:tcW w:w="22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Document Number</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Miller Secretary of State</w:t>
            </w:r>
          </w:p>
        </w:tc>
        <w:tc>
          <w:tcPr>
            <w:tcW w:w="22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20090099715-12</w:t>
            </w: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State of Nevada</w:t>
            </w:r>
          </w:p>
        </w:tc>
        <w:tc>
          <w:tcPr>
            <w:tcW w:w="22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Filing Date and Time</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spacing w:after="0"/>
              <w:rPr>
                <w:sz w:val="15"/>
                <w:szCs w:val="15"/>
                <w:color w:val="auto"/>
              </w:rPr>
            </w:pPr>
          </w:p>
        </w:tc>
        <w:tc>
          <w:tcPr>
            <w:tcW w:w="22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02/03/2009 4:34 PM</w:t>
            </w:r>
          </w:p>
        </w:tc>
        <w:tc>
          <w:tcPr>
            <w:tcW w:w="0" w:type="dxa"/>
            <w:vAlign w:val="bottom"/>
          </w:tcPr>
          <w:p>
            <w:pPr>
              <w:spacing w:after="0"/>
              <w:rPr>
                <w:sz w:val="1"/>
                <w:szCs w:val="1"/>
                <w:color w:val="auto"/>
              </w:rPr>
            </w:pPr>
          </w:p>
        </w:tc>
      </w:tr>
      <w:tr>
        <w:trPr>
          <w:trHeight w:val="39"/>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to Articles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Nevada Profit Corporations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NRS 78.385 and 78.390 – After Issuance of Stock)</w:t>
      </w:r>
    </w:p>
    <w:p>
      <w:pPr>
        <w:spacing w:after="0" w:line="211"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Name of corporation:</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TAPIMMUNE INC.</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articles have been amended as follows: (provide article numbers, if available)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authorized shares with a par value of $0.001 per share is 500,000,000 common shares and 5,000,000 preferred shares.</w:t>
      </w:r>
    </w:p>
    <w:p>
      <w:pPr>
        <w:spacing w:after="0" w:line="225" w:lineRule="exact"/>
        <w:rPr>
          <w:sz w:val="20"/>
          <w:szCs w:val="20"/>
          <w:color w:val="auto"/>
        </w:rPr>
      </w:pPr>
    </w:p>
    <w:p>
      <w:pPr>
        <w:jc w:val="both"/>
        <w:ind w:left="660" w:hanging="652"/>
        <w:spacing w:after="0" w:line="269"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vote by which the stockholders holding shares in the corporation entitling them to exercise a least a majority of the voting power, or such greater proportion of the voting power as may be required in the case of a vote by classes or series, or as may be required by the provisions of the articles of incorporation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have voted in favor of the amendment is: </w:t>
      </w:r>
      <w:r>
        <w:rPr>
          <w:rFonts w:ascii="Arial" w:cs="Arial" w:eastAsia="Arial" w:hAnsi="Arial"/>
          <w:sz w:val="18"/>
          <w:szCs w:val="18"/>
          <w:u w:val="single" w:color="auto"/>
          <w:color w:val="auto"/>
        </w:rPr>
        <w:t>50.33%.</w:t>
      </w:r>
    </w:p>
    <w:p>
      <w:pPr>
        <w:spacing w:after="0" w:line="54"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Effective date of filing: (optional)</w:t>
      </w:r>
    </w:p>
    <w:p>
      <w:pPr>
        <w:spacing w:after="0" w:line="3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(must not be later than 90 days after the certificate if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-130175</wp:posOffset>
            </wp:positionV>
            <wp:extent cx="43649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5"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Signature: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 /s/ Denis Corin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9024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1902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180975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2" w:lineRule="exact"/>
        <w:rPr>
          <w:sz w:val="20"/>
          <w:szCs w:val="20"/>
          <w:color w:val="auto"/>
        </w:rPr>
      </w:pPr>
    </w:p>
    <w:p>
      <w:pPr>
        <w:ind w:right="60" w:firstLine="8"/>
        <w:spacing w:after="0" w:line="223" w:lineRule="auto"/>
        <w:tabs>
          <w:tab w:leader="none" w:pos="120" w:val="left"/>
        </w:tabs>
        <w:numPr>
          <w:ilvl w:val="0"/>
          <w:numId w:val="52"/>
        </w:numPr>
        <w:rPr>
          <w:rFonts w:ascii="Arial" w:cs="Arial" w:eastAsia="Arial" w:hAnsi="Arial"/>
          <w:sz w:val="28"/>
          <w:szCs w:val="28"/>
          <w:color w:val="auto"/>
          <w:vertAlign w:val="superscript"/>
        </w:rPr>
      </w:pPr>
      <w:r>
        <w:rPr>
          <w:rFonts w:ascii="Arial" w:cs="Arial" w:eastAsia="Arial" w:hAnsi="Arial"/>
          <w:sz w:val="17"/>
          <w:szCs w:val="17"/>
          <w:color w:val="auto"/>
        </w:rPr>
        <w:t>If any proposed amendment would alter or change any preference or any relative or other right given to any class or series of outstanding shares, then the amendment must be approved by the vote, in addition to the affirmative vote otherwise required, of the holders of shares representing a majority of the voting power of each class or series affected by the amendment regardless to limitations or restrictions on the voting power thereof.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IMPORTANT: </w:t>
      </w:r>
      <w:r>
        <w:rPr>
          <w:rFonts w:ascii="Arial" w:cs="Arial" w:eastAsia="Arial" w:hAnsi="Arial"/>
          <w:sz w:val="18"/>
          <w:szCs w:val="18"/>
          <w:color w:val="auto"/>
        </w:rPr>
        <w:t>Failure to include any of the above information and submit with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0" w:name="page61"/>
    <w:bookmarkEnd w:id="60"/>
    <w:tbl>
      <w:tblPr>
        <w:tblLayout w:type="fixed"/>
        <w:tblInd w:w="10" w:type="dxa"/>
        <w:tblCellMar>
          <w:top w:w="0" w:type="dxa"/>
          <w:left w:w="0" w:type="dxa"/>
          <w:bottom w:w="0" w:type="dxa"/>
          <w:right w:w="0" w:type="dxa"/>
        </w:tblCellMar>
      </w:tblPr>
      <w:tr>
        <w:trPr>
          <w:trHeight w:val="197"/>
        </w:trPr>
        <w:tc>
          <w:tcPr>
            <w:tcW w:w="1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Filed in the office of Ross</w:t>
            </w:r>
          </w:p>
        </w:tc>
        <w:tc>
          <w:tcPr>
            <w:tcW w:w="22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Document Number</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Miller Secretary of State</w:t>
            </w:r>
          </w:p>
        </w:tc>
        <w:tc>
          <w:tcPr>
            <w:tcW w:w="22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20090531049-23</w:t>
            </w: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State of Nevada</w:t>
            </w:r>
          </w:p>
        </w:tc>
        <w:tc>
          <w:tcPr>
            <w:tcW w:w="22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Filing Date and Time</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spacing w:after="0"/>
              <w:rPr>
                <w:sz w:val="15"/>
                <w:szCs w:val="15"/>
                <w:color w:val="auto"/>
              </w:rPr>
            </w:pPr>
          </w:p>
        </w:tc>
        <w:tc>
          <w:tcPr>
            <w:tcW w:w="22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07/07/2009 10:45 AM</w:t>
            </w:r>
          </w:p>
        </w:tc>
        <w:tc>
          <w:tcPr>
            <w:tcW w:w="0" w:type="dxa"/>
            <w:vAlign w:val="bottom"/>
          </w:tcPr>
          <w:p>
            <w:pPr>
              <w:spacing w:after="0"/>
              <w:rPr>
                <w:sz w:val="1"/>
                <w:szCs w:val="1"/>
                <w:color w:val="auto"/>
              </w:rPr>
            </w:pPr>
          </w:p>
        </w:tc>
      </w:tr>
      <w:tr>
        <w:trPr>
          <w:trHeight w:val="39"/>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to Articles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Nevada Profit Corporations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NRS 78.385 and 78.390 – After Issuance of Stock)</w:t>
      </w:r>
    </w:p>
    <w:p>
      <w:pPr>
        <w:spacing w:after="0" w:line="211" w:lineRule="exact"/>
        <w:rPr>
          <w:sz w:val="20"/>
          <w:szCs w:val="20"/>
          <w:color w:val="auto"/>
        </w:rPr>
      </w:pPr>
    </w:p>
    <w:p>
      <w:pPr>
        <w:ind w:left="660" w:right="9220" w:hanging="652"/>
        <w:spacing w:after="0" w:line="563"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Name of corporation: TapImmune Inc.</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articles have been amended as follows: (provide article numbers, if available)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authorized shares with a par value of $0.001 per share is 50,000,000 common shares and 5,000,000 preferred shares.</w:t>
      </w:r>
    </w:p>
    <w:p>
      <w:pPr>
        <w:spacing w:after="0" w:line="225" w:lineRule="exact"/>
        <w:rPr>
          <w:sz w:val="20"/>
          <w:szCs w:val="20"/>
          <w:color w:val="auto"/>
        </w:rPr>
      </w:pPr>
    </w:p>
    <w:p>
      <w:pPr>
        <w:jc w:val="both"/>
        <w:ind w:left="660" w:hanging="652"/>
        <w:spacing w:after="0" w:line="269"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vote by which the stockholders holding shares in the corporation entitling them to exercise a least a majority of the voting power, or such greater proportion of the voting power as may be required in the case of a vote by classes or series, or as may be required by the provisions of the articles of incorporation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have voted in favor of the amendment is: Not applicable per NRS 78.207</w:t>
      </w:r>
    </w:p>
    <w:p>
      <w:pPr>
        <w:spacing w:after="0" w:line="54" w:lineRule="exact"/>
        <w:rPr>
          <w:sz w:val="20"/>
          <w:szCs w:val="20"/>
          <w:color w:val="auto"/>
        </w:rPr>
      </w:pPr>
    </w:p>
    <w:p>
      <w:pPr>
        <w:spacing w:after="0"/>
        <w:tabs>
          <w:tab w:leader="none" w:pos="640" w:val="left"/>
          <w:tab w:leader="none" w:pos="76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Effective date of filing: (optional)</w:t>
      </w:r>
      <w:r>
        <w:rPr>
          <w:sz w:val="20"/>
          <w:szCs w:val="20"/>
          <w:color w:val="auto"/>
        </w:rPr>
        <w:tab/>
      </w:r>
      <w:r>
        <w:rPr>
          <w:rFonts w:ascii="Arial" w:cs="Arial" w:eastAsia="Arial" w:hAnsi="Arial"/>
          <w:sz w:val="16"/>
          <w:szCs w:val="16"/>
          <w:color w:val="auto"/>
        </w:rPr>
        <w:t>7/10/09</w:t>
      </w:r>
    </w:p>
    <w:p>
      <w:pPr>
        <w:spacing w:after="0" w:line="3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(must not be later than 90 days after the certificate if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-130175</wp:posOffset>
            </wp:positionV>
            <wp:extent cx="43649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5"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Signature: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 /s/ Denis Corin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Officer Denis Corin,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9024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1902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18097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2" w:lineRule="exact"/>
        <w:rPr>
          <w:sz w:val="20"/>
          <w:szCs w:val="20"/>
          <w:color w:val="auto"/>
        </w:rPr>
      </w:pPr>
    </w:p>
    <w:p>
      <w:pPr>
        <w:ind w:right="60" w:firstLine="8"/>
        <w:spacing w:after="0" w:line="223" w:lineRule="auto"/>
        <w:tabs>
          <w:tab w:leader="none" w:pos="120" w:val="left"/>
        </w:tabs>
        <w:numPr>
          <w:ilvl w:val="0"/>
          <w:numId w:val="56"/>
        </w:numPr>
        <w:rPr>
          <w:rFonts w:ascii="Arial" w:cs="Arial" w:eastAsia="Arial" w:hAnsi="Arial"/>
          <w:sz w:val="28"/>
          <w:szCs w:val="28"/>
          <w:color w:val="auto"/>
          <w:vertAlign w:val="superscript"/>
        </w:rPr>
      </w:pPr>
      <w:r>
        <w:rPr>
          <w:rFonts w:ascii="Arial" w:cs="Arial" w:eastAsia="Arial" w:hAnsi="Arial"/>
          <w:sz w:val="17"/>
          <w:szCs w:val="17"/>
          <w:color w:val="auto"/>
        </w:rPr>
        <w:t>If any proposed amendment would alter or change any preference or any relative or other right given to any class or series of outstanding shares, then the amendment must be approved by the vote, in addition to the affirmative vote otherwise required, of the holders of shares representing a majority of the voting power of each class or series affected by the amendment regardless to limitations or restrictions on the voting power thereof.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IMPORTANT: </w:t>
      </w:r>
      <w:r>
        <w:rPr>
          <w:rFonts w:ascii="Arial" w:cs="Arial" w:eastAsia="Arial" w:hAnsi="Arial"/>
          <w:sz w:val="18"/>
          <w:szCs w:val="18"/>
          <w:color w:val="auto"/>
        </w:rPr>
        <w:t>Failure to include any of the above information and submit with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1" w:name="page62"/>
    <w:bookmarkEnd w:id="61"/>
    <w:tbl>
      <w:tblPr>
        <w:tblLayout w:type="fixed"/>
        <w:tblInd w:w="10" w:type="dxa"/>
        <w:tblCellMar>
          <w:top w:w="0" w:type="dxa"/>
          <w:left w:w="0" w:type="dxa"/>
          <w:bottom w:w="0" w:type="dxa"/>
          <w:right w:w="0" w:type="dxa"/>
        </w:tblCellMar>
      </w:tblPr>
      <w:tr>
        <w:trPr>
          <w:trHeight w:val="197"/>
        </w:trPr>
        <w:tc>
          <w:tcPr>
            <w:tcW w:w="1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Filed in the office of Ross</w:t>
            </w:r>
          </w:p>
        </w:tc>
        <w:tc>
          <w:tcPr>
            <w:tcW w:w="22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Document Number</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Miller Secretary of State</w:t>
            </w:r>
          </w:p>
        </w:tc>
        <w:tc>
          <w:tcPr>
            <w:tcW w:w="22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20090531051-66</w:t>
            </w: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State of Nevada</w:t>
            </w:r>
          </w:p>
        </w:tc>
        <w:tc>
          <w:tcPr>
            <w:tcW w:w="22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Filing Date and Time</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spacing w:after="0"/>
              <w:rPr>
                <w:sz w:val="15"/>
                <w:szCs w:val="15"/>
                <w:color w:val="auto"/>
              </w:rPr>
            </w:pPr>
          </w:p>
        </w:tc>
        <w:tc>
          <w:tcPr>
            <w:tcW w:w="22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07/07/2009 10:45 AM</w:t>
            </w:r>
          </w:p>
        </w:tc>
        <w:tc>
          <w:tcPr>
            <w:tcW w:w="0" w:type="dxa"/>
            <w:vAlign w:val="bottom"/>
          </w:tcPr>
          <w:p>
            <w:pPr>
              <w:spacing w:after="0"/>
              <w:rPr>
                <w:sz w:val="1"/>
                <w:szCs w:val="1"/>
                <w:color w:val="auto"/>
              </w:rPr>
            </w:pPr>
          </w:p>
        </w:tc>
      </w:tr>
      <w:tr>
        <w:trPr>
          <w:trHeight w:val="39"/>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Change filed Pursuant to NRS 78.209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Nevada Profit Corporations</w:t>
      </w:r>
    </w:p>
    <w:p>
      <w:pPr>
        <w:spacing w:after="0" w:line="211" w:lineRule="exact"/>
        <w:rPr>
          <w:sz w:val="20"/>
          <w:szCs w:val="20"/>
          <w:color w:val="auto"/>
        </w:rPr>
      </w:pPr>
    </w:p>
    <w:p>
      <w:pPr>
        <w:ind w:left="660" w:right="9220" w:hanging="652"/>
        <w:spacing w:after="0" w:line="563"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Name of corporation. TapImmune Inc.</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board of directors have adopted a resolution pursuant to NRS 78.209 and have obtained any required approval of the stockholders.</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current number of authorized shares and the par value, if any, of each class or series, if any, of shares before the change.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500,000,000 common shares, par value $0.001, and 5,000,000 preferred shares, par value $0.001.</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authorized shares and the par value, if any, of each class or series, if any, of shares after the change: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50,000,000 common shares, par value $0.001, and 5,000,000 preferred shares, par value $0.001.</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shares of each affected class or series, if any, to be issued after the change in exchange for each issued share of the same class or series:</w:t>
      </w:r>
    </w:p>
    <w:p>
      <w:pPr>
        <w:spacing w:after="0" w:line="170" w:lineRule="exact"/>
        <w:rPr>
          <w:rFonts w:ascii="Arial" w:cs="Arial" w:eastAsia="Arial" w:hAnsi="Arial"/>
          <w:sz w:val="18"/>
          <w:szCs w:val="18"/>
          <w:color w:val="auto"/>
        </w:rPr>
      </w:pPr>
    </w:p>
    <w:p>
      <w:pPr>
        <w:ind w:left="660" w:right="240"/>
        <w:spacing w:after="0" w:line="277" w:lineRule="auto"/>
        <w:rPr>
          <w:rFonts w:ascii="Arial" w:cs="Arial" w:eastAsia="Arial" w:hAnsi="Arial"/>
          <w:sz w:val="18"/>
          <w:szCs w:val="18"/>
          <w:color w:val="auto"/>
        </w:rPr>
      </w:pPr>
      <w:r>
        <w:rPr>
          <w:rFonts w:ascii="Arial" w:cs="Arial" w:eastAsia="Arial" w:hAnsi="Arial"/>
          <w:sz w:val="18"/>
          <w:szCs w:val="18"/>
          <w:color w:val="auto"/>
        </w:rPr>
        <w:t>This certificate is to enact a reverse stock split whereby every 10 common shares currently outstanding shall be exchanged for one common share. The preferred shares shall not be affected by this certificate.</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provisions, if any, for the issuance of fractional shares, or for the payment of money or the issuance of scrip to stockholders otherwise entitled to a fraction of a share and the percentage of outstanding shares affected thereby:</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Any fractional common share that would exist as a result of the reverse stock split shall be rounded up to the nearest whole share.</w:t>
      </w:r>
    </w:p>
    <w:p>
      <w:pPr>
        <w:spacing w:after="0" w:line="225" w:lineRule="exact"/>
        <w:rPr>
          <w:sz w:val="20"/>
          <w:szCs w:val="20"/>
          <w:color w:val="auto"/>
        </w:rPr>
      </w:pPr>
    </w:p>
    <w:p>
      <w:pPr>
        <w:spacing w:after="0"/>
        <w:tabs>
          <w:tab w:leader="none" w:pos="640" w:val="left"/>
          <w:tab w:leader="none" w:pos="748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Effective date of filing: (optional)</w:t>
      </w:r>
      <w:r>
        <w:rPr>
          <w:sz w:val="20"/>
          <w:szCs w:val="20"/>
          <w:color w:val="auto"/>
        </w:rPr>
        <w:tab/>
      </w:r>
      <w:r>
        <w:rPr>
          <w:rFonts w:ascii="Arial" w:cs="Arial" w:eastAsia="Arial" w:hAnsi="Arial"/>
          <w:sz w:val="16"/>
          <w:szCs w:val="16"/>
          <w:color w:val="auto"/>
        </w:rPr>
        <w:t>July 10, 2009</w:t>
      </w:r>
    </w:p>
    <w:p>
      <w:pPr>
        <w:spacing w:after="0" w:line="3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(must not be later than 90 days after the certificate if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-130175</wp:posOffset>
            </wp:positionV>
            <wp:extent cx="43649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5"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Signature: (required)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X /s/ Denis Corin</w:t>
            </w:r>
          </w:p>
        </w:tc>
        <w:tc>
          <w:tcPr>
            <w:tcW w:w="2340" w:type="dxa"/>
            <w:vAlign w:val="bottom"/>
          </w:tcPr>
          <w:p>
            <w:pPr>
              <w:ind w:left="640"/>
              <w:spacing w:after="0"/>
              <w:rPr>
                <w:sz w:val="20"/>
                <w:szCs w:val="20"/>
                <w:color w:val="auto"/>
              </w:rPr>
            </w:pPr>
            <w:r>
              <w:rPr>
                <w:rFonts w:ascii="Arial" w:cs="Arial" w:eastAsia="Arial" w:hAnsi="Arial"/>
                <w:sz w:val="18"/>
                <w:szCs w:val="18"/>
                <w:color w:val="auto"/>
                <w:w w:val="92"/>
              </w:rPr>
              <w:t>Title: President &amp; CEO</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Signature of Officer</w:t>
            </w:r>
          </w:p>
        </w:tc>
        <w:tc>
          <w:tcPr>
            <w:tcW w:w="2340" w:type="dxa"/>
            <w:vAlign w:val="bottom"/>
          </w:tcPr>
          <w:p>
            <w:pPr>
              <w:spacing w:after="0"/>
              <w:rPr>
                <w:sz w:val="19"/>
                <w:szCs w:val="19"/>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w:t>
      </w:r>
      <w:r>
        <w:rPr>
          <w:rFonts w:ascii="Arial" w:cs="Arial" w:eastAsia="Arial" w:hAnsi="Arial"/>
          <w:sz w:val="18"/>
          <w:szCs w:val="18"/>
          <w:color w:val="auto"/>
        </w:rPr>
        <w:t>: Failure to include any of the above information and submit with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2" w:name="page63"/>
    <w:bookmarkEnd w:id="62"/>
    <w:tbl>
      <w:tblPr>
        <w:tblLayout w:type="fixed"/>
        <w:tblInd w:w="10" w:type="dxa"/>
        <w:tblCellMar>
          <w:top w:w="0" w:type="dxa"/>
          <w:left w:w="0" w:type="dxa"/>
          <w:bottom w:w="0" w:type="dxa"/>
          <w:right w:w="0" w:type="dxa"/>
        </w:tblCellMar>
      </w:tblPr>
      <w:tr>
        <w:trPr>
          <w:trHeight w:val="197"/>
        </w:trPr>
        <w:tc>
          <w:tcPr>
            <w:tcW w:w="1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Filed in the office of Ross</w:t>
            </w:r>
          </w:p>
        </w:tc>
        <w:tc>
          <w:tcPr>
            <w:tcW w:w="22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Document Number</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Miller Secretary of State</w:t>
            </w:r>
          </w:p>
        </w:tc>
        <w:tc>
          <w:tcPr>
            <w:tcW w:w="22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20100108961-38</w:t>
            </w: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State of Nevada</w:t>
            </w:r>
          </w:p>
        </w:tc>
        <w:tc>
          <w:tcPr>
            <w:tcW w:w="22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Filing Date and Time</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spacing w:after="0"/>
              <w:rPr>
                <w:sz w:val="15"/>
                <w:szCs w:val="15"/>
                <w:color w:val="auto"/>
              </w:rPr>
            </w:pPr>
          </w:p>
        </w:tc>
        <w:tc>
          <w:tcPr>
            <w:tcW w:w="22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02/22/2010 12:15 PM</w:t>
            </w:r>
          </w:p>
        </w:tc>
        <w:tc>
          <w:tcPr>
            <w:tcW w:w="0" w:type="dxa"/>
            <w:vAlign w:val="bottom"/>
          </w:tcPr>
          <w:p>
            <w:pPr>
              <w:spacing w:after="0"/>
              <w:rPr>
                <w:sz w:val="1"/>
                <w:szCs w:val="1"/>
                <w:color w:val="auto"/>
              </w:rPr>
            </w:pPr>
          </w:p>
        </w:tc>
      </w:tr>
      <w:tr>
        <w:trPr>
          <w:trHeight w:val="39"/>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to Articles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Nevada Profit Corporations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NRS 78.385 and 78.390 – After Issuance of Stock)</w:t>
      </w:r>
    </w:p>
    <w:p>
      <w:pPr>
        <w:spacing w:after="0" w:line="211" w:lineRule="exact"/>
        <w:rPr>
          <w:sz w:val="20"/>
          <w:szCs w:val="20"/>
          <w:color w:val="auto"/>
        </w:rPr>
      </w:pPr>
    </w:p>
    <w:p>
      <w:pPr>
        <w:ind w:left="660" w:right="9220" w:hanging="652"/>
        <w:spacing w:after="0" w:line="563"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Name of corporation: TapImmune Inc.</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articles have been amended as follows: (provide article numbers, if available)</w:t>
      </w:r>
    </w:p>
    <w:p>
      <w:pPr>
        <w:spacing w:after="0" w:line="225"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authorized shares with a par value of $0.001 per share is 150,000,000 common shares and 5,000,000 preferred shares.</w:t>
      </w:r>
    </w:p>
    <w:p>
      <w:pPr>
        <w:spacing w:after="0" w:line="225" w:lineRule="exact"/>
        <w:rPr>
          <w:sz w:val="20"/>
          <w:szCs w:val="20"/>
          <w:color w:val="auto"/>
        </w:rPr>
      </w:pPr>
    </w:p>
    <w:p>
      <w:pPr>
        <w:jc w:val="both"/>
        <w:ind w:left="660" w:hanging="652"/>
        <w:spacing w:after="0" w:line="269"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vote by which the stockholders holding shares in the corporation entitling them to exercise at least a majority of the voting power, or such greater proportion of the voting power as may be required in the case of a vote by classes or series, or as may be required by the provisions of the articles of incorporation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have voted in favor of the amendment is: 55.6%.</w:t>
      </w:r>
    </w:p>
    <w:p>
      <w:pPr>
        <w:spacing w:after="0" w:line="54" w:lineRule="exact"/>
        <w:rPr>
          <w:sz w:val="20"/>
          <w:szCs w:val="20"/>
          <w:color w:val="auto"/>
        </w:rPr>
      </w:pPr>
    </w:p>
    <w:p>
      <w:pPr>
        <w:spacing w:after="0"/>
        <w:tabs>
          <w:tab w:leader="none" w:pos="640" w:val="left"/>
          <w:tab w:leader="none" w:pos="76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Effective date of filing: (optional)</w:t>
      </w:r>
      <w:r>
        <w:rPr>
          <w:sz w:val="20"/>
          <w:szCs w:val="20"/>
          <w:color w:val="auto"/>
        </w:rPr>
        <w:tab/>
      </w:r>
      <w:r>
        <w:rPr>
          <w:rFonts w:ascii="Arial" w:cs="Arial" w:eastAsia="Arial" w:hAnsi="Arial"/>
          <w:sz w:val="16"/>
          <w:szCs w:val="16"/>
          <w:color w:val="auto"/>
        </w:rPr>
        <w:t>2/22/10</w:t>
      </w:r>
    </w:p>
    <w:p>
      <w:pPr>
        <w:spacing w:after="0" w:line="3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(must not be later than 90 days after the certificate if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-130175</wp:posOffset>
            </wp:positionV>
            <wp:extent cx="43649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5"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Signature: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 /s/ Denis Corin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9024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1902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180975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2" w:lineRule="exact"/>
        <w:rPr>
          <w:sz w:val="20"/>
          <w:szCs w:val="20"/>
          <w:color w:val="auto"/>
        </w:rPr>
      </w:pPr>
    </w:p>
    <w:p>
      <w:pPr>
        <w:ind w:right="60" w:firstLine="8"/>
        <w:spacing w:after="0" w:line="223" w:lineRule="auto"/>
        <w:tabs>
          <w:tab w:leader="none" w:pos="120" w:val="left"/>
        </w:tabs>
        <w:numPr>
          <w:ilvl w:val="0"/>
          <w:numId w:val="63"/>
        </w:numPr>
        <w:rPr>
          <w:rFonts w:ascii="Arial" w:cs="Arial" w:eastAsia="Arial" w:hAnsi="Arial"/>
          <w:sz w:val="28"/>
          <w:szCs w:val="28"/>
          <w:color w:val="auto"/>
          <w:vertAlign w:val="superscript"/>
        </w:rPr>
      </w:pPr>
      <w:r>
        <w:rPr>
          <w:rFonts w:ascii="Arial" w:cs="Arial" w:eastAsia="Arial" w:hAnsi="Arial"/>
          <w:sz w:val="17"/>
          <w:szCs w:val="17"/>
          <w:color w:val="auto"/>
        </w:rPr>
        <w:t>If any proposed amendment would alter or change any preference or any relative or other right given to any class or series of outstanding shares, then the amendment must be approved by the vote, in addition to the affirmative vote otherwise required, of the holders of shares representing a majority of the voting power of each class or series affected by the amendment regardless to limitations or restrictions on the voting power thereof.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IMPORTANT: </w:t>
      </w:r>
      <w:r>
        <w:rPr>
          <w:rFonts w:ascii="Arial" w:cs="Arial" w:eastAsia="Arial" w:hAnsi="Arial"/>
          <w:sz w:val="18"/>
          <w:szCs w:val="18"/>
          <w:color w:val="auto"/>
        </w:rPr>
        <w:t>Failure to include any of the above information and submit with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3" w:name="page64"/>
    <w:bookmarkEnd w:id="63"/>
    <w:tbl>
      <w:tblPr>
        <w:tblLayout w:type="fixed"/>
        <w:tblInd w:w="10" w:type="dxa"/>
        <w:tblCellMar>
          <w:top w:w="0" w:type="dxa"/>
          <w:left w:w="0" w:type="dxa"/>
          <w:bottom w:w="0" w:type="dxa"/>
          <w:right w:w="0" w:type="dxa"/>
        </w:tblCellMar>
      </w:tblPr>
      <w:tr>
        <w:trPr>
          <w:trHeight w:val="197"/>
        </w:trPr>
        <w:tc>
          <w:tcPr>
            <w:tcW w:w="1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Filed in the office of Ross</w:t>
            </w:r>
          </w:p>
        </w:tc>
        <w:tc>
          <w:tcPr>
            <w:tcW w:w="22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Document Number</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Miller Secretary of State</w:t>
            </w:r>
          </w:p>
        </w:tc>
        <w:tc>
          <w:tcPr>
            <w:tcW w:w="22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20140007739-73</w:t>
            </w: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State of Nevada</w:t>
            </w:r>
          </w:p>
        </w:tc>
        <w:tc>
          <w:tcPr>
            <w:tcW w:w="22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Filing Date and Time</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spacing w:after="0"/>
              <w:rPr>
                <w:sz w:val="15"/>
                <w:szCs w:val="15"/>
                <w:color w:val="auto"/>
              </w:rPr>
            </w:pPr>
          </w:p>
        </w:tc>
        <w:tc>
          <w:tcPr>
            <w:tcW w:w="22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01/06/2014 1:55 PM</w:t>
            </w:r>
          </w:p>
        </w:tc>
        <w:tc>
          <w:tcPr>
            <w:tcW w:w="0" w:type="dxa"/>
            <w:vAlign w:val="bottom"/>
          </w:tcPr>
          <w:p>
            <w:pPr>
              <w:spacing w:after="0"/>
              <w:rPr>
                <w:sz w:val="1"/>
                <w:szCs w:val="1"/>
                <w:color w:val="auto"/>
              </w:rPr>
            </w:pPr>
          </w:p>
        </w:tc>
      </w:tr>
      <w:tr>
        <w:trPr>
          <w:trHeight w:val="39"/>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Nevada Profit Corporations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NRS 78.1955)</w:t>
      </w:r>
    </w:p>
    <w:p>
      <w:pPr>
        <w:spacing w:after="0" w:line="211" w:lineRule="exact"/>
        <w:rPr>
          <w:sz w:val="20"/>
          <w:szCs w:val="20"/>
          <w:color w:val="auto"/>
        </w:rPr>
      </w:pPr>
    </w:p>
    <w:p>
      <w:pPr>
        <w:ind w:left="660" w:right="9220" w:hanging="652"/>
        <w:spacing w:after="0" w:line="563"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Name of corporation: TapImmune Inc.</w:t>
      </w:r>
    </w:p>
    <w:p>
      <w:pPr>
        <w:spacing w:after="0" w:line="1" w:lineRule="exact"/>
        <w:rPr>
          <w:rFonts w:ascii="Arial" w:cs="Arial" w:eastAsia="Arial" w:hAnsi="Arial"/>
          <w:sz w:val="16"/>
          <w:szCs w:val="16"/>
          <w:color w:val="auto"/>
        </w:rPr>
      </w:pPr>
    </w:p>
    <w:p>
      <w:pPr>
        <w:ind w:left="660" w:hanging="652"/>
        <w:spacing w:after="0" w:line="30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By resolution of the board of directors pursuant to a provision in the articles of incorporation this certificate establishes the following regarding the voting powers, designations, preferences, limitations, restrictions and relative rights of the following class or series of stock.</w:t>
      </w:r>
    </w:p>
    <w:p>
      <w:pPr>
        <w:spacing w:after="0" w:line="14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Please see the attached Certificate of Designation for the Series A Convertible Preferred Stock.</w:t>
      </w:r>
    </w:p>
    <w:p>
      <w:pPr>
        <w:spacing w:after="0" w:line="225" w:lineRule="exact"/>
        <w:rPr>
          <w:rFonts w:ascii="Arial" w:cs="Arial" w:eastAsia="Arial" w:hAnsi="Arial"/>
          <w:sz w:val="17"/>
          <w:szCs w:val="17"/>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Effective date of filing: (optional)</w:t>
      </w:r>
    </w:p>
    <w:p>
      <w:pPr>
        <w:spacing w:after="0" w:line="3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(must not be later than 90 days after the certificate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-130175</wp:posOffset>
            </wp:positionV>
            <wp:extent cx="43649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5"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Signature: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 /s/ Glynn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Filing Fee: $175.00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w:t>
      </w:r>
      <w:r>
        <w:rPr>
          <w:rFonts w:ascii="Arial" w:cs="Arial" w:eastAsia="Arial" w:hAnsi="Arial"/>
          <w:sz w:val="18"/>
          <w:szCs w:val="18"/>
          <w:color w:val="auto"/>
        </w:rPr>
        <w:t>: Failure to include any of the above information and submit with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b w:val="1"/>
          <w:bCs w:val="1"/>
          <w:color w:val="auto"/>
        </w:rPr>
        <w:t>CERTIFICATE OF DESIGNATION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78.1955 of the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Nevada Revised Statutes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_____________________________________</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SERIES A CONVERTIBLE PREFERRED STOCK</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behalf of TapImmune Inc., a Nevada corporation (the “Corporation”), the undersigned hereby certifies that the following resolution has been duly adopted by the board of directors of the Corporation (the “Board”):</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RESOLVED, that, pursuant to the authority granted to and vested in the Board by the provisions of the articles of incorporation of the Corporation (the “Articles of Incorporation”), there hereby is created, out of the five million (5,000,000) shares of preferred stock, par value $0.001 per share, of the Corporation authorized by Article III of the Articles of Incorporation (“Preferred Stock”), a series of Series A Convertible Preferred Stock, consisting of one million, two hundred and fifty thousand (1,250,000) shares, which series shall have the following powers, designations, preferences and relative participating, optional and other special rights, and the following qualifications, limitations and restrictions: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specific powers, preferences, rights and limitations of the Series A Convertible Preferred Stock are as follows:</w:t>
      </w:r>
    </w:p>
    <w:p>
      <w:pPr>
        <w:spacing w:after="0" w:line="225" w:lineRule="exact"/>
        <w:rPr>
          <w:sz w:val="20"/>
          <w:szCs w:val="20"/>
          <w:color w:val="auto"/>
        </w:rPr>
      </w:pPr>
    </w:p>
    <w:p>
      <w:pPr>
        <w:jc w:val="both"/>
        <w:ind w:right="20" w:firstLine="8"/>
        <w:spacing w:after="0" w:line="259" w:lineRule="auto"/>
        <w:tabs>
          <w:tab w:leader="none" w:pos="6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Designation; Rank. This series of Preferred Stock shall be designated and known as "Series A Convertible Preferred Stock." The number of shares constituting the Series A Convertible Preferred Stock shall be one million, two hundred and fifty thousand (1,250,000) shares. Except as otherwise provided herein, the Series A Convertible Preferred Stock shall, with respect to rights on liquidation, winding up and dissolution, rank pari passu to the common stock, par value $0.001 per share (the "Common Stock").</w:t>
      </w:r>
    </w:p>
    <w:p>
      <w:pPr>
        <w:spacing w:after="0" w:line="186" w:lineRule="exact"/>
        <w:rPr>
          <w:rFonts w:ascii="Arial" w:cs="Arial" w:eastAsia="Arial" w:hAnsi="Arial"/>
          <w:sz w:val="18"/>
          <w:szCs w:val="18"/>
          <w:color w:val="auto"/>
        </w:rPr>
      </w:pPr>
    </w:p>
    <w:p>
      <w:pPr>
        <w:ind w:right="20" w:firstLine="8"/>
        <w:spacing w:after="0" w:line="277" w:lineRule="auto"/>
        <w:tabs>
          <w:tab w:leader="none" w:pos="6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Dividends. The holders of shares of Series A Convertible Preferred Stock have no dividend rights except as may be declared by the Board in its sole and absolute discretion, out of funds legally available for that purpose.</w:t>
      </w:r>
    </w:p>
    <w:p>
      <w:pPr>
        <w:spacing w:after="0" w:line="170" w:lineRule="exact"/>
        <w:rPr>
          <w:rFonts w:ascii="Arial" w:cs="Arial" w:eastAsia="Arial" w:hAnsi="Arial"/>
          <w:sz w:val="18"/>
          <w:szCs w:val="18"/>
          <w:color w:val="auto"/>
        </w:rPr>
      </w:pPr>
    </w:p>
    <w:p>
      <w:pPr>
        <w:ind w:left="680" w:hanging="672"/>
        <w:spacing w:after="0"/>
        <w:tabs>
          <w:tab w:leader="none" w:pos="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Liquidation Preference.</w:t>
      </w:r>
    </w:p>
    <w:p>
      <w:pPr>
        <w:spacing w:after="0" w:line="225" w:lineRule="exact"/>
        <w:rPr>
          <w:rFonts w:ascii="Arial" w:cs="Arial" w:eastAsia="Arial" w:hAnsi="Arial"/>
          <w:sz w:val="18"/>
          <w:szCs w:val="18"/>
          <w:color w:val="auto"/>
        </w:rPr>
      </w:pPr>
    </w:p>
    <w:p>
      <w:pPr>
        <w:ind w:right="360" w:firstLine="656"/>
        <w:spacing w:after="0" w:line="264" w:lineRule="auto"/>
        <w:tabs>
          <w:tab w:leader="none" w:pos="1298"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event of any dissolution, liquidation or winding up of the Corporation (a "Liquidation"), whether voluntary or involuntary, the Holders of Series A Convertible Preferred Stock shall be entitled to participate in any distribution out of the assets of the Corporation on a five (5) to one basis per share with the holders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65" w:name="page66"/>
    <w:bookmarkEnd w:id="65"/>
    <w:p>
      <w:pPr>
        <w:ind w:left="-8" w:right="20" w:firstLine="656"/>
        <w:spacing w:after="0" w:line="259" w:lineRule="auto"/>
        <w:tabs>
          <w:tab w:leader="none" w:pos="129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sale of all or substantially all of the Corporation's assets or an acquisition of the Corporation by another entity by means of any transaction or series of related transactions (including, without limitation, a reorganization, consolidated or merger) that results in the transfer of fifty percent (50%) or more of the outstanding voting power of the Corporation (a "Change in Control Event"), shall not be deemed to be a Liquidation for purposes of this Designation.</w:t>
      </w:r>
    </w:p>
    <w:p>
      <w:pPr>
        <w:spacing w:after="0" w:line="186" w:lineRule="exact"/>
        <w:rPr>
          <w:rFonts w:ascii="Arial" w:cs="Arial" w:eastAsia="Arial" w:hAnsi="Arial"/>
          <w:sz w:val="18"/>
          <w:szCs w:val="18"/>
          <w:color w:val="auto"/>
        </w:rPr>
      </w:pPr>
    </w:p>
    <w:p>
      <w:pPr>
        <w:ind w:left="-8" w:right="100" w:firstLine="8"/>
        <w:spacing w:after="0" w:line="257" w:lineRule="auto"/>
        <w:tabs>
          <w:tab w:leader="none" w:pos="6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Voting. The holders of Series A Convertible Preferred Stock shall have the right to cast one thousand (1,000) votes for each share held of record on all matters submitted to a vote of holders of the Corporation's common stock, including the election of directors, and all other matters as required by law. There is no right to cumulative voting in the election of directors. The holders of Series A Preferred Stock shall vote together with all other classes and series of common stock of the Corporation as a single class on all actions to be taken by the common stock holders of the Corporation except to the extent that voting as a separate class or series is required by law.</w:t>
      </w:r>
    </w:p>
    <w:p>
      <w:pPr>
        <w:spacing w:after="0" w:line="188" w:lineRule="exact"/>
        <w:rPr>
          <w:rFonts w:ascii="Arial" w:cs="Arial" w:eastAsia="Arial" w:hAnsi="Arial"/>
          <w:sz w:val="18"/>
          <w:szCs w:val="18"/>
          <w:color w:val="auto"/>
        </w:rPr>
      </w:pPr>
    </w:p>
    <w:p>
      <w:pPr>
        <w:ind w:left="672" w:hanging="672"/>
        <w:spacing w:after="0"/>
        <w:tabs>
          <w:tab w:leader="none" w:pos="672"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Conversion of Series A Convertible Preferred Stock.</w:t>
      </w:r>
    </w:p>
    <w:p>
      <w:pPr>
        <w:spacing w:after="0" w:line="225" w:lineRule="exact"/>
        <w:rPr>
          <w:rFonts w:ascii="Arial" w:cs="Arial" w:eastAsia="Arial" w:hAnsi="Arial"/>
          <w:sz w:val="18"/>
          <w:szCs w:val="18"/>
          <w:color w:val="auto"/>
        </w:rPr>
      </w:pPr>
    </w:p>
    <w:p>
      <w:pPr>
        <w:ind w:left="-8" w:right="220" w:firstLine="656"/>
        <w:spacing w:after="0" w:line="302" w:lineRule="auto"/>
        <w:tabs>
          <w:tab w:leader="none" w:pos="128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Automatic conversion. Upon the occurrence of a reverse stock split of the Corporation's common stock in which every 100 shares of the Corporation's common stock outstanding at the time that this certificate of designation was filed with the Secretary of State of Nevada is exchanged for one share of the Corporation's common stock, each share of Series A Convertible Preferred Stock shall automatically convert into five (5) shares of the Corporation's common stock (such number to be after the aforementioned 100:1 reverse stock split), subject to adjustment as provided in this Section.</w:t>
      </w:r>
    </w:p>
    <w:p>
      <w:pPr>
        <w:spacing w:after="0" w:line="154" w:lineRule="exact"/>
        <w:rPr>
          <w:rFonts w:ascii="Arial" w:cs="Arial" w:eastAsia="Arial" w:hAnsi="Arial"/>
          <w:sz w:val="16"/>
          <w:szCs w:val="16"/>
          <w:color w:val="auto"/>
        </w:rPr>
      </w:pPr>
    </w:p>
    <w:p>
      <w:pPr>
        <w:ind w:left="-8" w:right="20" w:firstLine="656"/>
        <w:spacing w:after="0" w:line="259"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No Fractional Shares. No fractional shares of Common Stock or scrip shall be issued upon conversion of shares of Series A Convertible Preferred Stock. In lieu of any fractional share to which the Holder would otherwise be entitled, the Corporation shall issue a number of shares to such Holder rounded up to the nearest whole number of shares of Common Stock. No cash shall be paid to any Holder of Series A Convertible Preferred Stock by the Corporation upon conversion of Series A Preferred Convertible Stock by such Holder.</w:t>
      </w:r>
    </w:p>
    <w:p>
      <w:pPr>
        <w:spacing w:after="0" w:line="186" w:lineRule="exact"/>
        <w:rPr>
          <w:rFonts w:ascii="Arial" w:cs="Arial" w:eastAsia="Arial" w:hAnsi="Arial"/>
          <w:sz w:val="18"/>
          <w:szCs w:val="18"/>
          <w:color w:val="auto"/>
        </w:rPr>
      </w:pPr>
    </w:p>
    <w:p>
      <w:pPr>
        <w:ind w:left="-8" w:firstLine="656"/>
        <w:spacing w:after="0" w:line="255" w:lineRule="auto"/>
        <w:tabs>
          <w:tab w:leader="none" w:pos="1290" w:val="left"/>
        </w:tabs>
        <w:numPr>
          <w:ilvl w:val="1"/>
          <w:numId w:val="68"/>
        </w:numPr>
        <w:rPr>
          <w:rFonts w:ascii="Arial" w:cs="Arial" w:eastAsia="Arial" w:hAnsi="Arial"/>
          <w:sz w:val="18"/>
          <w:szCs w:val="18"/>
          <w:color w:val="auto"/>
        </w:rPr>
      </w:pPr>
      <w:r>
        <w:rPr>
          <w:rFonts w:ascii="Arial" w:cs="Arial" w:eastAsia="Arial" w:hAnsi="Arial"/>
          <w:sz w:val="18"/>
          <w:szCs w:val="18"/>
          <w:color w:val="auto"/>
        </w:rPr>
        <w:t>Stock Dividends, Splits, Combinations and Reclassifications. If the Corporation shall (i) declare a dividend or other distribution payable in securities, (ii) split its outstanding shares of Common Stock into a larger number, (iii) combine its outstanding shares of Common Stock into a smaller number (other than the 100:1 reverse stock split referred to in Section 5(a)), or (iv) increase or decrease the number of shares of its capital stock in a reclassification of the Common Stock including any such reclassification in connection with a merger, consolidation or other business combination in which the Corporation is the continuing entity (any such corporate event, an "Event"), then in each instance the Conversion Rate shall be adjusted such that the number of shares issued upon conversion of one share of Series A Convertible Preferred Stock will equal the number of shares of Common Stock that would otherwise be issued but for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421005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66" w:name="page67"/>
    <w:bookmarkEnd w:id="66"/>
    <w:p>
      <w:pPr>
        <w:ind w:firstLine="656"/>
        <w:spacing w:after="0" w:line="277" w:lineRule="auto"/>
        <w:tabs>
          <w:tab w:leader="none" w:pos="12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Issue Taxes. The converting Holder shall pay any and all issue and other non-income taxes that may be payable in respect of any issue or delivery of shares of Common Stock on conversion of shares of Series A Convertible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signed this Designation this December 24,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Glynn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1125" w:right="519" w:bottom="1440" w:gutter="0" w:footer="0" w:header="0"/>
        </w:sectPr>
      </w:pPr>
    </w:p>
    <w:bookmarkStart w:id="67" w:name="page68"/>
    <w:bookmarkEnd w:id="67"/>
    <w:tbl>
      <w:tblPr>
        <w:tblLayout w:type="fixed"/>
        <w:tblInd w:w="10" w:type="dxa"/>
        <w:tblCellMar>
          <w:top w:w="0" w:type="dxa"/>
          <w:left w:w="0" w:type="dxa"/>
          <w:bottom w:w="0" w:type="dxa"/>
          <w:right w:w="0" w:type="dxa"/>
        </w:tblCellMar>
      </w:tblPr>
      <w:tr>
        <w:trPr>
          <w:trHeight w:val="197"/>
        </w:trPr>
        <w:tc>
          <w:tcPr>
            <w:tcW w:w="1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Filed in the office of</w:t>
            </w:r>
          </w:p>
        </w:tc>
        <w:tc>
          <w:tcPr>
            <w:tcW w:w="22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Document Number</w:t>
            </w:r>
          </w:p>
        </w:tc>
      </w:tr>
      <w:tr>
        <w:trPr>
          <w:trHeight w:val="149"/>
        </w:trPr>
        <w:tc>
          <w:tcPr>
            <w:tcW w:w="174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Ross Miller</w:t>
            </w:r>
          </w:p>
        </w:tc>
        <w:tc>
          <w:tcPr>
            <w:tcW w:w="22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20140117253-36</w:t>
            </w:r>
          </w:p>
        </w:tc>
      </w:tr>
      <w:tr>
        <w:trPr>
          <w:trHeight w:val="149"/>
        </w:trPr>
        <w:tc>
          <w:tcPr>
            <w:tcW w:w="174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Secretary of State</w:t>
            </w:r>
          </w:p>
        </w:tc>
        <w:tc>
          <w:tcPr>
            <w:tcW w:w="2280" w:type="dxa"/>
            <w:vAlign w:val="bottom"/>
            <w:tcBorders>
              <w:right w:val="single" w:sz="8" w:color="auto"/>
            </w:tcBorders>
          </w:tcPr>
          <w:p>
            <w:pPr>
              <w:spacing w:after="0"/>
              <w:rPr>
                <w:sz w:val="12"/>
                <w:szCs w:val="12"/>
                <w:color w:val="auto"/>
              </w:rPr>
            </w:pPr>
          </w:p>
        </w:tc>
      </w:tr>
      <w:tr>
        <w:trPr>
          <w:trHeight w:val="149"/>
        </w:trPr>
        <w:tc>
          <w:tcPr>
            <w:tcW w:w="174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State of Nevada</w:t>
            </w:r>
          </w:p>
        </w:tc>
        <w:tc>
          <w:tcPr>
            <w:tcW w:w="22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Filing Date and Time</w:t>
            </w:r>
          </w:p>
        </w:tc>
      </w:tr>
      <w:tr>
        <w:trPr>
          <w:trHeight w:val="182"/>
        </w:trPr>
        <w:tc>
          <w:tcPr>
            <w:tcW w:w="1740" w:type="dxa"/>
            <w:vAlign w:val="bottom"/>
            <w:tcBorders>
              <w:left w:val="single" w:sz="8" w:color="auto"/>
              <w:right w:val="single" w:sz="8" w:color="auto"/>
            </w:tcBorders>
          </w:tcPr>
          <w:p>
            <w:pPr>
              <w:spacing w:after="0"/>
              <w:rPr>
                <w:sz w:val="15"/>
                <w:szCs w:val="15"/>
                <w:color w:val="auto"/>
              </w:rPr>
            </w:pPr>
          </w:p>
        </w:tc>
        <w:tc>
          <w:tcPr>
            <w:tcW w:w="22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02/18/2014 2:33 PM</w:t>
            </w:r>
          </w:p>
        </w:tc>
      </w:tr>
      <w:tr>
        <w:trPr>
          <w:trHeight w:val="39"/>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Change filed Pursuant to NRS 78.209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Nevada Profit Corporations</w:t>
      </w:r>
    </w:p>
    <w:p>
      <w:pPr>
        <w:spacing w:after="0" w:line="211" w:lineRule="exact"/>
        <w:rPr>
          <w:sz w:val="20"/>
          <w:szCs w:val="20"/>
          <w:color w:val="auto"/>
        </w:rPr>
      </w:pPr>
    </w:p>
    <w:p>
      <w:pPr>
        <w:ind w:left="660" w:right="9220" w:hanging="652"/>
        <w:spacing w:after="0" w:line="563"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Name of corporation: TapImmune Inc.</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board of directors have adopted a resolution pursuant to NRS 78.209 and have obtained any required approval of the stockholders.</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current number of authorized shares and the par value, if any, of each class or series, if any, of shares before the change:</w:t>
      </w:r>
    </w:p>
    <w:p>
      <w:pPr>
        <w:spacing w:after="0" w:line="225" w:lineRule="exact"/>
        <w:rPr>
          <w:rFonts w:ascii="Arial" w:cs="Arial" w:eastAsia="Arial" w:hAnsi="Arial"/>
          <w:sz w:val="18"/>
          <w:szCs w:val="18"/>
          <w:color w:val="auto"/>
        </w:rPr>
      </w:pPr>
    </w:p>
    <w:p>
      <w:pPr>
        <w:ind w:left="660" w:right="20"/>
        <w:spacing w:after="0" w:line="277" w:lineRule="auto"/>
        <w:rPr>
          <w:rFonts w:ascii="Arial" w:cs="Arial" w:eastAsia="Arial" w:hAnsi="Arial"/>
          <w:sz w:val="18"/>
          <w:szCs w:val="18"/>
          <w:color w:val="auto"/>
        </w:rPr>
      </w:pPr>
      <w:r>
        <w:rPr>
          <w:rFonts w:ascii="Arial" w:cs="Arial" w:eastAsia="Arial" w:hAnsi="Arial"/>
          <w:sz w:val="18"/>
          <w:szCs w:val="18"/>
          <w:color w:val="auto"/>
        </w:rPr>
        <w:t>150,000,000 common shares, par value $0.001, and 5,000,000 preferred shares, par value $0.001 (of which 1,250,000 have been designated as Series A and 1,500,000 as Series B).</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number of authorized shares and the par value, if any, of each class or series, if any, of shares after the change: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150,000,000 common shares, par value $0.001, and 5,000,000 preferred shares, par value $0.001.</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number of shares of each affected class or series, if any, to be issued after the change in exchange for each issued share of the same class or series: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One share to be issued for each 100 shares of common stock outstanding.</w:t>
      </w:r>
    </w:p>
    <w:p>
      <w:pPr>
        <w:spacing w:after="0" w:line="22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provisions, if any, for the issuance of fractional shares, or for the payment of money or the issuance of scrip to stockholders otherwise entitled to a fraction of a share and the percentage of outstanding shares affected thereby: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fractional shares shall be rounded up to the nearest whole share.</w:t>
      </w:r>
    </w:p>
    <w:p>
      <w:pPr>
        <w:spacing w:after="0" w:line="225" w:lineRule="exact"/>
        <w:rPr>
          <w:sz w:val="20"/>
          <w:szCs w:val="20"/>
          <w:color w:val="auto"/>
        </w:rPr>
      </w:pPr>
    </w:p>
    <w:p>
      <w:pPr>
        <w:spacing w:after="0"/>
        <w:tabs>
          <w:tab w:leader="none" w:pos="640" w:val="left"/>
          <w:tab w:leader="none" w:pos="4520" w:val="left"/>
          <w:tab w:leader="none" w:pos="62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Effective date and time of filing (optional):</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Time:</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(must not be later than 90 days after the certificate is filed)</w:t>
      </w:r>
    </w:p>
    <w:p>
      <w:pPr>
        <w:spacing w:after="0" w:line="211"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Signature: (required)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X  /s/ Glynn Wilson</w:t>
            </w:r>
          </w:p>
        </w:tc>
        <w:tc>
          <w:tcPr>
            <w:tcW w:w="4320" w:type="dxa"/>
            <w:vAlign w:val="bottom"/>
            <w:vMerge w:val="restart"/>
          </w:tcPr>
          <w:p>
            <w:pPr>
              <w:ind w:left="3220"/>
              <w:spacing w:after="0"/>
              <w:rPr>
                <w:sz w:val="20"/>
                <w:szCs w:val="20"/>
                <w:color w:val="auto"/>
              </w:rPr>
            </w:pPr>
            <w:r>
              <w:rPr>
                <w:rFonts w:ascii="Arial" w:cs="Arial" w:eastAsia="Arial" w:hAnsi="Arial"/>
                <w:sz w:val="18"/>
                <w:szCs w:val="18"/>
                <w:color w:val="auto"/>
                <w:w w:val="89"/>
              </w:rPr>
              <w:t>Title: President</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Signature of Officer</w:t>
            </w:r>
          </w:p>
        </w:tc>
        <w:tc>
          <w:tcPr>
            <w:tcW w:w="4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90703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IMPORTANT: </w:t>
      </w:r>
      <w:r>
        <w:rPr>
          <w:rFonts w:ascii="Arial" w:cs="Arial" w:eastAsia="Arial" w:hAnsi="Arial"/>
          <w:sz w:val="18"/>
          <w:szCs w:val="18"/>
          <w:color w:val="auto"/>
        </w:rPr>
        <w:t>Failure to include any of the above information and submit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8" w:name="page69"/>
    <w:bookmarkEnd w:id="68"/>
    <w:tbl>
      <w:tblPr>
        <w:tblLayout w:type="fixed"/>
        <w:tblInd w:w="10" w:type="dxa"/>
        <w:tblCellMar>
          <w:top w:w="0" w:type="dxa"/>
          <w:left w:w="0" w:type="dxa"/>
          <w:bottom w:w="0" w:type="dxa"/>
          <w:right w:w="0" w:type="dxa"/>
        </w:tblCellMar>
      </w:tblPr>
      <w:tr>
        <w:trPr>
          <w:trHeight w:val="197"/>
        </w:trPr>
        <w:tc>
          <w:tcPr>
            <w:tcW w:w="1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Filed in the office of Ross</w:t>
            </w:r>
          </w:p>
        </w:tc>
        <w:tc>
          <w:tcPr>
            <w:tcW w:w="22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Document Number</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Miller Secretary of State</w:t>
            </w:r>
          </w:p>
        </w:tc>
        <w:tc>
          <w:tcPr>
            <w:tcW w:w="22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20140118418-40</w:t>
            </w: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State of Nevada</w:t>
            </w:r>
          </w:p>
        </w:tc>
        <w:tc>
          <w:tcPr>
            <w:tcW w:w="22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Filing Date and Time</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spacing w:after="0"/>
              <w:rPr>
                <w:sz w:val="15"/>
                <w:szCs w:val="15"/>
                <w:color w:val="auto"/>
              </w:rPr>
            </w:pPr>
          </w:p>
        </w:tc>
        <w:tc>
          <w:tcPr>
            <w:tcW w:w="22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02/18/2014 4:22 PM</w:t>
            </w:r>
          </w:p>
        </w:tc>
        <w:tc>
          <w:tcPr>
            <w:tcW w:w="0" w:type="dxa"/>
            <w:vAlign w:val="bottom"/>
          </w:tcPr>
          <w:p>
            <w:pPr>
              <w:spacing w:after="0"/>
              <w:rPr>
                <w:sz w:val="1"/>
                <w:szCs w:val="1"/>
                <w:color w:val="auto"/>
              </w:rPr>
            </w:pPr>
          </w:p>
        </w:tc>
      </w:tr>
      <w:tr>
        <w:trPr>
          <w:trHeight w:val="39"/>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Nevada Profit Corporations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NRS 78.1955)</w:t>
      </w:r>
    </w:p>
    <w:p>
      <w:pPr>
        <w:spacing w:after="0" w:line="211" w:lineRule="exact"/>
        <w:rPr>
          <w:sz w:val="20"/>
          <w:szCs w:val="20"/>
          <w:color w:val="auto"/>
        </w:rPr>
      </w:pPr>
    </w:p>
    <w:p>
      <w:pPr>
        <w:ind w:left="660" w:right="9220" w:hanging="652"/>
        <w:spacing w:after="0" w:line="563"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Name of corporation: TapImmune Inc.</w:t>
      </w:r>
    </w:p>
    <w:p>
      <w:pPr>
        <w:spacing w:after="0" w:line="1" w:lineRule="exact"/>
        <w:rPr>
          <w:rFonts w:ascii="Arial" w:cs="Arial" w:eastAsia="Arial" w:hAnsi="Arial"/>
          <w:sz w:val="16"/>
          <w:szCs w:val="16"/>
          <w:color w:val="auto"/>
        </w:rPr>
      </w:pPr>
    </w:p>
    <w:p>
      <w:pPr>
        <w:ind w:left="660" w:hanging="652"/>
        <w:spacing w:after="0" w:line="308"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By resolution of the board of directors pursuant to a provision in the articles of incorporation this certificate establishes the following regarding the voting powers, designations, preferences, limitations, restrictions and relative rights of the following class or series of stock.</w:t>
      </w:r>
    </w:p>
    <w:p>
      <w:pPr>
        <w:spacing w:after="0" w:line="14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Please see the attached Certificate of Designation for the Series B Convertible Preferred Stock.</w:t>
      </w:r>
    </w:p>
    <w:p>
      <w:pPr>
        <w:spacing w:after="0" w:line="225" w:lineRule="exact"/>
        <w:rPr>
          <w:rFonts w:ascii="Arial" w:cs="Arial" w:eastAsia="Arial" w:hAnsi="Arial"/>
          <w:sz w:val="17"/>
          <w:szCs w:val="17"/>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Effective date of filing: (optional)</w:t>
      </w:r>
    </w:p>
    <w:p>
      <w:pPr>
        <w:spacing w:after="0" w:line="3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(must not be later than 90 days after the certificate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-130175</wp:posOffset>
            </wp:positionV>
            <wp:extent cx="43649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5"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Signature: (required)</w:t>
      </w:r>
    </w:p>
    <w:p>
      <w:pPr>
        <w:spacing w:after="0" w:line="225" w:lineRule="exact"/>
        <w:rPr>
          <w:sz w:val="20"/>
          <w:szCs w:val="20"/>
          <w:color w:val="auto"/>
        </w:rPr>
      </w:pPr>
    </w:p>
    <w:p>
      <w:pPr>
        <w:ind w:right="9840" w:firstLine="8"/>
        <w:spacing w:after="0" w:line="360" w:lineRule="auto"/>
        <w:tabs>
          <w:tab w:leader="none" w:pos="355" w:val="left"/>
        </w:tabs>
        <w:numPr>
          <w:ilvl w:val="0"/>
          <w:numId w:val="74"/>
        </w:numPr>
        <w:rPr>
          <w:rFonts w:ascii="Arial" w:cs="Arial" w:eastAsia="Arial" w:hAnsi="Arial"/>
          <w:sz w:val="16"/>
          <w:szCs w:val="16"/>
          <w:color w:val="auto"/>
        </w:rPr>
      </w:pPr>
      <w:r>
        <w:rPr>
          <w:rFonts w:ascii="Arial" w:cs="Arial" w:eastAsia="Arial" w:hAnsi="Arial"/>
          <w:sz w:val="16"/>
          <w:szCs w:val="16"/>
          <w:color w:val="auto"/>
        </w:rPr>
        <w:t>/s/ Glynn Wilson Signature of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28987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Filing Fee: $175.00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w:t>
      </w:r>
      <w:r>
        <w:rPr>
          <w:rFonts w:ascii="Arial" w:cs="Arial" w:eastAsia="Arial" w:hAnsi="Arial"/>
          <w:sz w:val="18"/>
          <w:szCs w:val="18"/>
          <w:color w:val="auto"/>
        </w:rPr>
        <w:t>: Failure to include any of the above information and submit with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CERTIFICATE OF DESIGNATION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78.1955 of the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Nevada Revised Statutes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154940</wp:posOffset>
            </wp:positionV>
            <wp:extent cx="289877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SERIES B CONVERTIBLE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resolution has been duly adopted by the board of directors of the Corporation (the "Board"):</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RESOLVED, that, pursuant to the authority granted to and vested in the Board by the provisions of the articles of incorporation of the Corporation (the "Articles of Incorporation"), there hereby is created, out of the five million (5,000,000) shares of preferred stock, par value $0.001 per share, of the Corporation authorized by Article III of the Articles of Incorporation ("Preferred Stock"), a series of Series B Convertible Preferred Stock, consisting of one million, five hundred thousand (1,500,000) shares, which series shall have the following powers, designations, preferences and relative participating, optional and other special rights, and the following qualifications, limitations and restrictions: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specific powers, preferences, rights and limitations of the Series B Convertible Preferred Stock are as follows:</w:t>
      </w:r>
    </w:p>
    <w:p>
      <w:pPr>
        <w:spacing w:after="0" w:line="225" w:lineRule="exact"/>
        <w:rPr>
          <w:sz w:val="20"/>
          <w:szCs w:val="20"/>
          <w:color w:val="auto"/>
        </w:rPr>
      </w:pPr>
    </w:p>
    <w:p>
      <w:pPr>
        <w:ind w:firstLine="8"/>
        <w:spacing w:after="0" w:line="279" w:lineRule="auto"/>
        <w:tabs>
          <w:tab w:leader="none" w:pos="675" w:val="left"/>
        </w:tabs>
        <w:numPr>
          <w:ilvl w:val="0"/>
          <w:numId w:val="75"/>
        </w:numPr>
        <w:rPr>
          <w:rFonts w:ascii="Arial" w:cs="Arial" w:eastAsia="Arial" w:hAnsi="Arial"/>
          <w:sz w:val="17"/>
          <w:szCs w:val="17"/>
          <w:color w:val="auto"/>
        </w:rPr>
      </w:pPr>
      <w:r>
        <w:rPr>
          <w:rFonts w:ascii="Arial" w:cs="Arial" w:eastAsia="Arial" w:hAnsi="Arial"/>
          <w:sz w:val="17"/>
          <w:szCs w:val="17"/>
          <w:color w:val="auto"/>
        </w:rPr>
        <w:t>Designation; Rank. This series of Preferred Stock shall be designated and known as "Series B Convertible Preferred Stock." The number of shares constituting the Series B Convertible Preferred Stock shall be one million, five hundred thousand (1,500,000) shares. Except as otherwise provided herein, the Series B Convertible Preferred Stock shall, with respect to rights on liquidation, winding up and dissolution, rank pari passu to (i) the common stock, par value $0.001 per share (the "Common Stock") and (ii) the Series A Convertible Preferred Stock, par value $0.001 per share.</w:t>
      </w:r>
    </w:p>
    <w:p>
      <w:pPr>
        <w:spacing w:after="0" w:line="171" w:lineRule="exact"/>
        <w:rPr>
          <w:rFonts w:ascii="Arial" w:cs="Arial" w:eastAsia="Arial" w:hAnsi="Arial"/>
          <w:sz w:val="17"/>
          <w:szCs w:val="17"/>
          <w:color w:val="auto"/>
        </w:rPr>
      </w:pPr>
    </w:p>
    <w:p>
      <w:pPr>
        <w:ind w:right="100" w:firstLine="8"/>
        <w:spacing w:after="0" w:line="277" w:lineRule="auto"/>
        <w:tabs>
          <w:tab w:leader="none" w:pos="6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Dividends. The holders of shares of Series B Convertible Preferred Stock have no dividend rights except as may be declared by the Board in its sole and absolute discretion, out of funds legally available for that purpose.</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Liquidation Preference.</w:t>
      </w:r>
    </w:p>
    <w:p>
      <w:pPr>
        <w:spacing w:after="0" w:line="225" w:lineRule="exact"/>
        <w:rPr>
          <w:rFonts w:ascii="Arial" w:cs="Arial" w:eastAsia="Arial" w:hAnsi="Arial"/>
          <w:sz w:val="18"/>
          <w:szCs w:val="18"/>
          <w:color w:val="auto"/>
        </w:rPr>
      </w:pPr>
    </w:p>
    <w:p>
      <w:pPr>
        <w:ind w:firstLine="656"/>
        <w:spacing w:after="0" w:line="312" w:lineRule="auto"/>
        <w:tabs>
          <w:tab w:leader="none" w:pos="1253" w:val="left"/>
        </w:tabs>
        <w:numPr>
          <w:ilvl w:val="1"/>
          <w:numId w:val="75"/>
        </w:numPr>
        <w:rPr>
          <w:rFonts w:ascii="Arial" w:cs="Arial" w:eastAsia="Arial" w:hAnsi="Arial"/>
          <w:sz w:val="16"/>
          <w:szCs w:val="16"/>
          <w:color w:val="auto"/>
        </w:rPr>
      </w:pPr>
      <w:r>
        <w:rPr>
          <w:rFonts w:ascii="Arial" w:cs="Arial" w:eastAsia="Arial" w:hAnsi="Arial"/>
          <w:sz w:val="16"/>
          <w:szCs w:val="16"/>
          <w:color w:val="auto"/>
        </w:rPr>
        <w:t>In the event of any dissolution, liquidation or winding up of the Corporation (a "Liquidation"), whether voluntary or involuntary, the Holders of Series B Convertible Preferred Stock shall be entitled to participate in any distribution out of the assets of the Corporation on a seven (7) to one basis per share with the holders of the Common Stock and a one and four tenths (1.4) to one basis with the holders of the Series A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0" w:name="page71"/>
    <w:bookmarkEnd w:id="70"/>
    <w:p>
      <w:pPr>
        <w:ind w:left="-8" w:right="20" w:firstLine="656"/>
        <w:spacing w:after="0" w:line="259" w:lineRule="auto"/>
        <w:tabs>
          <w:tab w:leader="none" w:pos="1245"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sale of all or substantially all of the Corporation's assets or an acquisition of the Corporation by another entity by means of any transaction or series of related transactions (including, without limitation, a reorganization, consolidated or merger) that results in the transfer of fifty percent (50%) or more of the outstanding voting power of the Corporation (a "Change in Control Event"), shall not be deemed to be a Liquidation for purposes of this Designation.</w:t>
      </w:r>
    </w:p>
    <w:p>
      <w:pPr>
        <w:spacing w:after="0" w:line="186" w:lineRule="exact"/>
        <w:rPr>
          <w:rFonts w:ascii="Arial" w:cs="Arial" w:eastAsia="Arial" w:hAnsi="Arial"/>
          <w:sz w:val="18"/>
          <w:szCs w:val="18"/>
          <w:color w:val="auto"/>
        </w:rPr>
      </w:pPr>
    </w:p>
    <w:p>
      <w:pPr>
        <w:ind w:left="-8" w:right="40" w:firstLine="8"/>
        <w:spacing w:after="0" w:line="276" w:lineRule="auto"/>
        <w:tabs>
          <w:tab w:leader="none" w:pos="619" w:val="left"/>
        </w:tabs>
        <w:numPr>
          <w:ilvl w:val="0"/>
          <w:numId w:val="77"/>
        </w:numPr>
        <w:rPr>
          <w:rFonts w:ascii="Arial" w:cs="Arial" w:eastAsia="Arial" w:hAnsi="Arial"/>
          <w:sz w:val="17"/>
          <w:szCs w:val="17"/>
          <w:color w:val="auto"/>
        </w:rPr>
      </w:pPr>
      <w:r>
        <w:rPr>
          <w:rFonts w:ascii="Arial" w:cs="Arial" w:eastAsia="Arial" w:hAnsi="Arial"/>
          <w:sz w:val="17"/>
          <w:szCs w:val="17"/>
          <w:color w:val="auto"/>
        </w:rPr>
        <w:t>Voting. The holders of Series B Convertible Preferred Stock shall have the right to cast one thousand (1,000) votes for each share held of record on all matters submitted to a vote of holders of the Corporation's common stock, including the election of directors, and all other matters as required by law. This right is equal to that of the Series A Convertible Preferred Stock There is no right to cumulative voting in the election of directors. The holders of Series B Preferred Stock shall vote together with all other classes and series of common stock of the Corporation as a single class on all actions to be taken by the common stock holders of the Corporation except to the extent that voting as a separate class or series is required by law.</w:t>
      </w:r>
    </w:p>
    <w:p>
      <w:pPr>
        <w:spacing w:after="0" w:line="172" w:lineRule="exact"/>
        <w:rPr>
          <w:rFonts w:ascii="Arial" w:cs="Arial" w:eastAsia="Arial" w:hAnsi="Arial"/>
          <w:sz w:val="17"/>
          <w:szCs w:val="17"/>
          <w:color w:val="auto"/>
        </w:rPr>
      </w:pPr>
    </w:p>
    <w:p>
      <w:pPr>
        <w:ind w:left="632" w:hanging="632"/>
        <w:spacing w:after="0"/>
        <w:tabs>
          <w:tab w:leader="none" w:pos="632"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Conversion of Series B Convertible Preferred Stock.</w:t>
      </w:r>
    </w:p>
    <w:p>
      <w:pPr>
        <w:spacing w:after="0" w:line="225" w:lineRule="exact"/>
        <w:rPr>
          <w:rFonts w:ascii="Arial" w:cs="Arial" w:eastAsia="Arial" w:hAnsi="Arial"/>
          <w:sz w:val="18"/>
          <w:szCs w:val="18"/>
          <w:color w:val="auto"/>
        </w:rPr>
      </w:pPr>
    </w:p>
    <w:p>
      <w:pPr>
        <w:ind w:left="-8" w:right="220" w:firstLine="656"/>
        <w:spacing w:after="0" w:line="302" w:lineRule="auto"/>
        <w:tabs>
          <w:tab w:leader="none" w:pos="1235" w:val="left"/>
        </w:tabs>
        <w:numPr>
          <w:ilvl w:val="1"/>
          <w:numId w:val="77"/>
        </w:numPr>
        <w:rPr>
          <w:rFonts w:ascii="Arial" w:cs="Arial" w:eastAsia="Arial" w:hAnsi="Arial"/>
          <w:sz w:val="16"/>
          <w:szCs w:val="16"/>
          <w:color w:val="auto"/>
        </w:rPr>
      </w:pPr>
      <w:r>
        <w:rPr>
          <w:rFonts w:ascii="Arial" w:cs="Arial" w:eastAsia="Arial" w:hAnsi="Arial"/>
          <w:sz w:val="16"/>
          <w:szCs w:val="16"/>
          <w:color w:val="auto"/>
        </w:rPr>
        <w:t>Automatic conversion. Upon the occurrence of a reverse stock split of the Corporation's common stock in which every 100 shares of the Corporation's common stock outstanding at the time that this certificate of designation was filed with the Secretary of State of Nevada is exchanged for one share of the Corporation's common stock, each share of Series B Convertible Preferred Stock shall automatically convert into seven (7) shares of the Corporation's common stock (such number to be after the aforementioned 100:1 reverse stock split), subject to adjustment as provided in this Section.</w:t>
      </w:r>
    </w:p>
    <w:p>
      <w:pPr>
        <w:spacing w:after="0" w:line="154" w:lineRule="exact"/>
        <w:rPr>
          <w:rFonts w:ascii="Arial" w:cs="Arial" w:eastAsia="Arial" w:hAnsi="Arial"/>
          <w:sz w:val="16"/>
          <w:szCs w:val="16"/>
          <w:color w:val="auto"/>
        </w:rPr>
      </w:pPr>
    </w:p>
    <w:p>
      <w:pPr>
        <w:ind w:left="-8" w:right="20" w:firstLine="656"/>
        <w:spacing w:after="0" w:line="259" w:lineRule="auto"/>
        <w:tabs>
          <w:tab w:leader="none" w:pos="1255" w:val="left"/>
        </w:tabs>
        <w:numPr>
          <w:ilvl w:val="1"/>
          <w:numId w:val="77"/>
        </w:numPr>
        <w:rPr>
          <w:rFonts w:ascii="Arial" w:cs="Arial" w:eastAsia="Arial" w:hAnsi="Arial"/>
          <w:sz w:val="18"/>
          <w:szCs w:val="18"/>
          <w:color w:val="auto"/>
        </w:rPr>
      </w:pPr>
      <w:r>
        <w:rPr>
          <w:rFonts w:ascii="Arial" w:cs="Arial" w:eastAsia="Arial" w:hAnsi="Arial"/>
          <w:sz w:val="18"/>
          <w:szCs w:val="18"/>
          <w:color w:val="auto"/>
        </w:rPr>
        <w:t>No Fractional Shares. No fractional shares of Common Stock or scrip shall be issued upon conversion of shares of Series B Convertible Preferred Stock. In lieu of any fractional share to which the Holder would otherwise be entitled, the Corporation shall issue a number of shares to such Holder rounded up to the nearest whole number of shares of Common Stock. No cash shall be paid to any Holder of Series B Convertible Preferred Stock by the Corporation upon conversion of Series B Preferred Convertible Stock by such Holder.</w:t>
      </w:r>
    </w:p>
    <w:p>
      <w:pPr>
        <w:spacing w:after="0" w:line="186" w:lineRule="exact"/>
        <w:rPr>
          <w:rFonts w:ascii="Arial" w:cs="Arial" w:eastAsia="Arial" w:hAnsi="Arial"/>
          <w:sz w:val="18"/>
          <w:szCs w:val="18"/>
          <w:color w:val="auto"/>
        </w:rPr>
      </w:pPr>
    </w:p>
    <w:p>
      <w:pPr>
        <w:ind w:left="-8" w:firstLine="656"/>
        <w:spacing w:after="0" w:line="255" w:lineRule="auto"/>
        <w:tabs>
          <w:tab w:leader="none" w:pos="1245" w:val="left"/>
        </w:tabs>
        <w:numPr>
          <w:ilvl w:val="1"/>
          <w:numId w:val="77"/>
        </w:numPr>
        <w:rPr>
          <w:rFonts w:ascii="Arial" w:cs="Arial" w:eastAsia="Arial" w:hAnsi="Arial"/>
          <w:sz w:val="18"/>
          <w:szCs w:val="18"/>
          <w:color w:val="auto"/>
        </w:rPr>
      </w:pPr>
      <w:r>
        <w:rPr>
          <w:rFonts w:ascii="Arial" w:cs="Arial" w:eastAsia="Arial" w:hAnsi="Arial"/>
          <w:sz w:val="18"/>
          <w:szCs w:val="18"/>
          <w:color w:val="auto"/>
        </w:rPr>
        <w:t>Stock Dividends, Splits, Combinations and Reclassifications. If the Corporation shall (i) declare a dividend or other distribution payable in securities, (ii) split its outstanding shares of Common Stock into a larger number, (iii) combine its outstanding shares of Common Stock into a smaller number (other than the 100:1 reverse stock split referred to in Section 5(a)), or (iv) increase or decrease the number of shares of its capital stock in a reclassification of the Common Stock including any such reclassification in connection with a merger, consolidation or other business combination in which the Corporation is the continuing entity (any such corporate event, an "Event"), then in each instance the Conversion Rate shall be adjusted such that the number of shares issued upon conversion of one share of Series B Convertible Preferred Stock will equal the number of shares of Common Stock that would otherwise be issued but for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421005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71" w:name="page72"/>
    <w:bookmarkEnd w:id="71"/>
    <w:p>
      <w:pPr>
        <w:ind w:left="-656" w:firstLine="656"/>
        <w:spacing w:after="0" w:line="277" w:lineRule="auto"/>
        <w:tabs>
          <w:tab w:leader="none" w:pos="607" w:val="left"/>
        </w:tabs>
        <w:numPr>
          <w:ilvl w:val="0"/>
          <w:numId w:val="78"/>
        </w:numPr>
        <w:rPr>
          <w:rFonts w:ascii="Arial" w:cs="Arial" w:eastAsia="Arial" w:hAnsi="Arial"/>
          <w:sz w:val="18"/>
          <w:szCs w:val="18"/>
          <w:color w:val="auto"/>
        </w:rPr>
      </w:pPr>
      <w:r>
        <w:rPr>
          <w:rFonts w:ascii="Arial" w:cs="Arial" w:eastAsia="Arial" w:hAnsi="Arial"/>
          <w:sz w:val="18"/>
          <w:szCs w:val="18"/>
          <w:color w:val="auto"/>
        </w:rPr>
        <w:t>Issue Taxes. The converting Holder shall pay any and all issue and other non-income taxes that may be payable in respect of any issue or delivery of shares of Common Stock on conversion of shares of Series B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408940</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84"/>
          </w:cols>
          <w:pgMar w:left="896" w:top="909" w:right="519" w:bottom="1440" w:gutter="0" w:footer="0" w:header="0"/>
        </w:sectPr>
      </w:pPr>
    </w:p>
    <w:bookmarkStart w:id="72" w:name="page73"/>
    <w:bookmarkEnd w:id="72"/>
    <w:tbl>
      <w:tblPr>
        <w:tblLayout w:type="fixed"/>
        <w:tblInd w:w="10" w:type="dxa"/>
        <w:tblCellMar>
          <w:top w:w="0" w:type="dxa"/>
          <w:left w:w="0" w:type="dxa"/>
          <w:bottom w:w="0" w:type="dxa"/>
          <w:right w:w="0" w:type="dxa"/>
        </w:tblCellMar>
      </w:tblPr>
      <w:tr>
        <w:trPr>
          <w:trHeight w:val="197"/>
        </w:trPr>
        <w:tc>
          <w:tcPr>
            <w:tcW w:w="1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Filed in the office of Ross</w:t>
            </w:r>
          </w:p>
        </w:tc>
        <w:tc>
          <w:tcPr>
            <w:tcW w:w="22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Document Number</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Miller Secretary of State</w:t>
            </w:r>
          </w:p>
        </w:tc>
        <w:tc>
          <w:tcPr>
            <w:tcW w:w="22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20140123643-86</w:t>
            </w: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State of Nevada</w:t>
            </w:r>
          </w:p>
        </w:tc>
        <w:tc>
          <w:tcPr>
            <w:tcW w:w="22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Filing Date and Time</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spacing w:after="0"/>
              <w:rPr>
                <w:sz w:val="15"/>
                <w:szCs w:val="15"/>
                <w:color w:val="auto"/>
              </w:rPr>
            </w:pPr>
          </w:p>
        </w:tc>
        <w:tc>
          <w:tcPr>
            <w:tcW w:w="22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02/20/2014 1:03 PM</w:t>
            </w:r>
          </w:p>
        </w:tc>
        <w:tc>
          <w:tcPr>
            <w:tcW w:w="0" w:type="dxa"/>
            <w:vAlign w:val="bottom"/>
          </w:tcPr>
          <w:p>
            <w:pPr>
              <w:spacing w:after="0"/>
              <w:rPr>
                <w:sz w:val="1"/>
                <w:szCs w:val="1"/>
                <w:color w:val="auto"/>
              </w:rPr>
            </w:pPr>
          </w:p>
        </w:tc>
      </w:tr>
      <w:tr>
        <w:trPr>
          <w:trHeight w:val="39"/>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to Articles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Nevada Profit Corporations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NRS 78.385 and 78.390 – After Issuance of Stock)</w:t>
      </w:r>
    </w:p>
    <w:p>
      <w:pPr>
        <w:spacing w:after="0" w:line="211" w:lineRule="exact"/>
        <w:rPr>
          <w:sz w:val="20"/>
          <w:szCs w:val="20"/>
          <w:color w:val="auto"/>
        </w:rPr>
      </w:pPr>
    </w:p>
    <w:p>
      <w:pPr>
        <w:ind w:left="660" w:right="9220" w:hanging="652"/>
        <w:spacing w:after="0" w:line="563"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Name of corporation: TapImmune Inc.</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articles have been amended as follows: (provide article numbers, if available)</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number of authorized shares is 500,000,000 shares of common stock and 5,000,000 shares of preferred stock (the terms of which are to be determined at the sole discretion of the Board of Directors), each class with a par value of $0.001</w:t>
      </w:r>
    </w:p>
    <w:p>
      <w:pPr>
        <w:spacing w:after="0" w:line="170" w:lineRule="exact"/>
        <w:rPr>
          <w:sz w:val="20"/>
          <w:szCs w:val="20"/>
          <w:color w:val="auto"/>
        </w:rPr>
      </w:pPr>
    </w:p>
    <w:p>
      <w:pPr>
        <w:jc w:val="both"/>
        <w:ind w:left="660" w:hanging="652"/>
        <w:spacing w:after="0" w:line="269"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vote by which the stockholders holding shares in the corporation entitling them to exercise at least a majority of the voting power, or such greater proportion of the voting power as may be required in the case of a vote by classes or series, or as may be required by the provisions of the articles of incorporation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have voted in favor of the amendment is: 278,685,000 of 428,685,000 (65%)</w:t>
      </w:r>
    </w:p>
    <w:p>
      <w:pPr>
        <w:spacing w:after="0" w:line="54" w:lineRule="exact"/>
        <w:rPr>
          <w:sz w:val="20"/>
          <w:szCs w:val="20"/>
          <w:color w:val="auto"/>
        </w:rPr>
      </w:pPr>
    </w:p>
    <w:p>
      <w:pPr>
        <w:spacing w:after="0"/>
        <w:tabs>
          <w:tab w:leader="none" w:pos="640" w:val="left"/>
          <w:tab w:leader="none" w:pos="4520" w:val="left"/>
          <w:tab w:leader="none" w:pos="62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Effective date and time of filing: (optional)</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Time:</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(must not be later than 90 days after the certificate if filed)</w:t>
      </w:r>
    </w:p>
    <w:p>
      <w:pPr>
        <w:spacing w:after="0" w:line="211"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Signature: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 /s/ Glynn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18097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2" w:lineRule="exact"/>
        <w:rPr>
          <w:sz w:val="20"/>
          <w:szCs w:val="20"/>
          <w:color w:val="auto"/>
        </w:rPr>
      </w:pPr>
    </w:p>
    <w:p>
      <w:pPr>
        <w:ind w:right="60" w:firstLine="8"/>
        <w:spacing w:after="0" w:line="223" w:lineRule="auto"/>
        <w:tabs>
          <w:tab w:leader="none" w:pos="120" w:val="left"/>
        </w:tabs>
        <w:numPr>
          <w:ilvl w:val="0"/>
          <w:numId w:val="82"/>
        </w:numPr>
        <w:rPr>
          <w:rFonts w:ascii="Arial" w:cs="Arial" w:eastAsia="Arial" w:hAnsi="Arial"/>
          <w:sz w:val="28"/>
          <w:szCs w:val="28"/>
          <w:color w:val="auto"/>
          <w:vertAlign w:val="superscript"/>
        </w:rPr>
      </w:pPr>
      <w:r>
        <w:rPr>
          <w:rFonts w:ascii="Arial" w:cs="Arial" w:eastAsia="Arial" w:hAnsi="Arial"/>
          <w:sz w:val="17"/>
          <w:szCs w:val="17"/>
          <w:color w:val="auto"/>
        </w:rPr>
        <w:t>If any proposed amendment would alter or change any preference or any relative or other right given to any class or series of outstanding shares, then the amendment must be approved by the vote, in addition to the affirmative vote otherwise required, of the holders of shares representing a majority of the voting power of each class or series affected by the amendment regardless to limitations or restrictions on the voting power thereof.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IMPORTANT: </w:t>
      </w:r>
      <w:r>
        <w:rPr>
          <w:rFonts w:ascii="Arial" w:cs="Arial" w:eastAsia="Arial" w:hAnsi="Arial"/>
          <w:sz w:val="18"/>
          <w:szCs w:val="18"/>
          <w:color w:val="auto"/>
        </w:rPr>
        <w:t>Failure to include any of the above information and submit with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3" w:name="page74"/>
    <w:bookmarkEnd w:id="73"/>
    <w:tbl>
      <w:tblPr>
        <w:tblLayout w:type="fixed"/>
        <w:tblInd w:w="10" w:type="dxa"/>
        <w:tblCellMar>
          <w:top w:w="0" w:type="dxa"/>
          <w:left w:w="0" w:type="dxa"/>
          <w:bottom w:w="0" w:type="dxa"/>
          <w:right w:w="0" w:type="dxa"/>
        </w:tblCellMar>
      </w:tblPr>
      <w:tr>
        <w:trPr>
          <w:trHeight w:val="197"/>
        </w:trPr>
        <w:tc>
          <w:tcPr>
            <w:tcW w:w="1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Filed in the office of Ross</w:t>
            </w:r>
          </w:p>
        </w:tc>
        <w:tc>
          <w:tcPr>
            <w:tcW w:w="22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Document Number</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Miller Secretary of State</w:t>
            </w:r>
          </w:p>
        </w:tc>
        <w:tc>
          <w:tcPr>
            <w:tcW w:w="22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20160405751-11</w:t>
            </w: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State of Nevada</w:t>
            </w:r>
          </w:p>
        </w:tc>
        <w:tc>
          <w:tcPr>
            <w:tcW w:w="22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Filing Date and Time</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spacing w:after="0"/>
              <w:rPr>
                <w:sz w:val="15"/>
                <w:szCs w:val="15"/>
                <w:color w:val="auto"/>
              </w:rPr>
            </w:pPr>
          </w:p>
        </w:tc>
        <w:tc>
          <w:tcPr>
            <w:tcW w:w="22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09/13/2016 2:00 PM</w:t>
            </w:r>
          </w:p>
        </w:tc>
        <w:tc>
          <w:tcPr>
            <w:tcW w:w="0" w:type="dxa"/>
            <w:vAlign w:val="bottom"/>
          </w:tcPr>
          <w:p>
            <w:pPr>
              <w:spacing w:after="0"/>
              <w:rPr>
                <w:sz w:val="1"/>
                <w:szCs w:val="1"/>
                <w:color w:val="auto"/>
              </w:rPr>
            </w:pPr>
          </w:p>
        </w:tc>
      </w:tr>
      <w:tr>
        <w:trPr>
          <w:trHeight w:val="39"/>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Change filed Pursuant to NRS 78.209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Nevada Profit Corporations</w:t>
      </w:r>
    </w:p>
    <w:p>
      <w:pPr>
        <w:spacing w:after="0" w:line="211" w:lineRule="exact"/>
        <w:rPr>
          <w:sz w:val="20"/>
          <w:szCs w:val="20"/>
          <w:color w:val="auto"/>
        </w:rPr>
      </w:pPr>
    </w:p>
    <w:p>
      <w:pPr>
        <w:ind w:left="660" w:right="9220" w:hanging="652"/>
        <w:spacing w:after="0" w:line="563"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Name of corporation: TapImmune Inc.</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board of directors have adopted a resolution pursuant to NRS 78.209 and have obtained any required approval of the stockholders.</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current number of authorized shares and the par value, if any, of each class or series, if any, of shares before the change:</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500,000,000 authorized shares of Common Stock, par value $0.01 per share.</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5,000,000 authorized shares of Preferred Stock, par value $0.001 per share.</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of authorized shares and the par value, if any, of each class or series, if any, of shares after the change:</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41,666,667 authorized shares of Common Stock, par value $0.001 per share.</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5,000,000 authorized shares of Preferred Stock, par value $0.001 per share.</w:t>
      </w:r>
    </w:p>
    <w:p>
      <w:pPr>
        <w:spacing w:after="0" w:line="210" w:lineRule="exact"/>
        <w:rPr>
          <w:rFonts w:ascii="Arial" w:cs="Arial" w:eastAsia="Arial" w:hAnsi="Arial"/>
          <w:sz w:val="18"/>
          <w:szCs w:val="18"/>
          <w:color w:val="auto"/>
        </w:rPr>
      </w:pPr>
    </w:p>
    <w:p>
      <w:pPr>
        <w:ind w:left="660" w:hanging="652"/>
        <w:spacing w:after="0" w:line="25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of shares of each affected class or series, if any, to be issued after the change in exchange for each issued share of the same class or series:</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One (1) share of Common Stock will be issued in exchange for every twelve (12) shares of issued and outstanding Common Stock.</w:t>
      </w:r>
    </w:p>
    <w:p>
      <w:pPr>
        <w:spacing w:after="0" w:line="210" w:lineRule="exact"/>
        <w:rPr>
          <w:rFonts w:ascii="Arial" w:cs="Arial" w:eastAsia="Arial" w:hAnsi="Arial"/>
          <w:sz w:val="18"/>
          <w:szCs w:val="18"/>
          <w:color w:val="auto"/>
        </w:rPr>
      </w:pPr>
    </w:p>
    <w:p>
      <w:pPr>
        <w:ind w:left="660" w:right="20" w:hanging="652"/>
        <w:spacing w:after="0" w:line="25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provisions, if any, for the issuance of fractional shares, or for the payment of money or the issuance of scrip to stockholders otherwise entitled to a fraction of a share and the percentage of outstanding shares affected thereby:</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All fractional shares of Common Stock will be rounded up to the nearest whole share.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7.</w:t>
            </w:r>
          </w:p>
        </w:tc>
        <w:tc>
          <w:tcPr>
            <w:tcW w:w="3720" w:type="dxa"/>
            <w:vAlign w:val="bottom"/>
          </w:tcPr>
          <w:p>
            <w:pPr>
              <w:ind w:left="260"/>
              <w:spacing w:after="0"/>
              <w:rPr>
                <w:sz w:val="20"/>
                <w:szCs w:val="20"/>
                <w:color w:val="auto"/>
              </w:rPr>
            </w:pPr>
            <w:r>
              <w:rPr>
                <w:rFonts w:ascii="Arial" w:cs="Arial" w:eastAsia="Arial" w:hAnsi="Arial"/>
                <w:sz w:val="18"/>
                <w:szCs w:val="18"/>
                <w:color w:val="auto"/>
              </w:rPr>
              <w:t>Effective date and time of filing (optional)</w:t>
            </w:r>
          </w:p>
        </w:tc>
        <w:tc>
          <w:tcPr>
            <w:tcW w:w="4640" w:type="dxa"/>
            <w:vAlign w:val="bottom"/>
          </w:tcPr>
          <w:p>
            <w:pPr>
              <w:ind w:left="420"/>
              <w:spacing w:after="0"/>
              <w:rPr>
                <w:sz w:val="20"/>
                <w:szCs w:val="20"/>
                <w:color w:val="auto"/>
              </w:rPr>
            </w:pPr>
            <w:r>
              <w:rPr>
                <w:rFonts w:ascii="Arial" w:cs="Arial" w:eastAsia="Arial" w:hAnsi="Arial"/>
                <w:sz w:val="18"/>
                <w:szCs w:val="18"/>
                <w:color w:val="auto"/>
              </w:rPr>
              <w:t>Date: September 16, 2016 Time</w:t>
            </w:r>
          </w:p>
        </w:tc>
      </w:tr>
      <w:tr>
        <w:trPr>
          <w:trHeight w:val="230"/>
        </w:trPr>
        <w:tc>
          <w:tcPr>
            <w:tcW w:w="4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w w:val="90"/>
              </w:rPr>
              <w:t>(must not be later than 90 days after the certificate is filed)</w:t>
            </w:r>
          </w:p>
        </w:tc>
      </w:tr>
    </w:tbl>
    <w:p>
      <w:pPr>
        <w:spacing w:after="0" w:line="202"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Signature: (required)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X /s/ Glynn Wilson</w:t>
            </w:r>
          </w:p>
        </w:tc>
        <w:tc>
          <w:tcPr>
            <w:tcW w:w="5960" w:type="dxa"/>
            <w:vAlign w:val="bottom"/>
          </w:tcPr>
          <w:p>
            <w:pPr>
              <w:jc w:val="center"/>
              <w:ind w:left="3070"/>
              <w:spacing w:after="0"/>
              <w:rPr>
                <w:sz w:val="20"/>
                <w:szCs w:val="20"/>
                <w:color w:val="auto"/>
              </w:rPr>
            </w:pPr>
            <w:r>
              <w:rPr>
                <w:rFonts w:ascii="Arial" w:cs="Arial" w:eastAsia="Arial" w:hAnsi="Arial"/>
                <w:sz w:val="18"/>
                <w:szCs w:val="18"/>
                <w:color w:val="auto"/>
                <w:w w:val="92"/>
              </w:rPr>
              <w:t>Chairman and Chief Executive Officer</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Signature of Officer</w:t>
            </w:r>
          </w:p>
        </w:tc>
        <w:tc>
          <w:tcPr>
            <w:tcW w:w="5960" w:type="dxa"/>
            <w:vAlign w:val="bottom"/>
          </w:tcPr>
          <w:p>
            <w:pPr>
              <w:jc w:val="center"/>
              <w:ind w:left="3070"/>
              <w:spacing w:after="0"/>
              <w:rPr>
                <w:sz w:val="20"/>
                <w:szCs w:val="20"/>
                <w:color w:val="auto"/>
              </w:rPr>
            </w:pPr>
            <w:r>
              <w:rPr>
                <w:rFonts w:ascii="Arial" w:cs="Arial" w:eastAsia="Arial" w:hAnsi="Arial"/>
                <w:sz w:val="18"/>
                <w:szCs w:val="18"/>
                <w:color w:val="auto"/>
                <w:w w:val="93"/>
              </w:rPr>
              <w:t>Title</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IMPORTANT: Failure to include any of the above information and submit with 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Glynn Wilson, certify that:</w:t>
      </w:r>
    </w:p>
    <w:p>
      <w:pPr>
        <w:spacing w:after="0" w:line="225"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September 30, 2016 of TapImmune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Glynn Wilson</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J. Loiacono, certify that:</w:t>
      </w:r>
    </w:p>
    <w:p>
      <w:pPr>
        <w:spacing w:after="0" w:line="225"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September 30, 2016 of TapImmune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8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Michael J. Loiacono</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ACCOUNTING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undersigned, Glynn Wilson, the Chief Executive Officer of TapImmune Inc. (the “Company”) hereby certifies, pursuant to 18 U.S.C. Section 1350, as adopted pursuant to Section 906 of the Sarbanes-Oxley Act of 2002, that the Report on Form 10-Q of TapImmune Inc., for the quarterly period ended September 30, 2016,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15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2016</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 Glynn Wilson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80910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ACCOUNTING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Michael J. Loiacono, the Chief Financial Officer and Chief Accounting Officer of TapImmune Inc. (the “Company”) hereby certifies, pursuant to 18 U.S.C. Section 1350, as adopted pursuant to Section 906 of the Sarbanes-Oxley Act of 2002, that the Report on Form 10-Q of TapImmune Inc., for the quarterly period ended September 30, 2016,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18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2016</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 Michael J. Loiacono</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80910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Financial Officer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x"/>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lvl w:ilvl="1">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1."/>
      <w:numFmt w:val="decimal"/>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lvl w:ilvl="1">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lvl w:ilvl="1">
      <w:lvlJc w:val="left"/>
      <w:lvlText w:val="-"/>
      <w:numFmt w:val="bullet"/>
      <w:start w:val="1"/>
    </w:lvl>
  </w:abstractNum>
  <w:abstractNum w:abstractNumId="10">
    <w:nsid w:val="32FFF902"/>
    <w:multiLevelType w:val="hybridMultilevel"/>
    <w:lvl w:ilvl="0">
      <w:lvlJc w:val="left"/>
      <w:lvlText w:val="(%1)"/>
      <w:numFmt w:val="lowerLetter"/>
      <w:start w:val="1"/>
    </w:lvl>
  </w:abstractNum>
  <w:abstractNum w:abstractNumId="11">
    <w:nsid w:val="684A481A"/>
    <w:multiLevelType w:val="hybridMultilevel"/>
    <w:lvl w:ilvl="0">
      <w:lvlJc w:val="left"/>
      <w:lvlText w:val="(%1)"/>
      <w:numFmt w:val="lowerLetter"/>
      <w:start w:val="1"/>
    </w:lvl>
  </w:abstractNum>
  <w:abstractNum w:abstractNumId="12">
    <w:nsid w:val="579478FE"/>
    <w:multiLevelType w:val="hybridMultilevel"/>
    <w:lvl w:ilvl="0">
      <w:lvlJc w:val="left"/>
      <w:lvlText w:val="%1."/>
      <w:numFmt w:val="decimal"/>
    </w:lvl>
    <w:lvl w:ilvl="1">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1."/>
      <w:numFmt w:val="decimal"/>
      <w:start w:val="1"/>
    </w:lvl>
  </w:abstractNum>
  <w:abstractNum w:abstractNumId="15">
    <w:nsid w:val="1BA026FA"/>
    <w:multiLevelType w:val="hybridMultilevel"/>
    <w:lvl w:ilvl="0">
      <w:lvlJc w:val="left"/>
      <w:lvlText w:val="%1."/>
      <w:numFmt w:val="decimal"/>
      <w:start w:val="3"/>
    </w:lvl>
  </w:abstractNum>
  <w:abstractNum w:abstractNumId="16">
    <w:nsid w:val="79A1DEAA"/>
    <w:multiLevelType w:val="hybridMultilevel"/>
    <w:lvl w:ilvl="0">
      <w:lvlJc w:val="left"/>
      <w:lvlText w:val="%1."/>
      <w:numFmt w:val="decimal"/>
      <w:start w:val="4"/>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1."/>
      <w:numFmt w:val="decimal"/>
      <w:start w:val="1"/>
    </w:lvl>
  </w:abstractNum>
  <w:abstractNum w:abstractNumId="19">
    <w:nsid w:val="70C6A529"/>
    <w:multiLevelType w:val="hybridMultilevel"/>
    <w:lvl w:ilvl="0">
      <w:lvlJc w:val="left"/>
      <w:lvlText w:val="%1."/>
      <w:numFmt w:val="decimal"/>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1."/>
      <w:numFmt w:val="decimal"/>
      <w:start w:val="1"/>
    </w:lvl>
  </w:abstractNum>
  <w:abstractNum w:abstractNumId="22">
    <w:nsid w:val="4F4EF005"/>
    <w:multiLevelType w:val="hybridMultilevel"/>
    <w:lvl w:ilvl="0">
      <w:lvlJc w:val="left"/>
      <w:lvlText w:val="%1."/>
      <w:numFmt w:val="decimal"/>
      <w:start w:val="2"/>
    </w:lvl>
  </w:abstractNum>
  <w:abstractNum w:abstractNumId="23">
    <w:nsid w:val="23F9C13C"/>
    <w:multiLevelType w:val="hybridMultilevel"/>
    <w:lvl w:ilvl="0">
      <w:lvlJc w:val="left"/>
      <w:lvlText w:val="%1."/>
      <w:numFmt w:val="decimal"/>
      <w:start w:val="3"/>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1."/>
      <w:numFmt w:val="decimal"/>
      <w:start w:val="4"/>
    </w:lvl>
    <w:lvl w:ilvl="1">
      <w:lvlJc w:val="left"/>
      <w:lvlText w:val="(%2)"/>
      <w:numFmt w:val="lowerLetter"/>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1."/>
      <w:numFmt w:val="decimal"/>
      <w:start w:val="5"/>
    </w:lvl>
  </w:abstractNum>
  <w:abstractNum w:abstractNumId="28">
    <w:nsid w:val="180115BE"/>
    <w:multiLevelType w:val="hybridMultilevel"/>
    <w:lvl w:ilvl="0">
      <w:lvlJc w:val="left"/>
      <w:lvlText w:val="%1."/>
      <w:numFmt w:val="decimal"/>
      <w:start w:val="6"/>
    </w:lvl>
    <w:lvl w:ilvl="1">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1)"/>
      <w:numFmt w:val="lowerLetter"/>
      <w:start w:val="1"/>
    </w:lvl>
  </w:abstractNum>
  <w:abstractNum w:abstractNumId="33">
    <w:nsid w:val="741226BB"/>
    <w:multiLevelType w:val="hybridMultilevel"/>
    <w:lvl w:ilvl="0">
      <w:lvlJc w:val="left"/>
      <w:lvlText w:val="%1."/>
      <w:numFmt w:val="decimal"/>
      <w:start w:val="1"/>
    </w:lvl>
  </w:abstractNum>
  <w:abstractNum w:abstractNumId="34">
    <w:nsid w:val="D34B6A8"/>
    <w:multiLevelType w:val="hybridMultilevel"/>
    <w:lvl w:ilvl="0">
      <w:lvlJc w:val="left"/>
      <w:lvlText w:val="%1."/>
      <w:numFmt w:val="decimal"/>
      <w:start w:val="2"/>
    </w:lvl>
  </w:abstractNum>
  <w:abstractNum w:abstractNumId="35">
    <w:nsid w:val="10233C99"/>
    <w:multiLevelType w:val="hybridMultilevel"/>
    <w:lvl w:ilvl="0">
      <w:lvlJc w:val="left"/>
      <w:lvlText w:val="%1."/>
      <w:numFmt w:val="decimal"/>
      <w:start w:val="3"/>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4"/>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1."/>
      <w:numFmt w:val="decimal"/>
      <w:start w:val="4"/>
    </w:lvl>
    <w:lvl w:ilvl="1">
      <w:lvlJc w:val="left"/>
      <w:lvlText w:val="(%2)"/>
      <w:numFmt w:val="lowerLetter"/>
      <w:start w:val="1"/>
    </w:lvl>
  </w:abstractNum>
  <w:abstractNum w:abstractNumId="40">
    <w:nsid w:val="579BE4F1"/>
    <w:multiLevelType w:val="hybridMultilevel"/>
    <w:lvl w:ilvl="0">
      <w:lvlJc w:val="left"/>
      <w:lvlText w:val="5"/>
      <w:numFmt w:val="bullet"/>
      <w:start w:val="1"/>
    </w:lvl>
  </w:abstractNum>
  <w:abstractNum w:abstractNumId="41">
    <w:nsid w:val="310C50B3"/>
    <w:multiLevelType w:val="hybridMultilevel"/>
    <w:lvl w:ilvl="0">
      <w:lvlJc w:val="left"/>
      <w:lvlText w:val="%1."/>
      <w:numFmt w:val="decimal"/>
      <w:start w:val="5"/>
    </w:lvl>
  </w:abstractNum>
  <w:abstractNum w:abstractNumId="42">
    <w:nsid w:val="5FF87E05"/>
    <w:multiLevelType w:val="hybridMultilevel"/>
    <w:lvl w:ilvl="0">
      <w:lvlJc w:val="left"/>
      <w:lvlText w:val="%1."/>
      <w:numFmt w:val="decimal"/>
      <w:start w:val="6"/>
    </w:lvl>
    <w:lvl w:ilvl="1">
      <w:lvlJc w:val="left"/>
      <w:lvlText w:val="☐"/>
      <w:numFmt w:val="bullet"/>
      <w:start w:val="1"/>
    </w:lvl>
  </w:abstractNum>
  <w:abstractNum w:abstractNumId="43">
    <w:nsid w:val="2F305DEF"/>
    <w:multiLevelType w:val="hybridMultilevel"/>
    <w:lvl w:ilvl="0">
      <w:lvlJc w:val="left"/>
      <w:lvlText w:val="6"/>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1."/>
      <w:numFmt w:val="decimal"/>
      <w:start w:val="1"/>
    </w:lvl>
    <w:lvl w:ilvl="1">
      <w:lvlJc w:val="left"/>
      <w:lvlText w:val="%2."/>
      <w:numFmt w:val="decimal"/>
      <w:start w:val="1"/>
    </w:lvl>
  </w:abstractNum>
  <w:abstractNum w:abstractNumId="47">
    <w:nsid w:val="1F48EAA1"/>
    <w:multiLevelType w:val="hybridMultilevel"/>
    <w:lvl w:ilvl="0">
      <w:lvlJc w:val="left"/>
      <w:lvlText w:val="%1."/>
      <w:numFmt w:val="decimal"/>
      <w:start w:val="1"/>
    </w:lvl>
  </w:abstractNum>
  <w:abstractNum w:abstractNumId="48">
    <w:nsid w:val="1381823A"/>
    <w:multiLevelType w:val="hybridMultilevel"/>
    <w:lvl w:ilvl="0">
      <w:lvlJc w:val="left"/>
      <w:lvlText w:val="%1:"/>
      <w:numFmt w:val="decimal"/>
      <w:start w:val="3"/>
    </w:lvl>
  </w:abstractNum>
  <w:abstractNum w:abstractNumId="49">
    <w:nsid w:val="5DB70AE5"/>
    <w:multiLevelType w:val="hybridMultilevel"/>
    <w:lvl w:ilvl="0">
      <w:lvlJc w:val="left"/>
      <w:lvlText w:val="%1."/>
      <w:numFmt w:val="decimal"/>
      <w:start w:val="4"/>
    </w:lvl>
  </w:abstractNum>
  <w:abstractNum w:abstractNumId="50">
    <w:nsid w:val="100F8FCA"/>
    <w:multiLevelType w:val="hybridMultilevel"/>
    <w:lvl w:ilvl="0">
      <w:lvlJc w:val="left"/>
      <w:lvlText w:val="%1."/>
      <w:numFmt w:val="decimal"/>
      <w:start w:val="5"/>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1."/>
      <w:numFmt w:val="decimal"/>
      <w:start w:val="1"/>
    </w:lvl>
  </w:abstractNum>
  <w:abstractNum w:abstractNumId="53">
    <w:nsid w:val="5F5E7FD0"/>
    <w:multiLevelType w:val="hybridMultilevel"/>
    <w:lvl w:ilvl="0">
      <w:lvlJc w:val="left"/>
      <w:lvlText w:val="%1."/>
      <w:numFmt w:val="decimal"/>
      <w:start w:val="3"/>
    </w:lvl>
  </w:abstractNum>
  <w:abstractNum w:abstractNumId="54">
    <w:nsid w:val="98A3148"/>
    <w:multiLevelType w:val="hybridMultilevel"/>
    <w:lvl w:ilvl="0">
      <w:lvlJc w:val="left"/>
      <w:lvlText w:val="%1."/>
      <w:numFmt w:val="decimal"/>
      <w:start w:val="5"/>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1."/>
      <w:numFmt w:val="decimal"/>
      <w:start w:val="1"/>
    </w:lvl>
  </w:abstractNum>
  <w:abstractNum w:abstractNumId="57">
    <w:nsid w:val="42C296BD"/>
    <w:multiLevelType w:val="hybridMultilevel"/>
    <w:lvl w:ilvl="0">
      <w:lvlJc w:val="left"/>
      <w:lvlText w:val="%1."/>
      <w:numFmt w:val="decimal"/>
      <w:start w:val="8"/>
    </w:lvl>
  </w:abstractNum>
  <w:abstractNum w:abstractNumId="58">
    <w:nsid w:val="168E121F"/>
    <w:multiLevelType w:val="hybridMultilevel"/>
    <w:lvl w:ilvl="0">
      <w:lvlJc w:val="left"/>
      <w:lvlText w:val="%1."/>
      <w:numFmt w:val="decimal"/>
      <w:start w:val="1"/>
    </w:lvl>
  </w:abstractNum>
  <w:abstractNum w:abstractNumId="59">
    <w:nsid w:val="1EBA5D23"/>
    <w:multiLevelType w:val="hybridMultilevel"/>
    <w:lvl w:ilvl="0">
      <w:lvlJc w:val="left"/>
      <w:lvlText w:val="%1:"/>
      <w:numFmt w:val="decimal"/>
      <w:start w:val="3"/>
    </w:lvl>
  </w:abstractNum>
  <w:abstractNum w:abstractNumId="60">
    <w:nsid w:val="661E3F1E"/>
    <w:multiLevelType w:val="hybridMultilevel"/>
    <w:lvl w:ilvl="0">
      <w:lvlJc w:val="left"/>
      <w:lvlText w:val="%1."/>
      <w:numFmt w:val="decimal"/>
      <w:start w:val="3"/>
    </w:lvl>
  </w:abstractNum>
  <w:abstractNum w:abstractNumId="61">
    <w:nsid w:val="5DC79EA8"/>
    <w:multiLevelType w:val="hybridMultilevel"/>
    <w:lvl w:ilvl="0">
      <w:lvlJc w:val="left"/>
      <w:lvlText w:val="%1."/>
      <w:numFmt w:val="decimal"/>
      <w:start w:val="5"/>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1."/>
      <w:numFmt w:val="decimal"/>
      <w:start w:val="1"/>
    </w:lvl>
  </w:abstractNum>
  <w:abstractNum w:abstractNumId="64">
    <w:nsid w:val="51D9C564"/>
    <w:multiLevelType w:val="hybridMultilevel"/>
    <w:lvl w:ilvl="0">
      <w:lvlJc w:val="left"/>
      <w:lvlText w:val="%1."/>
      <w:numFmt w:val="decimal"/>
      <w:start w:val="4"/>
    </w:lvl>
  </w:abstractNum>
  <w:abstractNum w:abstractNumId="65">
    <w:nsid w:val="613EFDC5"/>
    <w:multiLevelType w:val="hybridMultilevel"/>
    <w:lvl w:ilvl="0">
      <w:lvlJc w:val="left"/>
      <w:lvlText w:val="%1."/>
      <w:numFmt w:val="decimal"/>
      <w:start w:val="1"/>
    </w:lvl>
    <w:lvl w:ilvl="1">
      <w:lvlJc w:val="left"/>
      <w:lvlText w:val="(%2)"/>
      <w:numFmt w:val="lowerLetter"/>
      <w:start w:val="1"/>
    </w:lvl>
  </w:abstractNum>
  <w:abstractNum w:abstractNumId="66">
    <w:nsid w:val="BF72B14"/>
    <w:multiLevelType w:val="hybridMultilevel"/>
    <w:lvl w:ilvl="0">
      <w:lvlJc w:val="left"/>
      <w:lvlText w:val="%1"/>
      <w:numFmt w:val="decimal"/>
      <w:start w:val="1"/>
    </w:lvl>
    <w:lvl w:ilvl="1">
      <w:lvlJc w:val="left"/>
      <w:lvlText w:val="(%2)"/>
      <w:numFmt w:val="lowerLetter"/>
      <w:start w:val="2"/>
    </w:lvl>
  </w:abstractNum>
  <w:abstractNum w:abstractNumId="67">
    <w:nsid w:val="11447B73"/>
    <w:multiLevelType w:val="hybridMultilevel"/>
    <w:lvl w:ilvl="0">
      <w:lvlJc w:val="left"/>
      <w:lvlText w:val="%1."/>
      <w:numFmt w:val="decimal"/>
      <w:start w:val="4"/>
    </w:lvl>
    <w:lvl w:ilvl="1">
      <w:lvlJc w:val="left"/>
      <w:lvlText w:val="(%2)"/>
      <w:numFmt w:val="lowerLetter"/>
      <w:start w:val="1"/>
    </w:lvl>
  </w:abstractNum>
  <w:abstractNum w:abstractNumId="68">
    <w:nsid w:val="42963E5A"/>
    <w:multiLevelType w:val="hybridMultilevel"/>
    <w:lvl w:ilvl="0">
      <w:lvlJc w:val="left"/>
      <w:lvlText w:val="(%1)"/>
      <w:numFmt w:val="lowerLetter"/>
      <w:start w:val="4"/>
    </w:lvl>
  </w:abstractNum>
  <w:abstractNum w:abstractNumId="69">
    <w:nsid w:val="A0382C5"/>
    <w:multiLevelType w:val="hybridMultilevel"/>
    <w:lvl w:ilvl="0">
      <w:lvlJc w:val="left"/>
      <w:lvlText w:val="%1."/>
      <w:numFmt w:val="decimal"/>
      <w:start w:val="1"/>
    </w:lvl>
  </w:abstractNum>
  <w:abstractNum w:abstractNumId="70">
    <w:nsid w:val="8F2B15E"/>
    <w:multiLevelType w:val="hybridMultilevel"/>
    <w:lvl w:ilvl="0">
      <w:lvlJc w:val="left"/>
      <w:lvlText w:val="%1."/>
      <w:numFmt w:val="decimal"/>
      <w:start w:val="8"/>
    </w:lvl>
  </w:abstractNum>
  <w:abstractNum w:abstractNumId="71">
    <w:nsid w:val="1A32234B"/>
    <w:multiLevelType w:val="hybridMultilevel"/>
    <w:lvl w:ilvl="0">
      <w:lvlJc w:val="left"/>
      <w:lvlText w:val="%1."/>
      <w:numFmt w:val="decimal"/>
      <w:start w:val="1"/>
    </w:lvl>
  </w:abstractNum>
  <w:abstractNum w:abstractNumId="72">
    <w:nsid w:val="3B0FD379"/>
    <w:multiLevelType w:val="hybridMultilevel"/>
    <w:lvl w:ilvl="0">
      <w:lvlJc w:val="left"/>
      <w:lvlText w:val="%1."/>
      <w:numFmt w:val="decimal"/>
      <w:start w:val="4"/>
    </w:lvl>
  </w:abstractNum>
  <w:abstractNum w:abstractNumId="73">
    <w:nsid w:val="68EB2F63"/>
    <w:multiLevelType w:val="hybridMultilevel"/>
    <w:lvl w:ilvl="0">
      <w:lvlJc w:val="left"/>
      <w:lvlText w:val="X"/>
      <w:numFmt w:val="bullet"/>
      <w:start w:val="1"/>
    </w:lvl>
  </w:abstractNum>
  <w:abstractNum w:abstractNumId="74">
    <w:nsid w:val="4962813B"/>
    <w:multiLevelType w:val="hybridMultilevel"/>
    <w:lvl w:ilvl="0">
      <w:lvlJc w:val="left"/>
      <w:lvlText w:val="%1."/>
      <w:numFmt w:val="decimal"/>
      <w:start w:val="1"/>
    </w:lvl>
    <w:lvl w:ilvl="1">
      <w:lvlJc w:val="left"/>
      <w:lvlText w:val="(%2)"/>
      <w:numFmt w:val="lowerLetter"/>
      <w:start w:val="1"/>
    </w:lvl>
  </w:abstractNum>
  <w:abstractNum w:abstractNumId="75">
    <w:nsid w:val="60B6DF70"/>
    <w:multiLevelType w:val="hybridMultilevel"/>
    <w:lvl w:ilvl="0">
      <w:lvlJc w:val="left"/>
      <w:lvlText w:val="%1"/>
      <w:numFmt w:val="decimal"/>
      <w:start w:val="1"/>
    </w:lvl>
    <w:lvl w:ilvl="1">
      <w:lvlJc w:val="left"/>
      <w:lvlText w:val="(%2)"/>
      <w:numFmt w:val="lowerLetter"/>
      <w:start w:val="2"/>
    </w:lvl>
  </w:abstractNum>
  <w:abstractNum w:abstractNumId="76">
    <w:nsid w:val="6A5EE64"/>
    <w:multiLevelType w:val="hybridMultilevel"/>
    <w:lvl w:ilvl="0">
      <w:lvlJc w:val="left"/>
      <w:lvlText w:val="%1."/>
      <w:numFmt w:val="decimal"/>
      <w:start w:val="4"/>
    </w:lvl>
    <w:lvl w:ilvl="1">
      <w:lvlJc w:val="left"/>
      <w:lvlText w:val="(%2)"/>
      <w:numFmt w:val="lowerLetter"/>
      <w:start w:val="1"/>
    </w:lvl>
  </w:abstractNum>
  <w:abstractNum w:abstractNumId="77">
    <w:nsid w:val="14330624"/>
    <w:multiLevelType w:val="hybridMultilevel"/>
    <w:lvl w:ilvl="0">
      <w:lvlJc w:val="left"/>
      <w:lvlText w:val="(%1)"/>
      <w:numFmt w:val="lowerLetter"/>
      <w:start w:val="4"/>
    </w:lvl>
  </w:abstractNum>
  <w:abstractNum w:abstractNumId="78">
    <w:nsid w:val="7FFFCA11"/>
    <w:multiLevelType w:val="hybridMultilevel"/>
    <w:lvl w:ilvl="0">
      <w:lvlJc w:val="left"/>
      <w:lvlText w:val="%1."/>
      <w:numFmt w:val="decimal"/>
      <w:start w:val="1"/>
    </w:lvl>
  </w:abstractNum>
  <w:abstractNum w:abstractNumId="79">
    <w:nsid w:val="1A27709E"/>
    <w:multiLevelType w:val="hybridMultilevel"/>
    <w:lvl w:ilvl="0">
      <w:lvlJc w:val="left"/>
      <w:lvlText w:val="%1."/>
      <w:numFmt w:val="decimal"/>
      <w:start w:val="3"/>
    </w:lvl>
  </w:abstractNum>
  <w:abstractNum w:abstractNumId="80">
    <w:nsid w:val="71EA1109"/>
    <w:multiLevelType w:val="hybridMultilevel"/>
    <w:lvl w:ilvl="0">
      <w:lvlJc w:val="left"/>
      <w:lvlText w:val="%1."/>
      <w:numFmt w:val="decimal"/>
      <w:start w:val="5"/>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1."/>
      <w:numFmt w:val="decimal"/>
      <w:start w:val="1"/>
    </w:lvl>
  </w:abstractNum>
  <w:abstractNum w:abstractNumId="83">
    <w:nsid w:val="6EB5BD4"/>
    <w:multiLevelType w:val="hybridMultilevel"/>
    <w:lvl w:ilvl="0">
      <w:lvlJc w:val="left"/>
      <w:lvlText w:val="%1."/>
      <w:numFmt w:val="decimal"/>
      <w:start w:val="8"/>
    </w:lvl>
  </w:abstractNum>
  <w:abstractNum w:abstractNumId="84">
    <w:nsid w:val="6F6DD9AC"/>
    <w:multiLevelType w:val="hybridMultilevel"/>
    <w:lvl w:ilvl="0">
      <w:lvlJc w:val="left"/>
      <w:lvlText w:val="(%1)"/>
      <w:numFmt w:val="decimal"/>
      <w:start w:val="1"/>
    </w:lvl>
    <w:lvl w:ilvl="1">
      <w:lvlJc w:val="left"/>
      <w:lvlText w:val="(%2)"/>
      <w:numFmt w:val="lowerLetter"/>
      <w:start w:val="1"/>
    </w:lvl>
  </w:abstractNum>
  <w:abstractNum w:abstractNumId="85">
    <w:nsid w:val="94211F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2020-01-21T19:05:49Z</dcterms:created>
  <dcterms:modified xsi:type="dcterms:W3CDTF">2020-01-21T19:05:49Z</dcterms:modified>
</cp:coreProperties>
</file>