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rFonts w:ascii="Times New Roman;Times;Serif" w:hAnsi="Times New Roman;Times;Serif" w:eastAsia="Times New Roman;Times;Serif" w:cs="Times New Roman;Times;Serif"/>
          <w:b w:val="false"/>
          <w:b w:val="false"/>
          <w:bCs w:val="false"/>
          <w:i w:val="false"/>
          <w:i w:val="false"/>
          <w:iCs w:val="false"/>
          <w:caps w:val="false"/>
          <w:smallCaps w:val="false"/>
          <w:sz w:val="22"/>
          <w:szCs w:val="22"/>
        </w:rPr>
      </w:pPr>
      <w:r>
        <w:rPr>
          <w:rFonts w:eastAsia="Times New Roman;Times;Serif" w:cs="Times New Roman;Times;Serif" w:ascii="Times New Roman;Times;Serif" w:hAnsi="Times New Roman;Times;Serif"/>
          <w:b w:val="false"/>
          <w:bCs w:val="false"/>
          <w:i w:val="false"/>
          <w:iCs w:val="false"/>
          <w:caps w:val="false"/>
          <w:smallCaps w:val="false"/>
          <w:sz w:val="22"/>
          <w:szCs w:val="22"/>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Marker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57055L206</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Stephanie Brecher</w:t>
              <w:br/>
              <w:t>New Enterprise Associates, 1954 Greenspring Drive, Suite 600</w:t>
              <w:br/>
              <w:t>Timonium, MD, 21093</w:t>
              <w:br/>
              <w:t>(410)842-4000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11/13/2025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57055L206</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New Enterprise Associates 16,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1,670,081.00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1,670,081.00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1,670,081.00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57055L206</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NEA Partners 16,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1,670,081.00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1,670,081.00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1,670,081.00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57055L206</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NEA 16 GP,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1,670,081.00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1,670,081.00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1,670,081.00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57055L206</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Forest Baskett</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1,670,081.00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1,670,081.00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1,670,081.00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57055L206</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Ali Behbahani</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1,670,081.00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1,670,081.00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1,670,081.00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57055L206</w:t>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Carmen Chang</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1,670,081.00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1,670,081.00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1,670,081.00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57055L206</w:t>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Anthony A. Florence, Jr.</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1,670,081.00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1,670,081.00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1,670,081.00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57055L206</w:t>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Mohamad H. Makhzoumi</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1,670,081.00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1,670,081.00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1,670,081.00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57055L206</w:t>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Scott D. Sandell</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1,670,081.00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1,670,081.00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1,670,081.00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57055L206</w:t>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Paul Walker</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1,670,081.00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1,670,081.00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1,670,081.00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6" w:name="item1to7"/>
      <w:bookmarkStart w:id="47" w:name="item1to7"/>
      <w:bookmarkEnd w:id="47"/>
    </w:p>
    <w:tbl>
      <w:tblPr>
        <w:tblW w:w="10205" w:type="dxa"/>
        <w:jc w:val="left"/>
        <w:tblInd w:w="0" w:type="dxa"/>
        <w:tblLayout w:type="fixed"/>
        <w:tblCellMar>
          <w:top w:w="28" w:type="dxa"/>
          <w:left w:w="28" w:type="dxa"/>
          <w:bottom w:w="28" w:type="dxa"/>
          <w:right w:w="28" w:type="dxa"/>
        </w:tblCellMar>
      </w:tblPr>
      <w:tblGrid>
        <w:gridCol w:w="1156"/>
        <w:gridCol w:w="8894"/>
        <w:gridCol w:w="155"/>
      </w:tblGrid>
      <w:tr>
        <w:trPr/>
        <w:tc>
          <w:tcPr>
            <w:tcW w:w="1156" w:type="dxa"/>
            <w:tcBorders/>
            <w:vAlign w:val="center"/>
          </w:tcPr>
          <w:p>
            <w:pPr>
              <w:pStyle w:val="TableContents"/>
              <w:bidi w:val="0"/>
              <w:spacing w:before="0" w:after="283"/>
              <w:jc w:val="left"/>
              <w:rPr/>
            </w:pPr>
            <w:r>
              <w:rPr/>
              <w:t>Item 1.</w:t>
            </w:r>
          </w:p>
        </w:tc>
        <w:tc>
          <w:tcPr>
            <w:tcW w:w="8894"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Name of Issuer: </w:t>
            </w:r>
          </w:p>
          <w:p>
            <w:pPr>
              <w:pStyle w:val="TableContents"/>
              <w:bidi w:val="0"/>
              <w:spacing w:before="0" w:after="0"/>
              <w:jc w:val="left"/>
              <w:rPr/>
            </w:pPr>
            <w:r>
              <w:rPr/>
              <w:t>Marker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2450 Holcombe Blvd., TMC Partners Office 1.311, Houston, TEXAS , 77021.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5 ("Amendment No. 5") to Schedule 13D amends and supplements the statement on Schedule 13D originally filed on October 25, 2018 (the "Schedule 13D"), Amendment No. 1 thereto filed on March 26, 2021 ("Amendment No. 1"), Amendment No. 2 thereto filed on May 17, 2024 ("Amendment No. 2"), Amendment No. 3 thereto filed on December 23, 2024 ("Amendment No. 3") and Amendment No. 4 thereto filed on August 18, 2025 ("Amendment No. 4"), relating to the Common Stock of the Issuer. Certain terms used but not defined in this Amendment No. 5 have the meanings assigned thereto in the Schedule 13D (and Amendment No. 1, Amendment No. 2, Amendment No. 3 and Amendment No. 4 thereto). Except as specifically provided herein, this Amendment No. 5 does not modify any of the information previously reported on the Schedule 13D (and Amendment No. 1, Amendment No. 2, Amendment No. 3 and Amendment No. 4 thereto). This Amendment No. 5 is being filed to report that the beneficial ownership of Common Stock by the Reporting Persons (as defined below) has decreased by more than 1% as a result of an increase in the number of Common Stock outstanding.</w:t>
            </w:r>
          </w:p>
        </w:tc>
      </w:tr>
      <w:tr>
        <w:trPr/>
        <w:tc>
          <w:tcPr>
            <w:tcW w:w="1156" w:type="dxa"/>
            <w:tcBorders/>
            <w:vAlign w:val="center"/>
          </w:tcPr>
          <w:p>
            <w:pPr>
              <w:pStyle w:val="TableContents"/>
              <w:bidi w:val="0"/>
              <w:spacing w:before="0" w:after="283"/>
              <w:jc w:val="left"/>
              <w:rPr/>
            </w:pPr>
            <w:r>
              <w:rPr/>
              <w:t>Item 2.</w:t>
            </w:r>
          </w:p>
        </w:tc>
        <w:tc>
          <w:tcPr>
            <w:tcW w:w="8894"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spacing w:before="0" w:after="0"/>
              <w:jc w:val="left"/>
              <w:rPr/>
            </w:pPr>
            <w:r>
              <w:rPr/>
              <w:t>New Enterprise Associates 16, L.P. ("NEA 16"); NEA Partners 16, L.P. ("NEA Partners 16"), which is the sole general partner of NEA 16; and NEA 16 GP, LLC ("NEA 16 LLC" and, together with NEA Partners 16, the "Control Entities"), which is the sole general partner of NEA Partners 16; and Forest Baskett ("Baskett"), Ali Behbahani ("Behbahani"), Carmen Chang ("Chang"), Anthony A. Florence, Jr. ("Florence"), Mohamad H. Makhzoumi ("Makhzoumi"), Scott D. Sandell ("Sandell") and Paul Walker ("Walker") (together, the "Managers"). The Managers are the managers of NEA 16 LLC. The persons named in this Item 2 are referred to individually herein as a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spacing w:before="0" w:after="0"/>
              <w:jc w:val="left"/>
              <w:rPr/>
            </w:pPr>
            <w:r>
              <w:rPr/>
              <w:t>The address of the principal business office of NEA 16, each Control Entity and Sandell is New Enterprise Associates, 1954 Greenspring Drive, Suite 600, Timonium, MD 21093. The address of the principal business office of Baskett, Behbahani, Chang, Makhzoumi and Walker is New Enterprise Associates, 2855 Sand Hill Road, Menlo Park, CA 94025. The address of the principal business office of Florence is New Enterprise Associates, 104 5th Avenue, 19th Floor, New York, NY 10011.</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0"/>
              <w:jc w:val="left"/>
              <w:rPr/>
            </w:pPr>
            <w:r>
              <w:rPr/>
              <w:t>The principal business of NEA 16 is to invest in and assist growth-oriented businesses located principally in the United States. The principal business of NEA Partners 16 is to act as the sole general partner of NEA 16. The principal business of NEA 16 LLC is to act as the sole general partner of NEA Partners 16. The principal business of each of the Managers is to manage the Control Entities, NEA 16 and a number of affiliated partnerships with similar businesses.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spacing w:before="0" w:after="0"/>
              <w:jc w:val="left"/>
              <w:rPr/>
            </w:pPr>
            <w:r>
              <w:rPr/>
              <w:t>During the five years prior to the date hereof, none of the Reporting Persons has been convicted in a criminal proceeding or has been a party to a civil proceeding ending in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0"/>
              <w:jc w:val="left"/>
              <w:rPr/>
            </w:pPr>
            <w:r>
              <w:rPr/>
              <w:t>During the five years prior to the date hereof, none of the Reporting Persons has been convicted in a criminal proceeding or has been a party to a civil proceeding ending in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(f)</w:t>
            </w:r>
          </w:p>
        </w:tc>
        <w:tc>
          <w:tcPr>
            <w:tcW w:w="8894" w:type="dxa"/>
            <w:tcBorders/>
            <w:vAlign w:val="center"/>
          </w:tcPr>
          <w:p>
            <w:pPr>
              <w:pStyle w:val="TableContents"/>
              <w:bidi w:val="0"/>
              <w:spacing w:before="0" w:after="0"/>
              <w:jc w:val="left"/>
              <w:rPr/>
            </w:pPr>
            <w:r>
              <w:rPr/>
              <w:t>NEA 16 LLC is a limited liability company organized under the laws of the State of Delaware. NEA 16 and NEA Partners 16 are limited partnerships organized under the laws of the State of Delaware. Each of the Managers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3.</w:t>
            </w:r>
          </w:p>
        </w:tc>
        <w:tc>
          <w:tcPr>
            <w:tcW w:w="8894"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4.</w:t>
            </w:r>
          </w:p>
        </w:tc>
        <w:tc>
          <w:tcPr>
            <w:tcW w:w="8894"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NEA 16 acquired the NEA 16 Shares for investment purposes. Depending on market conditions, its continuing evaluation of the business and prospects of the Issuer and other factors, NEA 16 and the other Reporting Persons may dispose of or acquire additional shares of the Issuer, including shares that may be acquired upon exercise of the Warrants prior to expiration. Except as set forth above, none of the Reporting Persons has any present plans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assets of the Issuer or any of its subsidiaries; (d) Any change in the present board of directors or management of the Issuer, including any plans or proposals to change the number or term of directors or to fill any existing vacancies on the board; (e) Any material change in the present capitalization or dividend policy of the Issuer; (f) Any other material change in the Issuer's business or corporate structure; (g) Changes in the Issuer's charter, bylaws or instruments corresponding thereto or other actions which may impede the acquisition of control of the Issuer by any person; (h) Causing a class of securities of the Issuer to be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Securities Exchange Act of 1934; or (j) Any action similar to any of those enumerated above.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5.</w:t>
            </w:r>
          </w:p>
        </w:tc>
        <w:tc>
          <w:tcPr>
            <w:tcW w:w="8894"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spacing w:before="0" w:after="0"/>
              <w:jc w:val="left"/>
              <w:rPr/>
            </w:pPr>
            <w:r>
              <w:rPr/>
              <w:t>NEA 16 is the record owner of 1,625,678 shares of Common Stock and has a right, upon exercise of the Warrants and taking into account their respective Beneficial Ownership Limitations, to purchase up to 44,403 shares of Common Stock (the "Exercisable Shares") for a total deemed ownership of 1,670,081 shares of Common Stock (the "NEA 16 Shares"). As the general partner of NEA 16, NEA Partners 16 may be deemed to own beneficially the NEA 16 Shares. As the sole general partner of NEA Partners 16, NEA 16 LLC may be deemed to own beneficially the NEA 16 Shares. As members of NEA 16 LLC, each of the Managers may be deemed to own beneficially the NEA 16 Shares. Each Reporting Person disclaims beneficial ownership of the NEA 16 Shares other than those shares which such person owns of record. The percentage of outstanding Common Stock of the Issuer which may be deemed to be beneficially owned by each Reporting Person is set forth on Line 13 of such Reporting Person's cover sheet. Such percentage was calculated based on 16,717,530 shares of Common Stock, which includes the sum of (i) 16,673,127 shares of Common Stock reported by the Issuer to be outstanding as of November 6, 2025 on the Issuer's Form 10-Q filed with the Securities and Exchange Commission on November 13, 2025 and (ii) the Exercisable Shares.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spacing w:before="0" w:after="0"/>
              <w:jc w:val="left"/>
              <w:rPr/>
            </w:pPr>
            <w:r>
              <w:rPr/>
              <w:t>Regarding the number of shares as to which such person has: (i) sole power to vote or to direct the vote: See line 7 of cover sheets (ii) shared power to vote or to direct the vote: See line 8 of cover sheets (iii) sole power to dispose or to direct the disposition: See line 9 of cover sheets (iv) shared power to dispose or to direct the disposition: See line 10 of cover sheets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0"/>
              <w:jc w:val="left"/>
              <w:rPr/>
            </w:pPr>
            <w:r>
              <w:rPr/>
              <w:t>None of the Reporting Persons have effected any transaction in the last 60 days.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spacing w:before="0" w:after="0"/>
              <w:jc w:val="left"/>
              <w:rPr/>
            </w:pPr>
            <w:r>
              <w:rPr/>
              <w:t>No other person is known to have the right to receive or the power to direct the receipt of dividends from, or any proceeds from the sale of, Common Stock beneficially owned by any of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6.</w:t>
            </w:r>
          </w:p>
        </w:tc>
        <w:tc>
          <w:tcPr>
            <w:tcW w:w="8894"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7.</w:t>
            </w:r>
          </w:p>
        </w:tc>
        <w:tc>
          <w:tcPr>
            <w:tcW w:w="8894"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Exhibit 1 - Agreement regarding filing of joint Schedule 13D. Exhibit 2 - Power of Attorney regarding filings under the Securities Exchange Act of 1934 as amended.</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signatureInfo"/>
      <w:bookmarkStart w:id="49" w:name="signatureInfo"/>
      <w:bookmarkEnd w:id="4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300" w:type="dxa"/>
        <w:jc w:val="left"/>
        <w:tblInd w:w="0" w:type="dxa"/>
        <w:tblLayout w:type="fixed"/>
        <w:tblCellMar>
          <w:top w:w="28" w:type="dxa"/>
          <w:left w:w="28" w:type="dxa"/>
          <w:bottom w:w="28" w:type="dxa"/>
          <w:right w:w="28" w:type="dxa"/>
        </w:tblCellMar>
      </w:tblPr>
      <w:tblGrid>
        <w:gridCol w:w="3650"/>
        <w:gridCol w:w="3650"/>
      </w:tblGrid>
      <w:tr>
        <w:trPr/>
        <w:tc>
          <w:tcPr>
            <w:tcW w:w="3650" w:type="dxa"/>
            <w:tcBorders/>
            <w:vAlign w:val="center"/>
          </w:tcPr>
          <w:p>
            <w:pPr>
              <w:pStyle w:val="TableContents"/>
              <w:bidi w:val="0"/>
              <w:spacing w:before="0" w:after="0"/>
              <w:jc w:val="left"/>
              <w:rPr/>
            </w:pPr>
            <w:r>
              <w:rPr/>
              <w:t> </w:t>
            </w:r>
          </w:p>
          <w:tbl>
            <w:tblPr>
              <w:tblW w:w="3541" w:type="dxa"/>
              <w:jc w:val="left"/>
              <w:tblInd w:w="0" w:type="dxa"/>
              <w:tblLayout w:type="fixed"/>
              <w:tblCellMar>
                <w:top w:w="28" w:type="dxa"/>
                <w:left w:w="28" w:type="dxa"/>
                <w:bottom w:w="28" w:type="dxa"/>
                <w:right w:w="28" w:type="dxa"/>
              </w:tblCellMar>
            </w:tblPr>
            <w:tblGrid>
              <w:gridCol w:w="3541"/>
            </w:tblGrid>
            <w:tr>
              <w:trPr/>
              <w:tc>
                <w:tcPr>
                  <w:tcW w:w="3541" w:type="dxa"/>
                  <w:tcBorders/>
                  <w:vAlign w:val="center"/>
                </w:tcPr>
                <w:p>
                  <w:pPr>
                    <w:pStyle w:val="TableContents"/>
                    <w:bidi w:val="0"/>
                    <w:spacing w:before="0" w:after="0"/>
                    <w:jc w:val="left"/>
                    <w:rPr/>
                  </w:pPr>
                  <w:r>
                    <w:rPr/>
                    <w:t>New Enterprise Associates 16, L.P.</w:t>
                  </w:r>
                </w:p>
              </w:tc>
            </w:tr>
          </w:tbl>
          <w:p>
            <w:pPr>
              <w:pStyle w:val="TableContents"/>
              <w:bidi w:val="0"/>
              <w:spacing w:before="0" w:after="283"/>
              <w:jc w:val="left"/>
              <w:rPr/>
            </w:pPr>
            <w:r>
              <w:rPr/>
            </w:r>
          </w:p>
        </w:tc>
        <w:tc>
          <w:tcPr>
            <w:tcW w:w="36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6"/>
        <w:gridCol w:w="4149"/>
      </w:tblGrid>
      <w:tr>
        <w:trPr/>
        <w:tc>
          <w:tcPr>
            <w:tcW w:w="60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Zachary Bambach</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Zachary Bambach as attorney-in-fact for Anthony A. Florence Jr., Managing Partner and Co-Chief Executive Officer</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11/17/2025</w:t>
                  </w:r>
                </w:p>
              </w:tc>
            </w:tr>
          </w:tbl>
          <w:p>
            <w:pPr>
              <w:pStyle w:val="TableContents"/>
              <w:bidi w:val="0"/>
              <w:spacing w:before="0" w:after="283"/>
              <w:jc w:val="left"/>
              <w:rPr/>
            </w:pPr>
            <w:r>
              <w:rPr/>
            </w:r>
          </w:p>
        </w:tc>
        <w:tc>
          <w:tcPr>
            <w:tcW w:w="41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6"/>
        <w:gridCol w:w="4149"/>
      </w:tblGrid>
      <w:tr>
        <w:trPr/>
        <w:tc>
          <w:tcPr>
            <w:tcW w:w="60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Zachary Bambach</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Zachary Bambach as attorney-in-fact for Mohamad H. Makhzoumi, Managing Partner and Co-Chief Executive Officer</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11/17/2025</w:t>
                  </w:r>
                </w:p>
              </w:tc>
            </w:tr>
          </w:tbl>
          <w:p>
            <w:pPr>
              <w:pStyle w:val="TableContents"/>
              <w:bidi w:val="0"/>
              <w:spacing w:before="0" w:after="283"/>
              <w:jc w:val="left"/>
              <w:rPr/>
            </w:pPr>
            <w:r>
              <w:rPr/>
            </w:r>
          </w:p>
        </w:tc>
        <w:tc>
          <w:tcPr>
            <w:tcW w:w="4149" w:type="dxa"/>
            <w:tcBorders/>
            <w:vAlign w:val="center"/>
          </w:tcPr>
          <w:p>
            <w:pPr>
              <w:pStyle w:val="TableContents"/>
              <w:bidi w:val="0"/>
              <w:spacing w:before="0" w:after="283"/>
              <w:jc w:val="left"/>
              <w:rPr>
                <w:sz w:val="4"/>
                <w:szCs w:val="4"/>
              </w:rPr>
            </w:pPr>
            <w:r>
              <w:rPr>
                <w:sz w:val="4"/>
                <w:szCs w:val="4"/>
              </w:rPr>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NEA Partners 16, L.P.</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6"/>
        <w:gridCol w:w="4149"/>
      </w:tblGrid>
      <w:tr>
        <w:trPr/>
        <w:tc>
          <w:tcPr>
            <w:tcW w:w="60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Zachary Bambach</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Zachary Bambach as attorney-in-fact for Anthony A. Florence Jr., Managing Partner and Co-Chief Executive Officer</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11/17/2025</w:t>
                  </w:r>
                </w:p>
              </w:tc>
            </w:tr>
          </w:tbl>
          <w:p>
            <w:pPr>
              <w:pStyle w:val="TableContents"/>
              <w:bidi w:val="0"/>
              <w:spacing w:before="0" w:after="283"/>
              <w:jc w:val="left"/>
              <w:rPr/>
            </w:pPr>
            <w:r>
              <w:rPr/>
            </w:r>
          </w:p>
        </w:tc>
        <w:tc>
          <w:tcPr>
            <w:tcW w:w="41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6"/>
        <w:gridCol w:w="4149"/>
      </w:tblGrid>
      <w:tr>
        <w:trPr/>
        <w:tc>
          <w:tcPr>
            <w:tcW w:w="60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Zachary Bambach</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Zachary Bambach as attorney-in-fact for Mohamad H. Makhzoumi, Managing Partner and Co-Chief Executive Officer</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11/17/2025</w:t>
                  </w:r>
                </w:p>
              </w:tc>
            </w:tr>
          </w:tbl>
          <w:p>
            <w:pPr>
              <w:pStyle w:val="TableContents"/>
              <w:bidi w:val="0"/>
              <w:spacing w:before="0" w:after="283"/>
              <w:jc w:val="left"/>
              <w:rPr/>
            </w:pPr>
            <w:r>
              <w:rPr/>
            </w:r>
          </w:p>
        </w:tc>
        <w:tc>
          <w:tcPr>
            <w:tcW w:w="4149" w:type="dxa"/>
            <w:tcBorders/>
            <w:vAlign w:val="center"/>
          </w:tcPr>
          <w:p>
            <w:pPr>
              <w:pStyle w:val="TableContents"/>
              <w:bidi w:val="0"/>
              <w:spacing w:before="0" w:after="283"/>
              <w:jc w:val="left"/>
              <w:rPr>
                <w:sz w:val="4"/>
                <w:szCs w:val="4"/>
              </w:rPr>
            </w:pPr>
            <w:r>
              <w:rPr>
                <w:sz w:val="4"/>
                <w:szCs w:val="4"/>
              </w:rPr>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NEA 16 GP, LLC</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6"/>
        <w:gridCol w:w="4149"/>
      </w:tblGrid>
      <w:tr>
        <w:trPr/>
        <w:tc>
          <w:tcPr>
            <w:tcW w:w="60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Zachary Bambach</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Zachary Bambach as attorney-in-fact for Anthony A. Florence Jr., Managing Partner and Co-Chief Executive Officer</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11/17/2025</w:t>
                  </w:r>
                </w:p>
              </w:tc>
            </w:tr>
          </w:tbl>
          <w:p>
            <w:pPr>
              <w:pStyle w:val="TableContents"/>
              <w:bidi w:val="0"/>
              <w:spacing w:before="0" w:after="283"/>
              <w:jc w:val="left"/>
              <w:rPr/>
            </w:pPr>
            <w:r>
              <w:rPr/>
            </w:r>
          </w:p>
        </w:tc>
        <w:tc>
          <w:tcPr>
            <w:tcW w:w="41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6"/>
        <w:gridCol w:w="4149"/>
      </w:tblGrid>
      <w:tr>
        <w:trPr/>
        <w:tc>
          <w:tcPr>
            <w:tcW w:w="60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Zachary Bambach</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Zachary Bambach as attorney-in-fact for Mohamad H. Makhzoumi, Managing Partner and Co-Chief Executive Officer</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11/17/2025</w:t>
                  </w:r>
                </w:p>
              </w:tc>
            </w:tr>
          </w:tbl>
          <w:p>
            <w:pPr>
              <w:pStyle w:val="TableContents"/>
              <w:bidi w:val="0"/>
              <w:spacing w:before="0" w:after="283"/>
              <w:jc w:val="left"/>
              <w:rPr/>
            </w:pPr>
            <w:r>
              <w:rPr/>
            </w:r>
          </w:p>
        </w:tc>
        <w:tc>
          <w:tcPr>
            <w:tcW w:w="4149" w:type="dxa"/>
            <w:tcBorders/>
            <w:vAlign w:val="center"/>
          </w:tcPr>
          <w:p>
            <w:pPr>
              <w:pStyle w:val="TableContents"/>
              <w:bidi w:val="0"/>
              <w:spacing w:before="0" w:after="283"/>
              <w:jc w:val="left"/>
              <w:rPr>
                <w:sz w:val="4"/>
                <w:szCs w:val="4"/>
              </w:rPr>
            </w:pPr>
            <w:r>
              <w:rPr>
                <w:sz w:val="4"/>
                <w:szCs w:val="4"/>
              </w:rPr>
            </w:r>
          </w:p>
        </w:tc>
      </w:tr>
    </w:tbl>
    <w:tbl>
      <w:tblPr>
        <w:tblW w:w="3278" w:type="dxa"/>
        <w:jc w:val="left"/>
        <w:tblInd w:w="0" w:type="dxa"/>
        <w:tblLayout w:type="fixed"/>
        <w:tblCellMar>
          <w:top w:w="28" w:type="dxa"/>
          <w:left w:w="28" w:type="dxa"/>
          <w:bottom w:w="28" w:type="dxa"/>
          <w:right w:w="28" w:type="dxa"/>
        </w:tblCellMar>
      </w:tblPr>
      <w:tblGrid>
        <w:gridCol w:w="1639"/>
        <w:gridCol w:w="1639"/>
      </w:tblGrid>
      <w:tr>
        <w:trPr/>
        <w:tc>
          <w:tcPr>
            <w:tcW w:w="1639" w:type="dxa"/>
            <w:tcBorders/>
            <w:vAlign w:val="center"/>
          </w:tcPr>
          <w:p>
            <w:pPr>
              <w:pStyle w:val="TableContents"/>
              <w:bidi w:val="0"/>
              <w:spacing w:before="0" w:after="0"/>
              <w:jc w:val="left"/>
              <w:rPr/>
            </w:pPr>
            <w:r>
              <w:rPr/>
              <w:t> </w:t>
            </w:r>
          </w:p>
          <w:tbl>
            <w:tblPr>
              <w:tblW w:w="1516" w:type="dxa"/>
              <w:jc w:val="left"/>
              <w:tblInd w:w="0" w:type="dxa"/>
              <w:tblLayout w:type="fixed"/>
              <w:tblCellMar>
                <w:top w:w="28" w:type="dxa"/>
                <w:left w:w="28" w:type="dxa"/>
                <w:bottom w:w="28" w:type="dxa"/>
                <w:right w:w="28" w:type="dxa"/>
              </w:tblCellMar>
            </w:tblPr>
            <w:tblGrid>
              <w:gridCol w:w="1516"/>
            </w:tblGrid>
            <w:tr>
              <w:trPr/>
              <w:tc>
                <w:tcPr>
                  <w:tcW w:w="1516" w:type="dxa"/>
                  <w:tcBorders/>
                  <w:vAlign w:val="center"/>
                </w:tcPr>
                <w:p>
                  <w:pPr>
                    <w:pStyle w:val="TableContents"/>
                    <w:bidi w:val="0"/>
                    <w:spacing w:before="0" w:after="0"/>
                    <w:jc w:val="left"/>
                    <w:rPr/>
                  </w:pPr>
                  <w:r>
                    <w:rPr/>
                    <w:t>Forest Baskett</w:t>
                  </w:r>
                </w:p>
              </w:tc>
            </w:tr>
          </w:tbl>
          <w:p>
            <w:pPr>
              <w:pStyle w:val="TableContents"/>
              <w:bidi w:val="0"/>
              <w:spacing w:before="0" w:after="283"/>
              <w:jc w:val="left"/>
              <w:rPr/>
            </w:pPr>
            <w:r>
              <w:rPr/>
            </w:r>
          </w:p>
        </w:tc>
        <w:tc>
          <w:tcPr>
            <w:tcW w:w="16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0"/>
        <w:gridCol w:w="4145"/>
      </w:tblGrid>
      <w:tr>
        <w:trPr/>
        <w:tc>
          <w:tcPr>
            <w:tcW w:w="60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Zachary Bambach</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Zachary Bambach as attorney-in-fact for Forest Baskett</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11/17/2025</w:t>
                  </w:r>
                </w:p>
              </w:tc>
            </w:tr>
          </w:tbl>
          <w:p>
            <w:pPr>
              <w:pStyle w:val="TableContents"/>
              <w:bidi w:val="0"/>
              <w:spacing w:before="0" w:after="283"/>
              <w:jc w:val="left"/>
              <w:rPr/>
            </w:pPr>
            <w:r>
              <w:rPr/>
            </w:r>
          </w:p>
        </w:tc>
        <w:tc>
          <w:tcPr>
            <w:tcW w:w="4145" w:type="dxa"/>
            <w:tcBorders/>
            <w:vAlign w:val="center"/>
          </w:tcPr>
          <w:p>
            <w:pPr>
              <w:pStyle w:val="TableContents"/>
              <w:bidi w:val="0"/>
              <w:spacing w:before="0" w:after="283"/>
              <w:jc w:val="left"/>
              <w:rPr>
                <w:sz w:val="4"/>
                <w:szCs w:val="4"/>
              </w:rPr>
            </w:pPr>
            <w:r>
              <w:rPr>
                <w:sz w:val="4"/>
                <w:szCs w:val="4"/>
              </w:rPr>
            </w:r>
          </w:p>
        </w:tc>
      </w:tr>
    </w:tbl>
    <w:tbl>
      <w:tblPr>
        <w:tblW w:w="3334" w:type="dxa"/>
        <w:jc w:val="left"/>
        <w:tblInd w:w="0" w:type="dxa"/>
        <w:tblLayout w:type="fixed"/>
        <w:tblCellMar>
          <w:top w:w="28" w:type="dxa"/>
          <w:left w:w="28" w:type="dxa"/>
          <w:bottom w:w="28" w:type="dxa"/>
          <w:right w:w="28" w:type="dxa"/>
        </w:tblCellMar>
      </w:tblPr>
      <w:tblGrid>
        <w:gridCol w:w="1667"/>
        <w:gridCol w:w="1667"/>
      </w:tblGrid>
      <w:tr>
        <w:trPr/>
        <w:tc>
          <w:tcPr>
            <w:tcW w:w="1667" w:type="dxa"/>
            <w:tcBorders/>
            <w:vAlign w:val="center"/>
          </w:tcPr>
          <w:p>
            <w:pPr>
              <w:pStyle w:val="TableContents"/>
              <w:bidi w:val="0"/>
              <w:spacing w:before="0" w:after="0"/>
              <w:jc w:val="left"/>
              <w:rPr/>
            </w:pPr>
            <w:r>
              <w:rPr/>
              <w:t> </w:t>
            </w:r>
          </w:p>
          <w:tbl>
            <w:tblPr>
              <w:tblW w:w="1546" w:type="dxa"/>
              <w:jc w:val="left"/>
              <w:tblInd w:w="0" w:type="dxa"/>
              <w:tblLayout w:type="fixed"/>
              <w:tblCellMar>
                <w:top w:w="28" w:type="dxa"/>
                <w:left w:w="28" w:type="dxa"/>
                <w:bottom w:w="28" w:type="dxa"/>
                <w:right w:w="28" w:type="dxa"/>
              </w:tblCellMar>
            </w:tblPr>
            <w:tblGrid>
              <w:gridCol w:w="1546"/>
            </w:tblGrid>
            <w:tr>
              <w:trPr/>
              <w:tc>
                <w:tcPr>
                  <w:tcW w:w="1546" w:type="dxa"/>
                  <w:tcBorders/>
                  <w:vAlign w:val="center"/>
                </w:tcPr>
                <w:p>
                  <w:pPr>
                    <w:pStyle w:val="TableContents"/>
                    <w:bidi w:val="0"/>
                    <w:spacing w:before="0" w:after="0"/>
                    <w:jc w:val="left"/>
                    <w:rPr/>
                  </w:pPr>
                  <w:r>
                    <w:rPr/>
                    <w:t>Ali Behbahani</w:t>
                  </w:r>
                </w:p>
              </w:tc>
            </w:tr>
          </w:tbl>
          <w:p>
            <w:pPr>
              <w:pStyle w:val="TableContents"/>
              <w:bidi w:val="0"/>
              <w:spacing w:before="0" w:after="283"/>
              <w:jc w:val="left"/>
              <w:rPr/>
            </w:pPr>
            <w:r>
              <w:rPr/>
            </w:r>
          </w:p>
        </w:tc>
        <w:tc>
          <w:tcPr>
            <w:tcW w:w="16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2"/>
        <w:gridCol w:w="4143"/>
      </w:tblGrid>
      <w:tr>
        <w:trPr/>
        <w:tc>
          <w:tcPr>
            <w:tcW w:w="60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Zachary Bambach</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Zachary Bambach as attorney-in-fact for Ali Behbahani</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11/17/2025</w:t>
                  </w:r>
                </w:p>
              </w:tc>
            </w:tr>
          </w:tbl>
          <w:p>
            <w:pPr>
              <w:pStyle w:val="TableContents"/>
              <w:bidi w:val="0"/>
              <w:spacing w:before="0" w:after="283"/>
              <w:jc w:val="left"/>
              <w:rPr/>
            </w:pPr>
            <w:r>
              <w:rPr/>
            </w:r>
          </w:p>
        </w:tc>
        <w:tc>
          <w:tcPr>
            <w:tcW w:w="4143" w:type="dxa"/>
            <w:tcBorders/>
            <w:vAlign w:val="center"/>
          </w:tcPr>
          <w:p>
            <w:pPr>
              <w:pStyle w:val="TableContents"/>
              <w:bidi w:val="0"/>
              <w:spacing w:before="0" w:after="283"/>
              <w:jc w:val="left"/>
              <w:rPr>
                <w:sz w:val="4"/>
                <w:szCs w:val="4"/>
              </w:rPr>
            </w:pPr>
            <w:r>
              <w:rPr>
                <w:sz w:val="4"/>
                <w:szCs w:val="4"/>
              </w:rPr>
            </w:r>
          </w:p>
        </w:tc>
      </w:tr>
    </w:tbl>
    <w:tbl>
      <w:tblPr>
        <w:tblW w:w="3446" w:type="dxa"/>
        <w:jc w:val="left"/>
        <w:tblInd w:w="0" w:type="dxa"/>
        <w:tblLayout w:type="fixed"/>
        <w:tblCellMar>
          <w:top w:w="28" w:type="dxa"/>
          <w:left w:w="28" w:type="dxa"/>
          <w:bottom w:w="28" w:type="dxa"/>
          <w:right w:w="28" w:type="dxa"/>
        </w:tblCellMar>
      </w:tblPr>
      <w:tblGrid>
        <w:gridCol w:w="1723"/>
        <w:gridCol w:w="1723"/>
      </w:tblGrid>
      <w:tr>
        <w:trPr/>
        <w:tc>
          <w:tcPr>
            <w:tcW w:w="1723" w:type="dxa"/>
            <w:tcBorders/>
            <w:vAlign w:val="center"/>
          </w:tcPr>
          <w:p>
            <w:pPr>
              <w:pStyle w:val="TableContents"/>
              <w:bidi w:val="0"/>
              <w:spacing w:before="0" w:after="0"/>
              <w:jc w:val="left"/>
              <w:rPr/>
            </w:pPr>
            <w:r>
              <w:rPr/>
              <w:t> </w:t>
            </w:r>
          </w:p>
          <w:tbl>
            <w:tblPr>
              <w:tblW w:w="1606" w:type="dxa"/>
              <w:jc w:val="left"/>
              <w:tblInd w:w="0" w:type="dxa"/>
              <w:tblLayout w:type="fixed"/>
              <w:tblCellMar>
                <w:top w:w="28" w:type="dxa"/>
                <w:left w:w="28" w:type="dxa"/>
                <w:bottom w:w="28" w:type="dxa"/>
                <w:right w:w="28" w:type="dxa"/>
              </w:tblCellMar>
            </w:tblPr>
            <w:tblGrid>
              <w:gridCol w:w="1606"/>
            </w:tblGrid>
            <w:tr>
              <w:trPr/>
              <w:tc>
                <w:tcPr>
                  <w:tcW w:w="1606" w:type="dxa"/>
                  <w:tcBorders/>
                  <w:vAlign w:val="center"/>
                </w:tcPr>
                <w:p>
                  <w:pPr>
                    <w:pStyle w:val="TableContents"/>
                    <w:bidi w:val="0"/>
                    <w:spacing w:before="0" w:after="0"/>
                    <w:jc w:val="left"/>
                    <w:rPr/>
                  </w:pPr>
                  <w:r>
                    <w:rPr/>
                    <w:t>Carmen Chang</w:t>
                  </w:r>
                </w:p>
              </w:tc>
            </w:tr>
          </w:tbl>
          <w:p>
            <w:pPr>
              <w:pStyle w:val="TableContents"/>
              <w:bidi w:val="0"/>
              <w:spacing w:before="0" w:after="283"/>
              <w:jc w:val="left"/>
              <w:rPr/>
            </w:pPr>
            <w:r>
              <w:rPr/>
            </w:r>
          </w:p>
        </w:tc>
        <w:tc>
          <w:tcPr>
            <w:tcW w:w="17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7"/>
        <w:gridCol w:w="4148"/>
      </w:tblGrid>
      <w:tr>
        <w:trPr/>
        <w:tc>
          <w:tcPr>
            <w:tcW w:w="60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Zachary Bambach</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Zachary Bambach as attorney-in-fact for Carmen Chang</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11/17/2025</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Anthony A. Florence, Jr.</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6"/>
        <w:gridCol w:w="4149"/>
      </w:tblGrid>
      <w:tr>
        <w:trPr/>
        <w:tc>
          <w:tcPr>
            <w:tcW w:w="60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Zachary Bambach</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Zachary Bambach as attorney-in-fact for Anthony A. Florence, Jr.</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11/17/2025</w:t>
                  </w:r>
                </w:p>
              </w:tc>
            </w:tr>
          </w:tbl>
          <w:p>
            <w:pPr>
              <w:pStyle w:val="TableContents"/>
              <w:bidi w:val="0"/>
              <w:spacing w:before="0" w:after="283"/>
              <w:jc w:val="left"/>
              <w:rPr/>
            </w:pPr>
            <w:r>
              <w:rPr/>
            </w:r>
          </w:p>
        </w:tc>
        <w:tc>
          <w:tcPr>
            <w:tcW w:w="4149" w:type="dxa"/>
            <w:tcBorders/>
            <w:vAlign w:val="center"/>
          </w:tcPr>
          <w:p>
            <w:pPr>
              <w:pStyle w:val="TableContents"/>
              <w:bidi w:val="0"/>
              <w:spacing w:before="0" w:after="283"/>
              <w:jc w:val="left"/>
              <w:rPr>
                <w:sz w:val="4"/>
                <w:szCs w:val="4"/>
              </w:rPr>
            </w:pPr>
            <w:r>
              <w:rPr>
                <w:sz w:val="4"/>
                <w:szCs w:val="4"/>
              </w:rPr>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Mohamad H. Makhzoumi</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0"/>
        <w:gridCol w:w="4145"/>
      </w:tblGrid>
      <w:tr>
        <w:trPr/>
        <w:tc>
          <w:tcPr>
            <w:tcW w:w="60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Zachary Bambach</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Zachary Bambach as attorney-in-fact for Mohamad H. Makhzoumi</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11/17/2025</w:t>
                  </w:r>
                </w:p>
              </w:tc>
            </w:tr>
          </w:tbl>
          <w:p>
            <w:pPr>
              <w:pStyle w:val="TableContents"/>
              <w:bidi w:val="0"/>
              <w:spacing w:before="0" w:after="283"/>
              <w:jc w:val="left"/>
              <w:rPr/>
            </w:pPr>
            <w:r>
              <w:rPr/>
            </w:r>
          </w:p>
        </w:tc>
        <w:tc>
          <w:tcPr>
            <w:tcW w:w="4145"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Scott D. Sandell</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2"/>
        <w:gridCol w:w="4143"/>
      </w:tblGrid>
      <w:tr>
        <w:trPr/>
        <w:tc>
          <w:tcPr>
            <w:tcW w:w="60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Zachary Bambach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Zachary Bambach as attorney-in-fact for Scott D. Sandell</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11/17/2025</w:t>
                  </w:r>
                </w:p>
              </w:tc>
            </w:tr>
          </w:tbl>
          <w:p>
            <w:pPr>
              <w:pStyle w:val="TableContents"/>
              <w:bidi w:val="0"/>
              <w:spacing w:before="0" w:after="283"/>
              <w:jc w:val="left"/>
              <w:rPr/>
            </w:pPr>
            <w:r>
              <w:rPr/>
            </w:r>
          </w:p>
        </w:tc>
        <w:tc>
          <w:tcPr>
            <w:tcW w:w="4143" w:type="dxa"/>
            <w:tcBorders/>
            <w:vAlign w:val="center"/>
          </w:tcPr>
          <w:p>
            <w:pPr>
              <w:pStyle w:val="TableContents"/>
              <w:bidi w:val="0"/>
              <w:spacing w:before="0" w:after="283"/>
              <w:jc w:val="left"/>
              <w:rPr>
                <w:sz w:val="4"/>
                <w:szCs w:val="4"/>
              </w:rPr>
            </w:pPr>
            <w:r>
              <w:rPr>
                <w:sz w:val="4"/>
                <w:szCs w:val="4"/>
              </w:rPr>
            </w:r>
          </w:p>
        </w:tc>
      </w:tr>
    </w:tbl>
    <w:tbl>
      <w:tblPr>
        <w:tblW w:w="2892" w:type="dxa"/>
        <w:jc w:val="left"/>
        <w:tblInd w:w="0" w:type="dxa"/>
        <w:tblLayout w:type="fixed"/>
        <w:tblCellMar>
          <w:top w:w="28" w:type="dxa"/>
          <w:left w:w="28" w:type="dxa"/>
          <w:bottom w:w="28" w:type="dxa"/>
          <w:right w:w="28" w:type="dxa"/>
        </w:tblCellMar>
      </w:tblPr>
      <w:tblGrid>
        <w:gridCol w:w="1446"/>
        <w:gridCol w:w="1446"/>
      </w:tblGrid>
      <w:tr>
        <w:trPr/>
        <w:tc>
          <w:tcPr>
            <w:tcW w:w="1446" w:type="dxa"/>
            <w:tcBorders/>
            <w:vAlign w:val="center"/>
          </w:tcPr>
          <w:p>
            <w:pPr>
              <w:pStyle w:val="TableContents"/>
              <w:bidi w:val="0"/>
              <w:spacing w:before="0" w:after="0"/>
              <w:jc w:val="left"/>
              <w:rPr/>
            </w:pPr>
            <w:r>
              <w:rPr/>
              <w:t> </w:t>
            </w:r>
          </w:p>
          <w:tbl>
            <w:tblPr>
              <w:tblW w:w="1336" w:type="dxa"/>
              <w:jc w:val="left"/>
              <w:tblInd w:w="0" w:type="dxa"/>
              <w:tblLayout w:type="fixed"/>
              <w:tblCellMar>
                <w:top w:w="28" w:type="dxa"/>
                <w:left w:w="28" w:type="dxa"/>
                <w:bottom w:w="28" w:type="dxa"/>
                <w:right w:w="28" w:type="dxa"/>
              </w:tblCellMar>
            </w:tblPr>
            <w:tblGrid>
              <w:gridCol w:w="1336"/>
            </w:tblGrid>
            <w:tr>
              <w:trPr/>
              <w:tc>
                <w:tcPr>
                  <w:tcW w:w="1336" w:type="dxa"/>
                  <w:tcBorders/>
                  <w:vAlign w:val="center"/>
                </w:tcPr>
                <w:p>
                  <w:pPr>
                    <w:pStyle w:val="TableContents"/>
                    <w:bidi w:val="0"/>
                    <w:spacing w:before="0" w:after="0"/>
                    <w:jc w:val="left"/>
                    <w:rPr/>
                  </w:pPr>
                  <w:r>
                    <w:rPr/>
                    <w:t>Paul Walker</w:t>
                  </w:r>
                </w:p>
              </w:tc>
            </w:tr>
          </w:tbl>
          <w:p>
            <w:pPr>
              <w:pStyle w:val="TableContents"/>
              <w:bidi w:val="0"/>
              <w:spacing w:before="0" w:after="283"/>
              <w:jc w:val="left"/>
              <w:rPr/>
            </w:pPr>
            <w:r>
              <w:rPr/>
            </w:r>
          </w:p>
        </w:tc>
        <w:tc>
          <w:tcPr>
            <w:tcW w:w="14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9"/>
        <w:gridCol w:w="4146"/>
      </w:tblGrid>
      <w:tr>
        <w:trPr/>
        <w:tc>
          <w:tcPr>
            <w:tcW w:w="60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Zachary Bambach</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Zachary Bambach as attorney-in-fact for Paul Walker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11/17/2025</w:t>
                  </w:r>
                </w:p>
              </w:tc>
            </w:tr>
          </w:tbl>
          <w:p>
            <w:pPr>
              <w:pStyle w:val="TableContents"/>
              <w:bidi w:val="0"/>
              <w:spacing w:before="0" w:after="283"/>
              <w:jc w:val="left"/>
              <w:rPr/>
            </w:pPr>
            <w:r>
              <w:rPr/>
            </w:r>
          </w:p>
        </w:tc>
        <w:tc>
          <w:tcPr>
            <w:tcW w:w="41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0"/>
              <w:ind w:left="0" w:right="75" w:hanging="0"/>
              <w:jc w:val="left"/>
              <w:rPr>
                <w:b/>
              </w:rPr>
            </w:pPr>
            <w:r>
              <w:rPr>
                <w:b/>
              </w:rPr>
              <w:t xml:space="preserve">Comments accompanying signature: </w:t>
            </w:r>
          </w:p>
          <w:p>
            <w:pPr>
              <w:pStyle w:val="TableContents"/>
              <w:bidi w:val="0"/>
              <w:spacing w:before="0" w:after="0"/>
              <w:jc w:val="both"/>
              <w:rPr/>
            </w:pPr>
            <w:r>
              <w:rPr/>
              <w:t>This Amendment No. 5 to Schedule 13D was executed by Zachary Bambach on behalf of the individuals listed above pursuant to a Power of Attorney, a copy of which is attached as Exhibit 2.</w:t>
            </w:r>
          </w:p>
        </w:tc>
      </w:tr>
    </w:tbl>
    <w:p>
      <w:pPr>
        <w:pStyle w:val="TextBody"/>
        <w:bidi w:val="0"/>
        <w:ind w:left="0" w:right="0" w:hanging="0"/>
        <w:jc w:val="left"/>
        <w:rPr>
          <w:bdr w:val="single" w:sz="8" w:space="1" w:color="000000"/>
        </w:rPr>
      </w:pPr>
      <w:bookmarkStart w:id="50" w:name="exh1.htm"/>
      <w:bookmarkStart w:id="51" w:name="ksexh1"/>
      <w:bookmarkEnd w:id="50"/>
      <w:bookmarkEnd w:id="51"/>
      <w:r>
        <w:rPr>
          <w:bdr w:val="single" w:sz="8" w:space="1" w:color="000000"/>
        </w:rPr>
        <w:t> </w:t>
      </w:r>
      <w:r>
        <w:br w:type="page"/>
      </w:r>
    </w:p>
    <w:p>
      <w:pPr>
        <w:pStyle w:val="TextBody"/>
        <w:bidi w:val="0"/>
        <w:jc w:val="righ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13d-1(k)(1) under the Securities Exchange Act of 1934, the undersigned hereby agree that only one statement containing the information required by Schedule 13D need be filed with respect to the ownership by each of the undersigned of shares of stock of Marker Therapeutics, Inc.</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this 17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November, 2025.</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ENTERPRISE ASSOCIATES 16, L.P.</w:t>
      </w:r>
    </w:p>
    <w:p>
      <w:pPr>
        <w:pStyle w:val="TextBody"/>
        <w:bidi w:val="0"/>
        <w:jc w:val="left"/>
        <w:rPr>
          <w:caps w:val="false"/>
          <w:smallCaps w:val="false"/>
        </w:rPr>
      </w:pPr>
      <w:r>
        <w:rPr>
          <w:caps w:val="false"/>
          <w:smallCaps w:val="false"/>
        </w:rPr>
        <w:t> </w:t>
      </w:r>
    </w:p>
    <w:tbl>
      <w:tblPr>
        <w:tblW w:w="2478" w:type="dxa"/>
        <w:jc w:val="left"/>
        <w:tblInd w:w="0" w:type="dxa"/>
        <w:tblLayout w:type="fixed"/>
        <w:tblCellMar>
          <w:top w:w="0" w:type="dxa"/>
          <w:left w:w="0" w:type="dxa"/>
          <w:bottom w:w="0" w:type="dxa"/>
          <w:right w:w="0" w:type="dxa"/>
        </w:tblCellMar>
      </w:tblPr>
      <w:tblGrid>
        <w:gridCol w:w="38"/>
        <w:gridCol w:w="320"/>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20" w:type="dxa"/>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NEA PARTNERS 16, L.P.</w:t>
            </w:r>
          </w:p>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Partner</w:t>
            </w:r>
          </w:p>
        </w:tc>
      </w:tr>
    </w:tbl>
    <w:p>
      <w:pPr>
        <w:pStyle w:val="TextBody"/>
        <w:bidi w:val="0"/>
        <w:ind w:left="720" w:right="0" w:hanging="720"/>
        <w:jc w:val="left"/>
        <w:rPr>
          <w:caps w:val="false"/>
          <w:smallCaps w:val="false"/>
        </w:rPr>
      </w:pPr>
      <w:r>
        <w:rPr>
          <w:caps w:val="false"/>
          <w:smallCaps w:val="false"/>
        </w:rPr>
        <w:t> </w:t>
      </w:r>
    </w:p>
    <w:tbl>
      <w:tblPr>
        <w:tblW w:w="1788" w:type="dxa"/>
        <w:jc w:val="left"/>
        <w:tblInd w:w="0" w:type="dxa"/>
        <w:tblLayout w:type="fixed"/>
        <w:tblCellMar>
          <w:top w:w="0" w:type="dxa"/>
          <w:left w:w="0" w:type="dxa"/>
          <w:bottom w:w="0" w:type="dxa"/>
          <w:right w:w="0" w:type="dxa"/>
        </w:tblCellMar>
      </w:tblPr>
      <w:tblGrid>
        <w:gridCol w:w="38"/>
        <w:gridCol w:w="32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430" w:type="dxa"/>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NEA 16 GP, LLC</w:t>
            </w:r>
          </w:p>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Partner</w:t>
            </w:r>
          </w:p>
        </w:tc>
      </w:tr>
    </w:tbl>
    <w:p>
      <w:pPr>
        <w:pStyle w:val="TextBody"/>
        <w:bidi w:val="0"/>
        <w:ind w:left="720" w:right="0" w:hanging="720"/>
        <w:jc w:val="left"/>
        <w:rPr>
          <w:caps w:val="false"/>
          <w:smallCaps w:val="false"/>
        </w:rPr>
      </w:pPr>
      <w:r>
        <w:rPr>
          <w:caps w:val="false"/>
          <w:smallCaps w:val="false"/>
        </w:rPr>
        <w:t>  </w:t>
      </w:r>
    </w:p>
    <w:p>
      <w:pPr>
        <w:pStyle w:val="TextBody"/>
        <w:bidi w:val="0"/>
        <w:ind w:left="144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                          *</w:t>
        <w:tab/>
        <w:t xml:space="preserve">                                </w:t>
      </w:r>
    </w:p>
    <w:p>
      <w:pPr>
        <w:pStyle w:val="TextBody"/>
        <w:bidi w:val="0"/>
        <w:spacing w:before="0" w:after="0"/>
        <w:ind w:left="1000" w:right="0" w:firstLine="10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Anthony A. Florence, Jr.</w:t>
      </w:r>
    </w:p>
    <w:p>
      <w:pPr>
        <w:pStyle w:val="TextBody"/>
        <w:bidi w:val="0"/>
        <w:spacing w:before="0" w:after="0"/>
        <w:ind w:left="1000" w:right="0" w:firstLine="10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Managing Partner and Co-Chief Executive Officer </w:t>
      </w:r>
    </w:p>
    <w:p>
      <w:pPr>
        <w:pStyle w:val="TextBody"/>
        <w:bidi w:val="0"/>
        <w:jc w:val="left"/>
        <w:rPr>
          <w:caps w:val="false"/>
          <w:smallCaps w:val="false"/>
        </w:rPr>
      </w:pPr>
      <w:r>
        <w:rPr>
          <w:caps w:val="false"/>
          <w:smallCaps w:val="false"/>
        </w:rPr>
        <w:t>   </w:t>
      </w:r>
    </w:p>
    <w:p>
      <w:pPr>
        <w:pStyle w:val="TextBody"/>
        <w:bidi w:val="0"/>
        <w:ind w:left="144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                          *</w:t>
        <w:tab/>
        <w:t xml:space="preserve">                                </w:t>
      </w:r>
    </w:p>
    <w:p>
      <w:pPr>
        <w:pStyle w:val="TextBody"/>
        <w:bidi w:val="0"/>
        <w:spacing w:before="0" w:after="0"/>
        <w:ind w:left="1000" w:right="0" w:firstLine="10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Mohamad H. Makhzoumi</w:t>
      </w:r>
    </w:p>
    <w:p>
      <w:pPr>
        <w:pStyle w:val="TextBody"/>
        <w:bidi w:val="0"/>
        <w:spacing w:before="0" w:after="0"/>
        <w:ind w:left="1000" w:right="0" w:firstLine="10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Managing Partner and Co-Chief Executive Officer  </w:t>
      </w:r>
    </w:p>
    <w:p>
      <w:pPr>
        <w:pStyle w:val="TextBody"/>
        <w:bidi w:val="0"/>
        <w:ind w:left="1440" w:right="0" w:hanging="0"/>
        <w:jc w:val="left"/>
        <w:rPr>
          <w:caps w:val="false"/>
          <w:smallCaps w:val="false"/>
        </w:rPr>
      </w:pPr>
      <w:r>
        <w:rPr>
          <w:caps w:val="false"/>
          <w:smallCaps w:val="false"/>
        </w:rPr>
        <w:t> </w:t>
      </w:r>
    </w:p>
    <w:p>
      <w:pPr>
        <w:pStyle w:val="TextBody"/>
        <w:bidi w:val="0"/>
        <w:spacing w:before="120" w:after="120"/>
        <w:ind w:left="120" w:right="120" w:hanging="0"/>
        <w:jc w:val="left"/>
        <w:rPr>
          <w:caps w:val="false"/>
          <w:smallCaps w:val="false"/>
        </w:rPr>
      </w:pPr>
      <w:r>
        <w:rPr>
          <w:caps w:val="false"/>
          <w:smallCaps w:val="false"/>
        </w:rPr>
        <w:t> </w:t>
      </w:r>
    </w:p>
    <w:p>
      <w:pPr>
        <w:pStyle w:val="TextBody"/>
        <w:bidi w:val="0"/>
        <w:spacing w:before="120" w:after="120"/>
        <w:ind w:left="120"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 PARTNERS 16, L.P.</w:t>
      </w:r>
    </w:p>
    <w:p>
      <w:pPr>
        <w:pStyle w:val="TextBody"/>
        <w:bidi w:val="0"/>
        <w:jc w:val="left"/>
        <w:rPr>
          <w:caps w:val="false"/>
          <w:smallCaps w:val="false"/>
        </w:rPr>
      </w:pPr>
      <w:r>
        <w:rPr>
          <w:caps w:val="false"/>
          <w:smallCaps w:val="false"/>
        </w:rPr>
        <w:t> </w:t>
      </w:r>
    </w:p>
    <w:tbl>
      <w:tblPr>
        <w:tblW w:w="1788" w:type="dxa"/>
        <w:jc w:val="left"/>
        <w:tblInd w:w="0" w:type="dxa"/>
        <w:tblLayout w:type="fixed"/>
        <w:tblCellMar>
          <w:top w:w="0" w:type="dxa"/>
          <w:left w:w="0" w:type="dxa"/>
          <w:bottom w:w="0" w:type="dxa"/>
          <w:right w:w="0" w:type="dxa"/>
        </w:tblCellMar>
      </w:tblPr>
      <w:tblGrid>
        <w:gridCol w:w="38"/>
        <w:gridCol w:w="32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NEA 16 GP, LLC</w:t>
              <w:br/>
              <w:t>General Partner</w:t>
            </w:r>
          </w:p>
        </w:tc>
      </w:tr>
    </w:tbl>
    <w:p>
      <w:pPr>
        <w:pStyle w:val="TextBody"/>
        <w:bidi w:val="0"/>
        <w:ind w:left="1440" w:right="0" w:hanging="840"/>
        <w:jc w:val="left"/>
        <w:rPr>
          <w:caps w:val="false"/>
          <w:smallCaps w:val="false"/>
        </w:rPr>
      </w:pPr>
      <w:r>
        <w:rPr>
          <w:caps w:val="false"/>
          <w:smallCaps w:val="false"/>
        </w:rPr>
        <w:t> </w:t>
      </w:r>
    </w:p>
    <w:p>
      <w:pPr>
        <w:pStyle w:val="TextBody"/>
        <w:bidi w:val="0"/>
        <w:ind w:left="1440" w:right="0" w:hanging="8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                          *</w:t>
        <w:tab/>
        <w:t xml:space="preserve">                                </w:t>
      </w:r>
    </w:p>
    <w:p>
      <w:pPr>
        <w:pStyle w:val="TextBody"/>
        <w:bidi w:val="0"/>
        <w:spacing w:before="0" w:after="0"/>
        <w:ind w:left="1000" w:right="0" w:firstLine="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Anthony A. Florence, Jr.</w:t>
      </w:r>
    </w:p>
    <w:p>
      <w:pPr>
        <w:pStyle w:val="TextBody"/>
        <w:bidi w:val="0"/>
        <w:spacing w:before="0" w:after="0"/>
        <w:ind w:left="1000" w:right="0" w:firstLine="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Managing Partner and Co-Chief Executive Officer </w:t>
      </w:r>
    </w:p>
    <w:p>
      <w:pPr>
        <w:pStyle w:val="TextBody"/>
        <w:bidi w:val="0"/>
        <w:spacing w:before="0" w:after="283"/>
        <w:ind w:left="0" w:right="0" w:hanging="0"/>
        <w:jc w:val="left"/>
        <w:rPr>
          <w:caps w:val="false"/>
          <w:smallCaps w:val="false"/>
        </w:rPr>
      </w:pPr>
      <w:r>
        <w:rPr>
          <w:caps w:val="false"/>
          <w:smallCaps w:val="false"/>
        </w:rPr>
        <w:t>   </w:t>
      </w:r>
    </w:p>
    <w:p>
      <w:pPr>
        <w:pStyle w:val="TextBody"/>
        <w:bidi w:val="0"/>
        <w:ind w:left="1440" w:right="0" w:hanging="8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                          *</w:t>
        <w:tab/>
        <w:t xml:space="preserve">                                </w:t>
      </w:r>
    </w:p>
    <w:p>
      <w:pPr>
        <w:pStyle w:val="TextBody"/>
        <w:bidi w:val="0"/>
        <w:spacing w:before="0" w:after="0"/>
        <w:ind w:left="1000" w:right="0" w:firstLine="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Mohamad H. Makhzoumi</w:t>
      </w:r>
    </w:p>
    <w:p>
      <w:pPr>
        <w:pStyle w:val="TextBody"/>
        <w:bidi w:val="0"/>
        <w:spacing w:before="0" w:after="0"/>
        <w:ind w:left="1000" w:right="0" w:firstLine="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Managing Partner and Co-Chief Executive Officer</w:t>
      </w:r>
    </w:p>
    <w:p>
      <w:pPr>
        <w:pStyle w:val="TextBody"/>
        <w:bidi w:val="0"/>
        <w:ind w:left="1000" w:right="0" w:firstLine="4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120" w:after="120"/>
        <w:ind w:left="120"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 16 GP, LLC</w:t>
      </w:r>
    </w:p>
    <w:p>
      <w:pPr>
        <w:pStyle w:val="TextBody"/>
        <w:bidi w:val="0"/>
        <w:jc w:val="left"/>
        <w:rPr>
          <w:caps w:val="false"/>
          <w:smallCaps w:val="false"/>
        </w:rPr>
      </w:pPr>
      <w:r>
        <w:rPr>
          <w:caps w:val="false"/>
          <w:smallCaps w:val="false"/>
        </w:rPr>
        <w:t> </w:t>
      </w:r>
    </w:p>
    <w:p>
      <w:pPr>
        <w:pStyle w:val="TextBody"/>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                          *</w:t>
        <w:tab/>
        <w:t xml:space="preserve">                                </w:t>
      </w:r>
    </w:p>
    <w:p>
      <w:pPr>
        <w:pStyle w:val="TextBody"/>
        <w:bidi w:val="0"/>
        <w:spacing w:before="0" w:after="0"/>
        <w:ind w:left="0" w:right="0" w:firstLine="10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A. Florence, Jr.</w:t>
      </w:r>
    </w:p>
    <w:p>
      <w:pPr>
        <w:pStyle w:val="TextBody"/>
        <w:bidi w:val="0"/>
        <w:spacing w:before="0" w:after="0"/>
        <w:ind w:left="0" w:right="0" w:firstLine="10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Partner and Co-Chief Executive Officer </w:t>
      </w:r>
    </w:p>
    <w:p>
      <w:pPr>
        <w:pStyle w:val="TextBody"/>
        <w:bidi w:val="0"/>
        <w:spacing w:before="0" w:after="283"/>
        <w:ind w:left="0" w:right="0" w:hanging="0"/>
        <w:jc w:val="left"/>
        <w:rPr>
          <w:caps w:val="false"/>
          <w:smallCaps w:val="false"/>
        </w:rPr>
      </w:pPr>
      <w:r>
        <w:rPr>
          <w:caps w:val="false"/>
          <w:smallCaps w:val="false"/>
        </w:rPr>
        <w:t>   </w:t>
      </w:r>
    </w:p>
    <w:p>
      <w:pPr>
        <w:pStyle w:val="TextBody"/>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                          *</w:t>
        <w:tab/>
        <w:t xml:space="preserve">                                </w:t>
      </w:r>
    </w:p>
    <w:p>
      <w:pPr>
        <w:pStyle w:val="TextBody"/>
        <w:bidi w:val="0"/>
        <w:spacing w:before="0" w:after="0"/>
        <w:ind w:left="0" w:right="0" w:firstLine="10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Mohamad H. Makhzoumi</w:t>
      </w:r>
    </w:p>
    <w:p>
      <w:pPr>
        <w:pStyle w:val="TextBody"/>
        <w:bidi w:val="0"/>
        <w:spacing w:before="0" w:after="0"/>
        <w:ind w:left="0" w:right="0" w:firstLine="10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Partner and Co-Chief Executive Officer</w:t>
      </w:r>
    </w:p>
    <w:p>
      <w:pPr>
        <w:pStyle w:val="TextBody"/>
        <w:bidi w:val="0"/>
        <w:ind w:left="720" w:right="0" w:hanging="720"/>
        <w:jc w:val="left"/>
        <w:rPr>
          <w:caps w:val="false"/>
          <w:smallCaps w:val="false"/>
        </w:rPr>
      </w:pPr>
      <w:r>
        <w:rPr>
          <w:caps w:val="false"/>
          <w:smallCaps w:val="false"/>
        </w:rPr>
        <w:t> </w:t>
      </w:r>
    </w:p>
    <w:p>
      <w:pPr>
        <w:pStyle w:val="TextBody"/>
        <w:bidi w:val="0"/>
        <w:ind w:left="720" w:right="0" w:hanging="720"/>
        <w:jc w:val="left"/>
        <w:rPr>
          <w:caps w:val="false"/>
          <w:smallCaps w:val="false"/>
        </w:rPr>
      </w:pPr>
      <w:r>
        <w:rPr>
          <w:caps w:val="false"/>
          <w:smallCaps w:val="false"/>
        </w:rPr>
        <w:t> </w:t>
      </w:r>
    </w:p>
    <w:p>
      <w:pPr>
        <w:pStyle w:val="TextBody"/>
        <w:bidi w:val="0"/>
        <w:ind w:left="720" w:right="0" w:hanging="720"/>
        <w:jc w:val="left"/>
        <w:rPr>
          <w:caps w:val="false"/>
          <w:smallCaps w:val="false"/>
        </w:rPr>
      </w:pPr>
      <w:r>
        <w:rPr>
          <w:caps w:val="false"/>
          <w:smallCaps w:val="false"/>
        </w:rPr>
        <w:t> </w:t>
      </w:r>
    </w:p>
    <w:p>
      <w:pPr>
        <w:pStyle w:val="TextBody"/>
        <w:bidi w:val="0"/>
        <w:ind w:left="720" w:right="0" w:hanging="720"/>
        <w:jc w:val="left"/>
        <w:rPr>
          <w:caps w:val="false"/>
          <w:smallCaps w:val="false"/>
        </w:rPr>
      </w:pPr>
      <w:r>
        <w:rPr>
          <w:caps w:val="false"/>
          <w:smallCaps w:val="false"/>
        </w:rPr>
        <w:t> </w:t>
      </w:r>
    </w:p>
    <w:p>
      <w:pPr>
        <w:pStyle w:val="TextBody"/>
        <w:bidi w:val="0"/>
        <w:ind w:left="720" w:right="0" w:hanging="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ind w:left="720" w:right="0" w:hanging="720"/>
        <w:jc w:val="left"/>
        <w:rPr>
          <w:caps w:val="false"/>
          <w:smallCaps w:val="false"/>
        </w:rPr>
      </w:pPr>
      <w:r>
        <w:rPr>
          <w:caps w:val="false"/>
          <w:smallCaps w:val="false"/>
        </w:rPr>
        <w:t> </w:t>
      </w:r>
    </w:p>
    <w:p>
      <w:pPr>
        <w:pStyle w:val="TextBody"/>
        <w:bidi w:val="0"/>
        <w:ind w:left="720" w:right="0" w:hanging="720"/>
        <w:jc w:val="left"/>
        <w:rPr>
          <w:caps w:val="false"/>
          <w:smallCaps w:val="false"/>
        </w:rPr>
      </w:pPr>
      <w:r>
        <w:rPr>
          <w:caps w:val="false"/>
          <w:smallCaps w:val="false"/>
        </w:rPr>
        <w:t> </w:t>
      </w:r>
    </w:p>
    <w:p>
      <w:pPr>
        <w:pStyle w:val="TextBody"/>
        <w:bidi w:val="0"/>
        <w:ind w:left="720" w:right="0" w:hanging="720"/>
        <w:jc w:val="left"/>
        <w:rPr>
          <w:caps w:val="false"/>
          <w:smallCaps w:val="false"/>
        </w:rPr>
      </w:pPr>
      <w:r>
        <w:rPr>
          <w:caps w:val="false"/>
          <w:smallCaps w:val="false"/>
        </w:rPr>
        <w:t> </w:t>
      </w:r>
    </w:p>
    <w:p>
      <w:pPr>
        <w:pStyle w:val="TextBody"/>
        <w:bidi w:val="0"/>
        <w:ind w:left="720" w:right="0" w:hanging="72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720" w:right="0" w:hanging="720"/>
        <w:jc w:val="left"/>
        <w:rPr>
          <w:caps w:val="false"/>
          <w:smallCaps w:val="false"/>
        </w:rPr>
      </w:pPr>
      <w:r>
        <w:rPr>
          <w:caps w:val="false"/>
          <w:smallCaps w:val="false"/>
        </w:rPr>
        <w:t> </w:t>
      </w:r>
    </w:p>
    <w:p>
      <w:pPr>
        <w:pStyle w:val="TextBody"/>
        <w:bidi w:val="0"/>
        <w:jc w:val="left"/>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Forest Baskett</w:t>
      </w:r>
    </w:p>
    <w:p>
      <w:pPr>
        <w:pStyle w:val="TextBody"/>
        <w:bidi w:val="0"/>
        <w:ind w:left="720" w:right="0" w:hanging="720"/>
        <w:jc w:val="left"/>
        <w:rPr>
          <w:caps w:val="false"/>
          <w:smallCaps w:val="false"/>
        </w:rPr>
      </w:pPr>
      <w:r>
        <w:rPr>
          <w:caps w:val="false"/>
          <w:smallCaps w:val="false"/>
        </w:rPr>
        <w:t> </w:t>
      </w:r>
    </w:p>
    <w:p>
      <w:pPr>
        <w:pStyle w:val="TextBody"/>
        <w:bidi w:val="0"/>
        <w:ind w:left="720" w:right="0" w:hanging="720"/>
        <w:jc w:val="left"/>
        <w:rPr>
          <w:caps w:val="false"/>
          <w:smallCaps w:val="false"/>
        </w:rPr>
      </w:pPr>
      <w:r>
        <w:rPr>
          <w:caps w:val="false"/>
          <w:smallCaps w:val="false"/>
        </w:rPr>
        <w:t> </w:t>
      </w:r>
    </w:p>
    <w:p>
      <w:pPr>
        <w:pStyle w:val="TextBody"/>
        <w:bidi w:val="0"/>
        <w:ind w:left="720" w:right="0" w:hanging="720"/>
        <w:jc w:val="left"/>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Ali Behbahani</w:t>
      </w:r>
    </w:p>
    <w:p>
      <w:pPr>
        <w:pStyle w:val="TextBody"/>
        <w:bidi w:val="0"/>
        <w:ind w:left="720" w:right="0" w:hanging="720"/>
        <w:jc w:val="left"/>
        <w:rPr>
          <w:caps w:val="false"/>
          <w:smallCaps w:val="false"/>
        </w:rPr>
      </w:pPr>
      <w:r>
        <w:rPr>
          <w:caps w:val="false"/>
          <w:smallCaps w:val="false"/>
        </w:rPr>
        <w:t> </w:t>
      </w:r>
    </w:p>
    <w:p>
      <w:pPr>
        <w:pStyle w:val="TextBody"/>
        <w:bidi w:val="0"/>
        <w:ind w:left="720" w:right="0" w:hanging="720"/>
        <w:jc w:val="left"/>
        <w:rPr>
          <w:caps w:val="false"/>
          <w:smallCaps w:val="false"/>
        </w:rPr>
      </w:pPr>
      <w:r>
        <w:rPr>
          <w:caps w:val="false"/>
          <w:smallCaps w:val="false"/>
        </w:rPr>
        <w:t> </w:t>
      </w:r>
    </w:p>
    <w:p>
      <w:pPr>
        <w:pStyle w:val="TextBody"/>
        <w:bidi w:val="0"/>
        <w:ind w:left="720" w:right="0" w:hanging="720"/>
        <w:jc w:val="left"/>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Carmen Chang</w:t>
      </w:r>
    </w:p>
    <w:p>
      <w:pPr>
        <w:pStyle w:val="TextBody"/>
        <w:bidi w:val="0"/>
        <w:ind w:left="720" w:right="0" w:hanging="720"/>
        <w:jc w:val="left"/>
        <w:rPr>
          <w:caps w:val="false"/>
          <w:smallCaps w:val="false"/>
        </w:rPr>
      </w:pPr>
      <w:r>
        <w:rPr>
          <w:caps w:val="false"/>
          <w:smallCaps w:val="false"/>
        </w:rPr>
        <w:t> </w:t>
      </w:r>
    </w:p>
    <w:p>
      <w:pPr>
        <w:pStyle w:val="TextBody"/>
        <w:bidi w:val="0"/>
        <w:ind w:left="720" w:right="0" w:hanging="720"/>
        <w:jc w:val="left"/>
        <w:rPr>
          <w:caps w:val="false"/>
          <w:smallCaps w:val="false"/>
        </w:rPr>
      </w:pPr>
      <w:r>
        <w:rPr>
          <w:caps w:val="false"/>
          <w:smallCaps w:val="false"/>
        </w:rPr>
        <w:t> </w:t>
      </w:r>
    </w:p>
    <w:p>
      <w:pPr>
        <w:pStyle w:val="TextBody"/>
        <w:bidi w:val="0"/>
        <w:ind w:left="720" w:right="0" w:hanging="720"/>
        <w:jc w:val="left"/>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A. Florence, Jr.</w:t>
      </w:r>
    </w:p>
    <w:p>
      <w:pPr>
        <w:pStyle w:val="TextBody"/>
        <w:bidi w:val="0"/>
        <w:ind w:left="720" w:right="0" w:hanging="720"/>
        <w:jc w:val="left"/>
        <w:rPr>
          <w:caps w:val="false"/>
          <w:smallCaps w:val="false"/>
        </w:rPr>
      </w:pPr>
      <w:r>
        <w:rPr>
          <w:caps w:val="false"/>
          <w:smallCaps w:val="false"/>
        </w:rPr>
        <w:t> </w:t>
      </w:r>
    </w:p>
    <w:p>
      <w:pPr>
        <w:pStyle w:val="TextBody"/>
        <w:bidi w:val="0"/>
        <w:ind w:left="720" w:right="0" w:hanging="720"/>
        <w:jc w:val="left"/>
        <w:rPr>
          <w:caps w:val="false"/>
          <w:smallCaps w:val="false"/>
        </w:rPr>
      </w:pPr>
      <w:r>
        <w:rPr>
          <w:caps w:val="false"/>
          <w:smallCaps w:val="false"/>
        </w:rPr>
        <w:t> </w:t>
      </w:r>
    </w:p>
    <w:p>
      <w:pPr>
        <w:pStyle w:val="TextBody"/>
        <w:bidi w:val="0"/>
        <w:ind w:left="720" w:right="0" w:hanging="720"/>
        <w:jc w:val="left"/>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Mohamad H. Makhzoumi</w:t>
      </w:r>
    </w:p>
    <w:p>
      <w:pPr>
        <w:pStyle w:val="TextBody"/>
        <w:bidi w:val="0"/>
        <w:jc w:val="left"/>
        <w:rPr>
          <w:caps w:val="false"/>
          <w:smallCaps w:val="false"/>
        </w:rPr>
      </w:pPr>
      <w:r>
        <w:rPr>
          <w:caps w:val="false"/>
          <w:smallCaps w:val="false"/>
        </w:rPr>
        <w:t> </w:t>
      </w:r>
    </w:p>
    <w:p>
      <w:pPr>
        <w:pStyle w:val="TextBody"/>
        <w:bidi w:val="0"/>
        <w:ind w:left="720" w:right="0" w:hanging="720"/>
        <w:jc w:val="left"/>
        <w:rPr>
          <w:caps w:val="false"/>
          <w:smallCaps w:val="false"/>
        </w:rPr>
      </w:pPr>
      <w:r>
        <w:rPr>
          <w:caps w:val="false"/>
          <w:smallCaps w:val="false"/>
        </w:rPr>
        <w:t> </w:t>
      </w:r>
    </w:p>
    <w:p>
      <w:pPr>
        <w:pStyle w:val="TextBody"/>
        <w:bidi w:val="0"/>
        <w:ind w:left="720" w:right="0" w:hanging="720"/>
        <w:jc w:val="left"/>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D. Sandell</w:t>
      </w:r>
    </w:p>
    <w:p>
      <w:pPr>
        <w:pStyle w:val="TextBody"/>
        <w:bidi w:val="0"/>
        <w:ind w:left="720" w:right="0" w:hanging="720"/>
        <w:jc w:val="left"/>
        <w:rPr>
          <w:caps w:val="false"/>
          <w:smallCaps w:val="false"/>
        </w:rPr>
      </w:pPr>
      <w:r>
        <w:rPr>
          <w:caps w:val="false"/>
          <w:smallCaps w:val="false"/>
        </w:rPr>
        <w:t> </w:t>
      </w:r>
    </w:p>
    <w:p>
      <w:pPr>
        <w:pStyle w:val="TextBody"/>
        <w:bidi w:val="0"/>
        <w:ind w:left="720" w:right="0" w:hanging="720"/>
        <w:jc w:val="left"/>
        <w:rPr>
          <w:caps w:val="false"/>
          <w:smallCaps w:val="false"/>
        </w:rPr>
      </w:pPr>
      <w:r>
        <w:rPr>
          <w:caps w:val="false"/>
          <w:smallCaps w:val="false"/>
        </w:rPr>
        <w:t> </w:t>
      </w:r>
    </w:p>
    <w:p>
      <w:pPr>
        <w:pStyle w:val="TextBody"/>
        <w:bidi w:val="0"/>
        <w:ind w:left="720" w:right="0" w:hanging="720"/>
        <w:jc w:val="left"/>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Walker </w:t>
      </w:r>
    </w:p>
    <w:p>
      <w:pPr>
        <w:pStyle w:val="TextBody"/>
        <w:bidi w:val="0"/>
        <w:ind w:left="720" w:right="0" w:hanging="72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720" w:right="0" w:hanging="720"/>
        <w:jc w:val="left"/>
        <w:rPr>
          <w:caps w:val="false"/>
          <w:smallCaps w:val="false"/>
        </w:rPr>
      </w:pPr>
      <w:r>
        <w:rPr>
          <w:caps w:val="false"/>
          <w:smallCaps w:val="false"/>
        </w:rPr>
        <w:t> </w:t>
      </w:r>
    </w:p>
    <w:p>
      <w:pPr>
        <w:pStyle w:val="TextBody"/>
        <w:bidi w:val="0"/>
        <w:ind w:left="720" w:right="0" w:hanging="720"/>
        <w:jc w:val="left"/>
        <w:rPr>
          <w:caps w:val="false"/>
          <w:smallCaps w:val="false"/>
        </w:rPr>
      </w:pPr>
      <w:r>
        <w:rPr>
          <w:caps w:val="false"/>
          <w:smallCaps w:val="false"/>
        </w:rPr>
        <w:t> </w:t>
      </w:r>
    </w:p>
    <w:p>
      <w:pPr>
        <w:pStyle w:val="TextBody"/>
        <w:bidi w:val="0"/>
        <w:ind w:left="0" w:right="0" w:firstLine="4954"/>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Zachary Bambach</w:t>
        <w:tab/>
        <w:t>          </w:t>
      </w:r>
    </w:p>
    <w:p>
      <w:pPr>
        <w:pStyle w:val="TextBody"/>
        <w:bidi w:val="0"/>
        <w:ind w:left="0" w:right="0" w:firstLine="49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Zachary Bambach</w:t>
      </w:r>
    </w:p>
    <w:p>
      <w:pPr>
        <w:pStyle w:val="TextBody"/>
        <w:bidi w:val="0"/>
        <w:ind w:left="0" w:right="0" w:firstLine="49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attorney-in-fact</w:t>
      </w:r>
    </w:p>
    <w:p>
      <w:pPr>
        <w:pStyle w:val="TextBody"/>
        <w:bidi w:val="0"/>
        <w:ind w:left="0" w:right="0" w:firstLine="4954"/>
        <w:jc w:val="left"/>
        <w:rPr>
          <w:caps w:val="false"/>
          <w:smallCaps w:val="false"/>
        </w:rPr>
      </w:pPr>
      <w:r>
        <w:rPr>
          <w:caps w:val="false"/>
          <w:smallCaps w:val="false"/>
        </w:rPr>
        <w:t> </w:t>
      </w:r>
    </w:p>
    <w:p>
      <w:pPr>
        <w:pStyle w:val="TextBody"/>
        <w:bidi w:val="0"/>
        <w:ind w:left="0" w:right="0" w:firstLine="4954"/>
        <w:jc w:val="left"/>
        <w:rPr>
          <w:caps w:val="false"/>
          <w:smallCaps w:val="false"/>
        </w:rPr>
      </w:pPr>
      <w:r>
        <w:rPr>
          <w:caps w:val="false"/>
          <w:smallCaps w:val="false"/>
        </w:rPr>
        <w:t> </w:t>
      </w:r>
    </w:p>
    <w:p>
      <w:pPr>
        <w:pStyle w:val="TextBody"/>
        <w:bidi w:val="0"/>
        <w:ind w:left="0" w:right="0" w:firstLine="4954"/>
        <w:jc w:val="left"/>
        <w:rPr>
          <w:caps w:val="false"/>
          <w:smallCaps w:val="false"/>
        </w:rPr>
      </w:pPr>
      <w:r>
        <w:rPr>
          <w:caps w:val="false"/>
          <w:smallCaps w:val="false"/>
        </w:rPr>
        <w:t> </w:t>
      </w:r>
    </w:p>
    <w:p>
      <w:pPr>
        <w:pStyle w:val="TextBody"/>
        <w:bidi w:val="0"/>
        <w:ind w:left="43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relating to Schedule 13D was executed by Zachary Bambach on behalf of the individuals listed above pursuant to a Power of Attorney, a copy of which is attached hereto as Exhibit 2.</w:t>
      </w:r>
    </w:p>
    <w:p>
      <w:pPr>
        <w:pStyle w:val="TextBody"/>
        <w:bidi w:val="0"/>
        <w:jc w:val="both"/>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jc w:val="both"/>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u w:val="single"/>
        </w:rPr>
      </w:pPr>
      <w:bookmarkStart w:id="52" w:name="exh2.htm"/>
      <w:bookmarkStart w:id="53" w:name="ksexh2"/>
      <w:bookmarkEnd w:id="52"/>
      <w:bookmarkEnd w:id="53"/>
      <w:r>
        <w:rPr>
          <w:rFonts w:ascii="Times New Roman;Times;Serif" w:hAnsi="Times New Roman;Times;Serif"/>
          <w:b/>
          <w:i w:val="false"/>
          <w:caps w:val="false"/>
          <w:smallCaps w:val="false"/>
          <w:sz w:val="20"/>
          <w:u w:val="single"/>
        </w:rPr>
        <w:t>EXHIBIT 2</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MEN BY THESE PRESENTS, that the undersigned hereby constitutes and appoints Zachary Bambach, Nicole Hatcher and Stephanie Brecher, and each of them, with full power to act without the others, his or her true and lawful attorney-in-fact, with full power of substitution, to sign any and all instruments, certificates and documents that may be necessary, desirable or appropriate to be executed on behalf of himself as an individual or in his or her capacity as a direct or indirect general partner, director, officer or manager of any partnership, corporation or limited liability company, pursuant to section 13 or 16 of the Securities Exchange Act of 1934, as amended (the “Exchange Act”), and any and all regulations promulgated thereunder, including, without limitation, Forms 3, 4 and 5 and Schedules 13D and 13G (and any amendments thereto), and to file the same, with all exhibits thereto, and any other documents in connection therewith, with the Securities and Exchange Commission (the “SEC”), including, but not limited to, signing a Form ID for and on behalf of the undersigned and filing such Form ID with the SEC,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he or she might or could do in person, thereby ratifying and confirming all that said attorney-in-fact, or his or her substitutes, may lawfully do or cause to be done by virtue hereof. This power of attorney is perpetual, unless revoked by the undersigned in a signed writing delivered to each of the foregoing attorneys-in-fact.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Power of Attorney has been signed as of the 29th day of February, 2024.</w:t>
      </w:r>
    </w:p>
    <w:p>
      <w:pPr>
        <w:pStyle w:val="TextBody"/>
        <w:bidi w:val="0"/>
        <w:ind w:left="0" w:right="0" w:firstLine="72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ind w:left="4320" w:right="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43">
                <wp:simplePos x="0" y="0"/>
                <wp:positionH relativeFrom="column">
                  <wp:align>right</wp:align>
                </wp:positionH>
                <wp:positionV relativeFrom="line">
                  <wp:posOffset>635</wp:posOffset>
                </wp:positionV>
                <wp:extent cx="1470025" cy="9972040"/>
                <wp:effectExtent l="0" t="0" r="0" b="0"/>
                <wp:wrapSquare wrapText="left"/>
                <wp:docPr id="42" name="Frame1"/>
                <a:graphic xmlns:a="http://schemas.openxmlformats.org/drawingml/2006/main">
                  <a:graphicData uri="http://schemas.microsoft.com/office/word/2010/wordprocessingShape">
                    <wps:wsp>
                      <wps:cNvSpPr txBox="1"/>
                      <wps:spPr>
                        <a:xfrm>
                          <a:off x="0" y="0"/>
                          <a:ext cx="1470025" cy="9972040"/>
                        </a:xfrm>
                        <a:prstGeom prst="rect"/>
                        <a:solidFill>
                          <a:srgbClr val="FFFFFF"/>
                        </a:solidFill>
                      </wps:spPr>
                      <wps:txbx>
                        <w:txbxContent>
                          <w:tbl>
                            <w:tblPr>
                              <w:tblW w:w="2315" w:type="dxa"/>
                              <w:jc w:val="left"/>
                              <w:tblInd w:w="0" w:type="dxa"/>
                              <w:tblLayout w:type="fixed"/>
                              <w:tblCellMar>
                                <w:top w:w="0" w:type="dxa"/>
                                <w:left w:w="0" w:type="dxa"/>
                                <w:bottom w:w="28" w:type="dxa"/>
                                <w:right w:w="0" w:type="dxa"/>
                              </w:tblCellMar>
                            </w:tblPr>
                            <w:tblGrid>
                              <w:gridCol w:w="2240"/>
                              <w:gridCol w:w="75"/>
                            </w:tblGrid>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Peter J. Barris</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J. Barris</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Forest Baskett</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Forest Baskett</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Ali Behbahani</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Ali Behbahani</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Ronald D. Bernal</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Ronald D. Bernal</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Ann Bordetsky</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 Bordetsky</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Carmen Chang</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Carmen Chang</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Philip Chopin</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Chopin</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Anthony A. Florence, Jr.</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A. Florence, Jr.</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Jonathan Golden</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Golden</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Scott Gottlieb</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Gottlieb</w:t>
                                  </w:r>
                                </w:p>
                              </w:tc>
                              <w:tc>
                                <w:tcPr>
                                  <w:tcW w:w="75" w:type="dxa"/>
                                  <w:tcBorders/>
                                  <w:tcMar>
                                    <w:bottom w:w="0" w:type="dxa"/>
                                  </w:tcMar>
                                  <w:vAlign w:val="center"/>
                                </w:tcPr>
                                <w:p>
                                  <w:pPr>
                                    <w:pStyle w:val="TableContents"/>
                                    <w:bidi w:val="0"/>
                                    <w:spacing w:before="0" w:after="283"/>
                                    <w:jc w:val="left"/>
                                    <w:rPr/>
                                  </w:pPr>
                                  <w:r>
                                    <w:rPr/>
                                    <w:t> </w:t>
                                  </w:r>
                                </w:p>
                              </w:tc>
                            </w:tr>
                          </w:tbl>
                        </w:txbxContent>
                      </wps:txbx>
                      <wps:bodyPr anchor="t" lIns="0" tIns="0" rIns="0" bIns="0">
                        <a:noAutofit/>
                      </wps:bodyPr>
                    </wps:wsp>
                  </a:graphicData>
                </a:graphic>
              </wp:anchor>
            </w:drawing>
          </mc:Choice>
          <mc:Fallback>
            <w:pict>
              <v:rect style="position:absolute;rotation:-0;width:115.75pt;height:785.2pt;mso-wrap-distance-left:0pt;mso-wrap-distance-right:0pt;mso-wrap-distance-top:0pt;mso-wrap-distance-bottom:0pt;margin-top:0pt;mso-position-vertical:top;mso-position-vertical-relative:text;margin-left:394.5pt;mso-position-horizontal:right;mso-position-horizontal-relative:text">
                <v:textbox>
                  <w:txbxContent>
                    <w:tbl>
                      <w:tblPr>
                        <w:tblW w:w="2315" w:type="dxa"/>
                        <w:jc w:val="left"/>
                        <w:tblInd w:w="0" w:type="dxa"/>
                        <w:tblLayout w:type="fixed"/>
                        <w:tblCellMar>
                          <w:top w:w="0" w:type="dxa"/>
                          <w:left w:w="0" w:type="dxa"/>
                          <w:bottom w:w="28" w:type="dxa"/>
                          <w:right w:w="0" w:type="dxa"/>
                        </w:tblCellMar>
                      </w:tblPr>
                      <w:tblGrid>
                        <w:gridCol w:w="2240"/>
                        <w:gridCol w:w="75"/>
                      </w:tblGrid>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Peter J. Barris</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J. Barris</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Forest Baskett</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Forest Baskett</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Ali Behbahani</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Ali Behbahani</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Ronald D. Bernal</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Ronald D. Bernal</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Ann Bordetsky</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 Bordetsky</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Carmen Chang</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Carmen Chang</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Philip Chopin</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Chopin</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Anthony A. Florence, Jr.</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A. Florence, Jr.</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Jonathan Golden</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Golden</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Scott Gottlieb</w:t>
                              <w:tab/>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Gottlieb</w:t>
                            </w:r>
                          </w:p>
                        </w:tc>
                        <w:tc>
                          <w:tcPr>
                            <w:tcW w:w="75" w:type="dxa"/>
                            <w:tcBorders/>
                            <w:tcMar>
                              <w:bottom w:w="0" w:type="dxa"/>
                            </w:tcMar>
                            <w:vAlign w:val="center"/>
                          </w:tcPr>
                          <w:p>
                            <w:pPr>
                              <w:pStyle w:val="TableContents"/>
                              <w:bidi w:val="0"/>
                              <w:spacing w:before="0" w:after="283"/>
                              <w:jc w:val="left"/>
                              <w:rPr/>
                            </w:pPr>
                            <w:r>
                              <w:rPr/>
                              <w:t> </w:t>
                            </w:r>
                          </w:p>
                        </w:tc>
                      </w:tr>
                    </w:tbl>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ind w:left="4320" w:right="0" w:hanging="0"/>
        <w:jc w:val="left"/>
        <w:rPr>
          <w:caps w:val="false"/>
          <w:smallCaps w:val="false"/>
        </w:rPr>
      </w:pPr>
      <w:r>
        <w:rPr>
          <w:caps w:val="false"/>
          <w:smallCaps w:val="false"/>
        </w:rPr>
        <w:t> </w:t>
      </w:r>
    </w:p>
    <w:p>
      <w:pPr>
        <w:pStyle w:val="TextBody"/>
        <w:bidi w:val="0"/>
        <w:ind w:left="4320" w:right="0" w:hanging="0"/>
        <w:jc w:val="left"/>
        <w:rPr>
          <w:caps w:val="false"/>
          <w:smallCaps w:val="false"/>
        </w:rPr>
      </w:pPr>
      <w:r>
        <w:rPr>
          <w:caps w:val="false"/>
          <w:smallCaps w:val="false"/>
        </w:rPr>
        <w:t> </w:t>
      </w:r>
    </w:p>
    <w:p>
      <w:pPr>
        <w:pStyle w:val="TextBody"/>
        <w:bidi w:val="0"/>
        <w:ind w:left="4320" w:right="0" w:hanging="0"/>
        <w:jc w:val="left"/>
        <w:rPr>
          <w:caps w:val="false"/>
          <w:smallCaps w:val="false"/>
        </w:rPr>
      </w:pPr>
      <w:r>
        <w:rPr>
          <w:caps w:val="false"/>
          <w:smallCaps w:val="false"/>
        </w:rPr>
        <w:t> </w:t>
      </w:r>
    </w:p>
    <w:p>
      <w:pPr>
        <w:pStyle w:val="Normal"/>
        <w:bidi w:val="0"/>
        <w:spacing w:before="0" w:after="0"/>
        <w:ind w:left="432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olumn">
                  <wp:align>right</wp:align>
                </wp:positionH>
                <wp:positionV relativeFrom="line">
                  <wp:posOffset>635</wp:posOffset>
                </wp:positionV>
                <wp:extent cx="1574800" cy="9972040"/>
                <wp:effectExtent l="0" t="0" r="0" b="0"/>
                <wp:wrapSquare wrapText="left"/>
                <wp:docPr id="43" name="Frame2"/>
                <a:graphic xmlns:a="http://schemas.openxmlformats.org/drawingml/2006/main">
                  <a:graphicData uri="http://schemas.microsoft.com/office/word/2010/wordprocessingShape">
                    <wps:wsp>
                      <wps:cNvSpPr txBox="1"/>
                      <wps:spPr>
                        <a:xfrm>
                          <a:off x="0" y="0"/>
                          <a:ext cx="1574800" cy="9972040"/>
                        </a:xfrm>
                        <a:prstGeom prst="rect"/>
                        <a:solidFill>
                          <a:srgbClr val="FFFFFF"/>
                        </a:solidFill>
                      </wps:spPr>
                      <wps:txbx>
                        <w:txbxContent>
                          <w:tbl>
                            <w:tblPr>
                              <w:tblW w:w="2480" w:type="dxa"/>
                              <w:jc w:val="left"/>
                              <w:tblInd w:w="0" w:type="dxa"/>
                              <w:tblLayout w:type="fixed"/>
                              <w:tblCellMar>
                                <w:top w:w="0" w:type="dxa"/>
                                <w:left w:w="0" w:type="dxa"/>
                                <w:bottom w:w="28" w:type="dxa"/>
                                <w:right w:w="0" w:type="dxa"/>
                              </w:tblCellMar>
                            </w:tblPr>
                            <w:tblGrid>
                              <w:gridCol w:w="2405"/>
                              <w:gridCol w:w="75"/>
                            </w:tblGrid>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Hawkins</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Hawkins</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R. Immelt</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R. Immelt</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Aaron Jacobson</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Aaron Jacobson</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Patrick J. Kerins</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Patrick J. Kerins</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Hilarie Koplow-McAdams</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Hilarie Koplow-McAdams</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Vanessa Larco</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Vanessa Larco</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Julio C. Lopez</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Julio C. Lopez</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Tiffany Le</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Tiffany Le</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Mohamad H. Makhzoumi</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Mohamad H. Makhzoumi</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Edward T. Mathers</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T. Mathers</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Gregory Papadopoulos</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Papadopoulos</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Kavita Patel</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Kavita Patel</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Scott D. Sandell</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Scott D. Sandell</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 Brooke Seawell</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Brooke Seawell</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Peter Sonsini</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Sonsini</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Melissa Taunton</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Melissa Taunton</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Paul E. Walker</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E. Walker</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Rick Yang</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Yang</w:t>
                                  </w:r>
                                </w:p>
                              </w:tc>
                              <w:tc>
                                <w:tcPr>
                                  <w:tcW w:w="75" w:type="dxa"/>
                                  <w:tcBorders/>
                                  <w:tcMar>
                                    <w:bottom w:w="0" w:type="dxa"/>
                                  </w:tcMar>
                                  <w:vAlign w:val="center"/>
                                </w:tcPr>
                                <w:p>
                                  <w:pPr>
                                    <w:pStyle w:val="TableContents"/>
                                    <w:bidi w:val="0"/>
                                    <w:spacing w:before="0" w:after="283"/>
                                    <w:jc w:val="left"/>
                                    <w:rPr/>
                                  </w:pPr>
                                  <w:r>
                                    <w:rPr/>
                                    <w:t> </w:t>
                                  </w:r>
                                </w:p>
                              </w:tc>
                            </w:tr>
                          </w:tbl>
                        </w:txbxContent>
                      </wps:txbx>
                      <wps:bodyPr anchor="t" lIns="0" tIns="0" rIns="0" bIns="0">
                        <a:noAutofit/>
                      </wps:bodyPr>
                    </wps:wsp>
                  </a:graphicData>
                </a:graphic>
              </wp:anchor>
            </w:drawing>
          </mc:Choice>
          <mc:Fallback>
            <w:pict>
              <v:rect style="position:absolute;rotation:-0;width:124pt;height:785.2pt;mso-wrap-distance-left:0pt;mso-wrap-distance-right:0pt;mso-wrap-distance-top:0pt;mso-wrap-distance-bottom:0pt;margin-top:0pt;mso-position-vertical:top;mso-position-vertical-relative:text;margin-left:386.25pt;mso-position-horizontal:right;mso-position-horizontal-relative:text">
                <v:textbox>
                  <w:txbxContent>
                    <w:tbl>
                      <w:tblPr>
                        <w:tblW w:w="2480" w:type="dxa"/>
                        <w:jc w:val="left"/>
                        <w:tblInd w:w="0" w:type="dxa"/>
                        <w:tblLayout w:type="fixed"/>
                        <w:tblCellMar>
                          <w:top w:w="0" w:type="dxa"/>
                          <w:left w:w="0" w:type="dxa"/>
                          <w:bottom w:w="28" w:type="dxa"/>
                          <w:right w:w="0" w:type="dxa"/>
                        </w:tblCellMar>
                      </w:tblPr>
                      <w:tblGrid>
                        <w:gridCol w:w="2405"/>
                        <w:gridCol w:w="75"/>
                      </w:tblGrid>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Hawkins</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Hawkins</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R. Immelt</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R. Immelt</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Aaron Jacobson</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Aaron Jacobson</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Patrick J. Kerins</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Patrick J. Kerins</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Hilarie Koplow-McAdams</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Hilarie Koplow-McAdams</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Vanessa Larco</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Vanessa Larco</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Julio C. Lopez</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Julio C. Lopez</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Tiffany Le</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Tiffany Le</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Mohamad H. Makhzoumi</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Mohamad H. Makhzoumi</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Edward T. Mathers</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T. Mathers</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Gregory Papadopoulos</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Papadopoulos</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Kavita Patel</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Kavita Patel</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Scott D. Sandell</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Scott D. Sandell</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 Brooke Seawell</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Brooke Seawell</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Peter Sonsini</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Sonsini</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Melissa Taunton</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Melissa Taunton</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Paul E. Walker</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E. Walker</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Rick Yang</w:t>
                              <w:tab/>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Yang</w:t>
                            </w:r>
                          </w:p>
                        </w:tc>
                        <w:tc>
                          <w:tcPr>
                            <w:tcW w:w="75" w:type="dxa"/>
                            <w:tcBorders/>
                            <w:tcMar>
                              <w:bottom w:w="0" w:type="dxa"/>
                            </w:tcMar>
                            <w:vAlign w:val="center"/>
                          </w:tcPr>
                          <w:p>
                            <w:pPr>
                              <w:pStyle w:val="TableContents"/>
                              <w:bidi w:val="0"/>
                              <w:spacing w:before="0" w:after="283"/>
                              <w:jc w:val="left"/>
                              <w:rPr/>
                            </w:pPr>
                            <w:r>
                              <w:rPr/>
                              <w:t> </w:t>
                            </w:r>
                          </w:p>
                        </w:tc>
                      </w:tr>
                    </w:tbl>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hanging="0"/>
        <w:jc w:val="left"/>
        <w:rPr>
          <w:bdr w:val="single" w:sz="16" w:space="1" w:color="000000"/>
        </w:rPr>
      </w:pPr>
      <w:r>
        <w:rPr>
          <w:bdr w:val="single" w:sz="16"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3999</Words>
  <Characters>20563</Characters>
  <CharactersWithSpaces>25074</CharactersWithSpaces>
  <Paragraphs>911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