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SCHEDULE 13D</w:t>
      </w:r>
    </w:p>
    <w:p>
      <w:pPr>
        <w:spacing w:after="0" w:line="13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8)*</w:t>
      </w:r>
    </w:p>
    <w:p>
      <w:pPr>
        <w:spacing w:after="0" w:line="144"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COMMON,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876033408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May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85" w:lineRule="exact"/>
        <w:rPr>
          <w:sz w:val="24"/>
          <w:szCs w:val="24"/>
          <w:color w:val="auto"/>
        </w:rPr>
      </w:pPr>
    </w:p>
    <w:p>
      <w:pPr>
        <w:ind w:right="240"/>
        <w:spacing w:after="0" w:line="21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40"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4" w:lineRule="exact"/>
        <w:rPr>
          <w:sz w:val="24"/>
          <w:szCs w:val="24"/>
          <w:color w:val="auto"/>
        </w:rPr>
      </w:pPr>
    </w:p>
    <w:p>
      <w:pPr>
        <w:ind w:right="640" w:firstLine="8"/>
        <w:spacing w:after="0" w:line="180" w:lineRule="auto"/>
        <w:tabs>
          <w:tab w:leader="none" w:pos="108"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1048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4380" w:right="640" w:hanging="916"/>
        <w:spacing w:after="0" w:line="235" w:lineRule="auto"/>
        <w:tabs>
          <w:tab w:leader="none" w:pos="4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438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31" w:lineRule="exact"/>
        <w:rPr>
          <w:rFonts w:ascii="Arial" w:cs="Arial" w:eastAsia="Arial" w:hAnsi="Arial"/>
          <w:sz w:val="18"/>
          <w:szCs w:val="18"/>
          <w:color w:val="auto"/>
        </w:rPr>
      </w:pPr>
    </w:p>
    <w:p>
      <w:pPr>
        <w:ind w:left="4380" w:right="1860" w:hanging="916"/>
        <w:spacing w:after="0" w:line="219" w:lineRule="auto"/>
        <w:tabs>
          <w:tab w:leader="none" w:pos="4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4800" w:hanging="430"/>
        <w:spacing w:after="0" w:line="189" w:lineRule="exact"/>
        <w:tabs>
          <w:tab w:leader="none" w:pos="48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4800" w:hanging="430"/>
        <w:spacing w:after="0" w:line="202" w:lineRule="exact"/>
        <w:tabs>
          <w:tab w:leader="none" w:pos="48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4380" w:hanging="916"/>
        <w:spacing w:after="0"/>
        <w:tabs>
          <w:tab w:leader="none" w:pos="4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4380" w:hanging="916"/>
        <w:spacing w:after="0"/>
        <w:tabs>
          <w:tab w:leader="none" w:pos="4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438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4380" w:right="1020" w:hanging="916"/>
        <w:spacing w:after="0" w:line="232" w:lineRule="auto"/>
        <w:tabs>
          <w:tab w:leader="none" w:pos="4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43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4380" w:hanging="916"/>
        <w:spacing w:after="0"/>
        <w:tabs>
          <w:tab w:leader="none" w:pos="4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438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5860" w:right="3620" w:hanging="262"/>
        <w:spacing w:after="0" w:line="336" w:lineRule="auto"/>
        <w:tabs>
          <w:tab w:leader="none" w:pos="5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5860" w:hanging="262"/>
        <w:spacing w:after="0"/>
        <w:tabs>
          <w:tab w:leader="none" w:pos="58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-130175</wp:posOffset>
            </wp:positionV>
            <wp:extent cx="39363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129" w:lineRule="exact"/>
        <w:rPr>
          <w:sz w:val="20"/>
          <w:szCs w:val="20"/>
          <w:color w:val="auto"/>
        </w:rPr>
      </w:pPr>
    </w:p>
    <w:tbl>
      <w:tblPr>
        <w:tblLayout w:type="fixed"/>
        <w:tblInd w:w="180" w:type="dxa"/>
        <w:tblCellMar>
          <w:top w:w="0" w:type="dxa"/>
          <w:left w:w="0" w:type="dxa"/>
          <w:bottom w:w="0" w:type="dxa"/>
          <w:right w:w="0" w:type="dxa"/>
        </w:tblCellMar>
      </w:tblPr>
      <w:tr>
        <w:trPr>
          <w:trHeight w:val="219"/>
        </w:trPr>
        <w:tc>
          <w:tcPr>
            <w:tcW w:w="5040" w:type="dxa"/>
            <w:vAlign w:val="bottom"/>
          </w:tcPr>
          <w:p>
            <w:pPr>
              <w:jc w:val="center"/>
              <w:ind w:right="190"/>
              <w:spacing w:after="0"/>
              <w:rPr>
                <w:sz w:val="20"/>
                <w:szCs w:val="20"/>
                <w:color w:val="auto"/>
              </w:rPr>
            </w:pPr>
            <w:r>
              <w:rPr>
                <w:rFonts w:ascii="Arial" w:cs="Arial" w:eastAsia="Arial" w:hAnsi="Arial"/>
                <w:sz w:val="18"/>
                <w:szCs w:val="18"/>
                <w:color w:val="auto"/>
                <w:w w:val="99"/>
              </w:rPr>
              <w:t>NUMBER OF SHARES BENEFICIALLY OWNED BY EACH</w:t>
            </w:r>
          </w:p>
        </w:tc>
        <w:tc>
          <w:tcPr>
            <w:tcW w:w="6200" w:type="dxa"/>
            <w:vAlign w:val="bottom"/>
            <w:tcBorders>
              <w:bottom w:val="single" w:sz="8" w:color="auto"/>
            </w:tcBorders>
          </w:tcPr>
          <w:p>
            <w:pPr>
              <w:jc w:val="right"/>
              <w:ind w:right="4610"/>
              <w:spacing w:after="0"/>
              <w:rPr>
                <w:sz w:val="20"/>
                <w:szCs w:val="20"/>
                <w:color w:val="auto"/>
              </w:rPr>
            </w:pPr>
            <w:r>
              <w:rPr>
                <w:rFonts w:ascii="Arial" w:cs="Arial" w:eastAsia="Arial" w:hAnsi="Arial"/>
                <w:sz w:val="18"/>
                <w:szCs w:val="18"/>
                <w:b w:val="1"/>
                <w:bCs w:val="1"/>
                <w:color w:val="auto"/>
              </w:rPr>
              <w:t>5,300,002*</w:t>
            </w:r>
          </w:p>
        </w:tc>
      </w:tr>
      <w:tr>
        <w:trPr>
          <w:trHeight w:val="217"/>
        </w:trPr>
        <w:tc>
          <w:tcPr>
            <w:tcW w:w="5040" w:type="dxa"/>
            <w:vAlign w:val="bottom"/>
          </w:tcPr>
          <w:p>
            <w:pPr>
              <w:jc w:val="center"/>
              <w:ind w:right="190"/>
              <w:spacing w:after="0" w:line="189" w:lineRule="exact"/>
              <w:rPr>
                <w:sz w:val="20"/>
                <w:szCs w:val="20"/>
                <w:color w:val="auto"/>
              </w:rPr>
            </w:pPr>
            <w:r>
              <w:rPr>
                <w:rFonts w:ascii="Arial" w:cs="Arial" w:eastAsia="Arial" w:hAnsi="Arial"/>
                <w:sz w:val="18"/>
                <w:szCs w:val="18"/>
                <w:color w:val="auto"/>
              </w:rPr>
              <w:t>REPORTING PERSON WITH</w:t>
            </w:r>
          </w:p>
        </w:tc>
        <w:tc>
          <w:tcPr>
            <w:tcW w:w="6200" w:type="dxa"/>
            <w:vAlign w:val="bottom"/>
          </w:tcPr>
          <w:p>
            <w:pPr>
              <w:jc w:val="right"/>
              <w:ind w:right="3090"/>
              <w:spacing w:after="0"/>
              <w:rPr>
                <w:sz w:val="20"/>
                <w:szCs w:val="20"/>
                <w:color w:val="auto"/>
              </w:rPr>
            </w:pPr>
            <w:r>
              <w:rPr>
                <w:rFonts w:ascii="Arial" w:cs="Arial" w:eastAsia="Arial" w:hAnsi="Arial"/>
                <w:sz w:val="18"/>
                <w:szCs w:val="18"/>
                <w:color w:val="auto"/>
              </w:rPr>
              <w:t>9. SOLE DISPOSITIVE POWER</w:t>
            </w:r>
          </w:p>
        </w:tc>
      </w:tr>
    </w:tbl>
    <w:p>
      <w:pPr>
        <w:spacing w:after="0" w:line="14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-0-</w:t>
      </w:r>
    </w:p>
    <w:p>
      <w:pPr>
        <w:ind w:left="5860" w:hanging="362"/>
        <w:spacing w:after="0"/>
        <w:tabs>
          <w:tab w:leader="none" w:pos="58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5860"/>
        <w:spacing w:after="0"/>
        <w:rPr>
          <w:rFonts w:ascii="Arial" w:cs="Arial" w:eastAsia="Arial" w:hAnsi="Arial"/>
          <w:sz w:val="18"/>
          <w:szCs w:val="18"/>
          <w:color w:val="auto"/>
        </w:rPr>
      </w:pPr>
      <w:r>
        <w:rPr>
          <w:rFonts w:ascii="Arial" w:cs="Arial" w:eastAsia="Arial" w:hAnsi="Arial"/>
          <w:sz w:val="18"/>
          <w:szCs w:val="18"/>
          <w:b w:val="1"/>
          <w:bCs w:val="1"/>
          <w:color w:val="auto"/>
        </w:rPr>
        <w:t>5,300,002*</w:t>
      </w:r>
    </w:p>
    <w:p>
      <w:pPr>
        <w:spacing w:after="0" w:line="220" w:lineRule="exact"/>
        <w:rPr>
          <w:rFonts w:ascii="Arial" w:cs="Arial" w:eastAsia="Arial" w:hAnsi="Arial"/>
          <w:sz w:val="18"/>
          <w:szCs w:val="18"/>
          <w:color w:val="auto"/>
        </w:rPr>
      </w:pPr>
    </w:p>
    <w:p>
      <w:pPr>
        <w:ind w:left="4380" w:hanging="1016"/>
        <w:spacing w:after="0"/>
        <w:tabs>
          <w:tab w:leader="none" w:pos="4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4380"/>
        <w:spacing w:after="0"/>
        <w:rPr>
          <w:rFonts w:ascii="Arial" w:cs="Arial" w:eastAsia="Arial" w:hAnsi="Arial"/>
          <w:sz w:val="18"/>
          <w:szCs w:val="18"/>
          <w:color w:val="auto"/>
        </w:rPr>
      </w:pPr>
      <w:r>
        <w:rPr>
          <w:rFonts w:ascii="Arial" w:cs="Arial" w:eastAsia="Arial" w:hAnsi="Arial"/>
          <w:sz w:val="18"/>
          <w:szCs w:val="18"/>
          <w:b w:val="1"/>
          <w:bCs w:val="1"/>
          <w:color w:val="auto"/>
        </w:rPr>
        <w:t>5,300,002*</w:t>
      </w:r>
    </w:p>
    <w:p>
      <w:pPr>
        <w:spacing w:after="0" w:line="17" w:lineRule="exact"/>
        <w:rPr>
          <w:rFonts w:ascii="Arial" w:cs="Arial" w:eastAsia="Arial" w:hAnsi="Arial"/>
          <w:sz w:val="18"/>
          <w:szCs w:val="18"/>
          <w:color w:val="auto"/>
        </w:rPr>
      </w:pPr>
    </w:p>
    <w:p>
      <w:pPr>
        <w:ind w:left="4380" w:right="420" w:hanging="1016"/>
        <w:spacing w:after="0" w:line="219" w:lineRule="auto"/>
        <w:tabs>
          <w:tab w:leader="none" w:pos="4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ind w:left="43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(see instructions)  </w:t>
      </w:r>
      <w:r>
        <w:rPr>
          <w:rFonts w:ascii="MS PGothic" w:cs="MS PGothic" w:eastAsia="MS PGothic" w:hAnsi="MS PGothic"/>
          <w:sz w:val="18"/>
          <w:szCs w:val="18"/>
          <w:color w:val="auto"/>
        </w:rPr>
        <w:t>☐</w:t>
      </w:r>
    </w:p>
    <w:p>
      <w:pPr>
        <w:spacing w:after="0" w:line="211" w:lineRule="exact"/>
        <w:rPr>
          <w:rFonts w:ascii="Arial" w:cs="Arial" w:eastAsia="Arial" w:hAnsi="Arial"/>
          <w:sz w:val="18"/>
          <w:szCs w:val="18"/>
          <w:color w:val="auto"/>
        </w:rPr>
      </w:pPr>
    </w:p>
    <w:p>
      <w:pPr>
        <w:ind w:left="4380" w:hanging="1016"/>
        <w:spacing w:after="0"/>
        <w:tabs>
          <w:tab w:leader="none" w:pos="4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4380"/>
        <w:spacing w:after="0"/>
        <w:rPr>
          <w:rFonts w:ascii="Arial" w:cs="Arial" w:eastAsia="Arial" w:hAnsi="Arial"/>
          <w:sz w:val="18"/>
          <w:szCs w:val="18"/>
          <w:color w:val="auto"/>
        </w:rPr>
      </w:pPr>
      <w:r>
        <w:rPr>
          <w:rFonts w:ascii="Arial" w:cs="Arial" w:eastAsia="Arial" w:hAnsi="Arial"/>
          <w:sz w:val="18"/>
          <w:szCs w:val="18"/>
          <w:b w:val="1"/>
          <w:bCs w:val="1"/>
          <w:color w:val="auto"/>
        </w:rPr>
        <w:t>38.8%</w:t>
      </w:r>
    </w:p>
    <w:p>
      <w:pPr>
        <w:spacing w:after="0" w:line="17" w:lineRule="exact"/>
        <w:rPr>
          <w:rFonts w:ascii="Arial" w:cs="Arial" w:eastAsia="Arial" w:hAnsi="Arial"/>
          <w:sz w:val="18"/>
          <w:szCs w:val="18"/>
          <w:color w:val="auto"/>
        </w:rPr>
      </w:pPr>
    </w:p>
    <w:p>
      <w:pPr>
        <w:ind w:left="4380" w:hanging="1016"/>
        <w:spacing w:after="0"/>
        <w:tabs>
          <w:tab w:leader="none" w:pos="4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43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ind w:right="8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Eastern Capital Limited beneficially owns 3,633,334 shares of Common Stock and 1,666,668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-2913380</wp:posOffset>
            </wp:positionV>
            <wp:extent cx="3936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363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-2544445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-2047240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spacing w:after="0"/>
        <w:tabs>
          <w:tab w:leader="none" w:pos="1048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4280" w:right="720" w:hanging="884"/>
        <w:spacing w:after="0" w:line="235" w:lineRule="auto"/>
        <w:tabs>
          <w:tab w:leader="none" w:pos="4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428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31" w:lineRule="exact"/>
        <w:rPr>
          <w:rFonts w:ascii="Arial" w:cs="Arial" w:eastAsia="Arial" w:hAnsi="Arial"/>
          <w:sz w:val="18"/>
          <w:szCs w:val="18"/>
          <w:color w:val="auto"/>
        </w:rPr>
      </w:pPr>
    </w:p>
    <w:p>
      <w:pPr>
        <w:ind w:left="4280" w:right="1940" w:hanging="884"/>
        <w:spacing w:after="0" w:line="219" w:lineRule="auto"/>
        <w:tabs>
          <w:tab w:leader="none" w:pos="4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4700" w:hanging="411"/>
        <w:spacing w:after="0" w:line="189" w:lineRule="exact"/>
        <w:tabs>
          <w:tab w:leader="none" w:pos="47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4700" w:hanging="411"/>
        <w:spacing w:after="0" w:line="202" w:lineRule="exact"/>
        <w:tabs>
          <w:tab w:leader="none" w:pos="47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4280" w:hanging="884"/>
        <w:spacing w:after="0"/>
        <w:tabs>
          <w:tab w:leader="none" w:pos="4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4280" w:hanging="884"/>
        <w:spacing w:after="0"/>
        <w:tabs>
          <w:tab w:leader="none" w:pos="4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428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4280" w:right="1100" w:hanging="884"/>
        <w:spacing w:after="0" w:line="232" w:lineRule="auto"/>
        <w:tabs>
          <w:tab w:leader="none" w:pos="4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42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4280" w:hanging="884"/>
        <w:spacing w:after="0"/>
        <w:tabs>
          <w:tab w:leader="none" w:pos="4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428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5760" w:right="3700" w:hanging="257"/>
        <w:spacing w:after="0" w:line="336" w:lineRule="auto"/>
        <w:tabs>
          <w:tab w:leader="none" w:pos="57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5760" w:hanging="257"/>
        <w:spacing w:after="0"/>
        <w:tabs>
          <w:tab w:leader="none" w:pos="57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-130175</wp:posOffset>
            </wp:positionV>
            <wp:extent cx="3987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129" w:lineRule="exact"/>
        <w:rPr>
          <w:sz w:val="20"/>
          <w:szCs w:val="20"/>
          <w:color w:val="auto"/>
        </w:rPr>
      </w:pPr>
    </w:p>
    <w:tbl>
      <w:tblPr>
        <w:tblLayout w:type="fixed"/>
        <w:tblInd w:w="140" w:type="dxa"/>
        <w:tblCellMar>
          <w:top w:w="0" w:type="dxa"/>
          <w:left w:w="0" w:type="dxa"/>
          <w:bottom w:w="0" w:type="dxa"/>
          <w:right w:w="0" w:type="dxa"/>
        </w:tblCellMar>
      </w:tblPr>
      <w:tr>
        <w:trPr>
          <w:trHeight w:val="219"/>
        </w:trPr>
        <w:tc>
          <w:tcPr>
            <w:tcW w:w="5000" w:type="dxa"/>
            <w:vAlign w:val="bottom"/>
          </w:tcPr>
          <w:p>
            <w:pPr>
              <w:jc w:val="center"/>
              <w:ind w:right="150"/>
              <w:spacing w:after="0"/>
              <w:rPr>
                <w:sz w:val="20"/>
                <w:szCs w:val="20"/>
                <w:color w:val="auto"/>
              </w:rPr>
            </w:pPr>
            <w:r>
              <w:rPr>
                <w:rFonts w:ascii="Arial" w:cs="Arial" w:eastAsia="Arial" w:hAnsi="Arial"/>
                <w:sz w:val="18"/>
                <w:szCs w:val="18"/>
                <w:color w:val="auto"/>
                <w:w w:val="99"/>
              </w:rPr>
              <w:t>NUMBER OF SHARES BENEFICIALLY OWNED BY EACH</w:t>
            </w:r>
          </w:p>
        </w:tc>
        <w:tc>
          <w:tcPr>
            <w:tcW w:w="6280" w:type="dxa"/>
            <w:vAlign w:val="bottom"/>
            <w:tcBorders>
              <w:bottom w:val="single" w:sz="8" w:color="auto"/>
            </w:tcBorders>
          </w:tcPr>
          <w:p>
            <w:pPr>
              <w:jc w:val="right"/>
              <w:ind w:right="4650"/>
              <w:spacing w:after="0"/>
              <w:rPr>
                <w:sz w:val="20"/>
                <w:szCs w:val="20"/>
                <w:color w:val="auto"/>
              </w:rPr>
            </w:pPr>
            <w:r>
              <w:rPr>
                <w:rFonts w:ascii="Arial" w:cs="Arial" w:eastAsia="Arial" w:hAnsi="Arial"/>
                <w:sz w:val="18"/>
                <w:szCs w:val="18"/>
                <w:b w:val="1"/>
                <w:bCs w:val="1"/>
                <w:color w:val="auto"/>
              </w:rPr>
              <w:t>5,300,002*</w:t>
            </w:r>
          </w:p>
        </w:tc>
      </w:tr>
      <w:tr>
        <w:trPr>
          <w:trHeight w:val="217"/>
        </w:trPr>
        <w:tc>
          <w:tcPr>
            <w:tcW w:w="5000" w:type="dxa"/>
            <w:vAlign w:val="bottom"/>
          </w:tcPr>
          <w:p>
            <w:pPr>
              <w:jc w:val="center"/>
              <w:ind w:right="150"/>
              <w:spacing w:after="0" w:line="189" w:lineRule="exact"/>
              <w:rPr>
                <w:sz w:val="20"/>
                <w:szCs w:val="20"/>
                <w:color w:val="auto"/>
              </w:rPr>
            </w:pPr>
            <w:r>
              <w:rPr>
                <w:rFonts w:ascii="Arial" w:cs="Arial" w:eastAsia="Arial" w:hAnsi="Arial"/>
                <w:sz w:val="18"/>
                <w:szCs w:val="18"/>
                <w:color w:val="auto"/>
              </w:rPr>
              <w:t>REPORTING PERSON WITH</w:t>
            </w:r>
          </w:p>
        </w:tc>
        <w:tc>
          <w:tcPr>
            <w:tcW w:w="6280" w:type="dxa"/>
            <w:vAlign w:val="bottom"/>
          </w:tcPr>
          <w:p>
            <w:pPr>
              <w:jc w:val="right"/>
              <w:ind w:right="3170"/>
              <w:spacing w:after="0"/>
              <w:rPr>
                <w:sz w:val="20"/>
                <w:szCs w:val="20"/>
                <w:color w:val="auto"/>
              </w:rPr>
            </w:pPr>
            <w:r>
              <w:rPr>
                <w:rFonts w:ascii="Arial" w:cs="Arial" w:eastAsia="Arial" w:hAnsi="Arial"/>
                <w:sz w:val="18"/>
                <w:szCs w:val="18"/>
                <w:color w:val="auto"/>
              </w:rPr>
              <w:t>9. SOLE DISPOSITIVE POWER</w:t>
            </w:r>
          </w:p>
        </w:tc>
      </w:tr>
    </w:tbl>
    <w:p>
      <w:pPr>
        <w:spacing w:after="0" w:line="14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-0-</w:t>
      </w:r>
    </w:p>
    <w:p>
      <w:pPr>
        <w:ind w:left="5760" w:hanging="357"/>
        <w:spacing w:after="0"/>
        <w:tabs>
          <w:tab w:leader="none" w:pos="5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5760"/>
        <w:spacing w:after="0"/>
        <w:rPr>
          <w:rFonts w:ascii="Arial" w:cs="Arial" w:eastAsia="Arial" w:hAnsi="Arial"/>
          <w:sz w:val="18"/>
          <w:szCs w:val="18"/>
          <w:color w:val="auto"/>
        </w:rPr>
      </w:pPr>
      <w:r>
        <w:rPr>
          <w:rFonts w:ascii="Arial" w:cs="Arial" w:eastAsia="Arial" w:hAnsi="Arial"/>
          <w:sz w:val="18"/>
          <w:szCs w:val="18"/>
          <w:b w:val="1"/>
          <w:bCs w:val="1"/>
          <w:color w:val="auto"/>
        </w:rPr>
        <w:t>5,300,002*</w:t>
      </w:r>
    </w:p>
    <w:p>
      <w:pPr>
        <w:spacing w:after="0" w:line="220" w:lineRule="exact"/>
        <w:rPr>
          <w:rFonts w:ascii="Arial" w:cs="Arial" w:eastAsia="Arial" w:hAnsi="Arial"/>
          <w:sz w:val="18"/>
          <w:szCs w:val="18"/>
          <w:color w:val="auto"/>
        </w:rPr>
      </w:pPr>
    </w:p>
    <w:p>
      <w:pPr>
        <w:ind w:left="4280" w:hanging="984"/>
        <w:spacing w:after="0"/>
        <w:tabs>
          <w:tab w:leader="none" w:pos="4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4280"/>
        <w:spacing w:after="0"/>
        <w:rPr>
          <w:rFonts w:ascii="Arial" w:cs="Arial" w:eastAsia="Arial" w:hAnsi="Arial"/>
          <w:sz w:val="18"/>
          <w:szCs w:val="18"/>
          <w:color w:val="auto"/>
        </w:rPr>
      </w:pPr>
      <w:r>
        <w:rPr>
          <w:rFonts w:ascii="Arial" w:cs="Arial" w:eastAsia="Arial" w:hAnsi="Arial"/>
          <w:sz w:val="18"/>
          <w:szCs w:val="18"/>
          <w:b w:val="1"/>
          <w:bCs w:val="1"/>
          <w:color w:val="auto"/>
        </w:rPr>
        <w:t>5,300,002*</w:t>
      </w:r>
    </w:p>
    <w:p>
      <w:pPr>
        <w:spacing w:after="0" w:line="17" w:lineRule="exact"/>
        <w:rPr>
          <w:rFonts w:ascii="Arial" w:cs="Arial" w:eastAsia="Arial" w:hAnsi="Arial"/>
          <w:sz w:val="18"/>
          <w:szCs w:val="18"/>
          <w:color w:val="auto"/>
        </w:rPr>
      </w:pPr>
    </w:p>
    <w:p>
      <w:pPr>
        <w:ind w:left="4280" w:right="500" w:hanging="984"/>
        <w:spacing w:after="0" w:line="219" w:lineRule="auto"/>
        <w:tabs>
          <w:tab w:leader="none" w:pos="4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ind w:left="42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(see instructions)  </w:t>
      </w:r>
      <w:r>
        <w:rPr>
          <w:rFonts w:ascii="MS PGothic" w:cs="MS PGothic" w:eastAsia="MS PGothic" w:hAnsi="MS PGothic"/>
          <w:sz w:val="18"/>
          <w:szCs w:val="18"/>
          <w:color w:val="auto"/>
        </w:rPr>
        <w:t>☐</w:t>
      </w:r>
    </w:p>
    <w:p>
      <w:pPr>
        <w:spacing w:after="0" w:line="211" w:lineRule="exact"/>
        <w:rPr>
          <w:rFonts w:ascii="Arial" w:cs="Arial" w:eastAsia="Arial" w:hAnsi="Arial"/>
          <w:sz w:val="18"/>
          <w:szCs w:val="18"/>
          <w:color w:val="auto"/>
        </w:rPr>
      </w:pPr>
    </w:p>
    <w:p>
      <w:pPr>
        <w:ind w:left="4280" w:hanging="984"/>
        <w:spacing w:after="0"/>
        <w:tabs>
          <w:tab w:leader="none" w:pos="4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4280"/>
        <w:spacing w:after="0"/>
        <w:rPr>
          <w:rFonts w:ascii="Arial" w:cs="Arial" w:eastAsia="Arial" w:hAnsi="Arial"/>
          <w:sz w:val="18"/>
          <w:szCs w:val="18"/>
          <w:color w:val="auto"/>
        </w:rPr>
      </w:pPr>
      <w:r>
        <w:rPr>
          <w:rFonts w:ascii="Arial" w:cs="Arial" w:eastAsia="Arial" w:hAnsi="Arial"/>
          <w:sz w:val="18"/>
          <w:szCs w:val="18"/>
          <w:b w:val="1"/>
          <w:bCs w:val="1"/>
          <w:color w:val="auto"/>
        </w:rPr>
        <w:t>38.8%</w:t>
      </w:r>
    </w:p>
    <w:p>
      <w:pPr>
        <w:spacing w:after="0" w:line="17" w:lineRule="exact"/>
        <w:rPr>
          <w:rFonts w:ascii="Arial" w:cs="Arial" w:eastAsia="Arial" w:hAnsi="Arial"/>
          <w:sz w:val="18"/>
          <w:szCs w:val="18"/>
          <w:color w:val="auto"/>
        </w:rPr>
      </w:pPr>
    </w:p>
    <w:p>
      <w:pPr>
        <w:ind w:left="4280" w:hanging="984"/>
        <w:spacing w:after="0"/>
        <w:tabs>
          <w:tab w:leader="none" w:pos="4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42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ind w:right="8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Portfolio Services Ltd. beneficially owns 3,633,334 shares of Common Stock and 1,666,668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-2913380</wp:posOffset>
            </wp:positionV>
            <wp:extent cx="3987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87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-2544445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-2047240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 w:name="page4"/>
    <w:bookmarkEnd w:id="3"/>
    <w:p>
      <w:pPr>
        <w:spacing w:after="0"/>
        <w:tabs>
          <w:tab w:leader="none" w:pos="1048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4160" w:right="860" w:hanging="872"/>
        <w:spacing w:after="0" w:line="235" w:lineRule="auto"/>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41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31" w:lineRule="exact"/>
        <w:rPr>
          <w:rFonts w:ascii="Arial" w:cs="Arial" w:eastAsia="Arial" w:hAnsi="Arial"/>
          <w:sz w:val="18"/>
          <w:szCs w:val="18"/>
          <w:color w:val="auto"/>
        </w:rPr>
      </w:pPr>
    </w:p>
    <w:p>
      <w:pPr>
        <w:ind w:left="4160" w:right="2080" w:hanging="872"/>
        <w:spacing w:after="0" w:line="219" w:lineRule="auto"/>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4580" w:hanging="426"/>
        <w:spacing w:after="0" w:line="189" w:lineRule="exact"/>
        <w:tabs>
          <w:tab w:leader="none" w:pos="4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4580" w:hanging="426"/>
        <w:spacing w:after="0" w:line="202" w:lineRule="exact"/>
        <w:tabs>
          <w:tab w:leader="none" w:pos="4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4160" w:hanging="872"/>
        <w:spacing w:after="0"/>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4160" w:hanging="872"/>
        <w:spacing w:after="0"/>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4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4160" w:right="1240" w:hanging="872"/>
        <w:spacing w:after="0" w:line="232" w:lineRule="auto"/>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4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4160" w:hanging="872"/>
        <w:spacing w:after="0"/>
        <w:tabs>
          <w:tab w:leader="none" w:pos="4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4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5640" w:right="3820" w:hanging="258"/>
        <w:spacing w:after="0" w:line="336" w:lineRule="auto"/>
        <w:tabs>
          <w:tab w:leader="none" w:pos="564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5640" w:hanging="258"/>
        <w:spacing w:after="0"/>
        <w:tabs>
          <w:tab w:leader="none" w:pos="564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3186430</wp:posOffset>
            </wp:positionH>
            <wp:positionV relativeFrom="paragraph">
              <wp:posOffset>-130175</wp:posOffset>
            </wp:positionV>
            <wp:extent cx="40646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3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940" w:type="dxa"/>
            <w:vAlign w:val="bottom"/>
          </w:tcPr>
          <w:p>
            <w:pPr>
              <w:jc w:val="center"/>
              <w:ind w:right="90"/>
              <w:spacing w:after="0"/>
              <w:rPr>
                <w:sz w:val="20"/>
                <w:szCs w:val="20"/>
                <w:color w:val="auto"/>
              </w:rPr>
            </w:pPr>
            <w:r>
              <w:rPr>
                <w:rFonts w:ascii="Arial" w:cs="Arial" w:eastAsia="Arial" w:hAnsi="Arial"/>
                <w:sz w:val="18"/>
                <w:szCs w:val="18"/>
                <w:color w:val="auto"/>
                <w:w w:val="99"/>
              </w:rPr>
              <w:t>NUMBER OF SHARES BENEFICIALLY OWNED BY EACH</w:t>
            </w:r>
          </w:p>
        </w:tc>
        <w:tc>
          <w:tcPr>
            <w:tcW w:w="6400" w:type="dxa"/>
            <w:vAlign w:val="bottom"/>
            <w:vMerge w:val="restart"/>
          </w:tcPr>
          <w:p>
            <w:pPr>
              <w:jc w:val="right"/>
              <w:ind w:right="4770"/>
              <w:spacing w:after="0"/>
              <w:rPr>
                <w:sz w:val="20"/>
                <w:szCs w:val="20"/>
                <w:color w:val="auto"/>
              </w:rPr>
            </w:pPr>
            <w:r>
              <w:rPr>
                <w:rFonts w:ascii="Arial" w:cs="Arial" w:eastAsia="Arial" w:hAnsi="Arial"/>
                <w:sz w:val="18"/>
                <w:szCs w:val="18"/>
                <w:b w:val="1"/>
                <w:bCs w:val="1"/>
                <w:color w:val="auto"/>
              </w:rPr>
              <w:t>5,300,002*</w:t>
            </w:r>
          </w:p>
        </w:tc>
        <w:tc>
          <w:tcPr>
            <w:tcW w:w="0" w:type="dxa"/>
            <w:vAlign w:val="bottom"/>
          </w:tcPr>
          <w:p>
            <w:pPr>
              <w:spacing w:after="0"/>
              <w:rPr>
                <w:sz w:val="1"/>
                <w:szCs w:val="1"/>
                <w:color w:val="auto"/>
              </w:rPr>
            </w:pPr>
          </w:p>
        </w:tc>
      </w:tr>
      <w:tr>
        <w:trPr>
          <w:trHeight w:val="114"/>
        </w:trPr>
        <w:tc>
          <w:tcPr>
            <w:tcW w:w="4940" w:type="dxa"/>
            <w:vAlign w:val="bottom"/>
            <w:vMerge w:val="restart"/>
          </w:tcPr>
          <w:p>
            <w:pPr>
              <w:jc w:val="center"/>
              <w:ind w:right="90"/>
              <w:spacing w:after="0"/>
              <w:rPr>
                <w:sz w:val="20"/>
                <w:szCs w:val="20"/>
                <w:color w:val="auto"/>
              </w:rPr>
            </w:pPr>
            <w:r>
              <w:rPr>
                <w:rFonts w:ascii="Arial" w:cs="Arial" w:eastAsia="Arial" w:hAnsi="Arial"/>
                <w:sz w:val="18"/>
                <w:szCs w:val="18"/>
                <w:color w:val="auto"/>
              </w:rPr>
              <w:t>REPORTING PERSON WITH</w:t>
            </w:r>
          </w:p>
        </w:tc>
        <w:tc>
          <w:tcPr>
            <w:tcW w:w="64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940" w:type="dxa"/>
            <w:vAlign w:val="bottom"/>
            <w:vMerge w:val="continue"/>
          </w:tcPr>
          <w:p>
            <w:pPr>
              <w:spacing w:after="0"/>
              <w:rPr>
                <w:sz w:val="7"/>
                <w:szCs w:val="7"/>
                <w:color w:val="auto"/>
              </w:rPr>
            </w:pPr>
          </w:p>
        </w:tc>
        <w:tc>
          <w:tcPr>
            <w:tcW w:w="6400" w:type="dxa"/>
            <w:vAlign w:val="bottom"/>
            <w:vMerge w:val="restart"/>
          </w:tcPr>
          <w:p>
            <w:pPr>
              <w:jc w:val="right"/>
              <w:ind w:right="329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22"/>
        </w:trPr>
        <w:tc>
          <w:tcPr>
            <w:tcW w:w="4940" w:type="dxa"/>
            <w:vAlign w:val="bottom"/>
          </w:tcPr>
          <w:p>
            <w:pPr>
              <w:spacing w:after="0"/>
              <w:rPr>
                <w:sz w:val="10"/>
                <w:szCs w:val="10"/>
                <w:color w:val="auto"/>
              </w:rPr>
            </w:pPr>
          </w:p>
        </w:tc>
        <w:tc>
          <w:tcPr>
            <w:tcW w:w="6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-0-</w:t>
      </w:r>
    </w:p>
    <w:p>
      <w:pPr>
        <w:ind w:left="5640" w:hanging="358"/>
        <w:spacing w:after="0" w:line="219" w:lineRule="auto"/>
        <w:tabs>
          <w:tab w:leader="none" w:pos="5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ind w:left="5680"/>
        <w:spacing w:after="0"/>
        <w:rPr>
          <w:rFonts w:ascii="Arial" w:cs="Arial" w:eastAsia="Arial" w:hAnsi="Arial"/>
          <w:sz w:val="18"/>
          <w:szCs w:val="18"/>
          <w:color w:val="auto"/>
        </w:rPr>
      </w:pPr>
      <w:r>
        <w:rPr>
          <w:rFonts w:ascii="Arial" w:cs="Arial" w:eastAsia="Arial" w:hAnsi="Arial"/>
          <w:sz w:val="18"/>
          <w:szCs w:val="18"/>
          <w:b w:val="1"/>
          <w:bCs w:val="1"/>
          <w:color w:val="auto"/>
        </w:rPr>
        <w:t>5,300,002*</w:t>
      </w:r>
    </w:p>
    <w:p>
      <w:pPr>
        <w:spacing w:after="0" w:line="198" w:lineRule="exact"/>
        <w:rPr>
          <w:rFonts w:ascii="Arial" w:cs="Arial" w:eastAsia="Arial" w:hAnsi="Arial"/>
          <w:sz w:val="18"/>
          <w:szCs w:val="18"/>
          <w:color w:val="auto"/>
        </w:rPr>
      </w:pPr>
    </w:p>
    <w:p>
      <w:pPr>
        <w:ind w:left="4160" w:hanging="972"/>
        <w:spacing w:after="0"/>
        <w:tabs>
          <w:tab w:leader="none" w:pos="4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-507365</wp:posOffset>
            </wp:positionV>
            <wp:extent cx="40646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646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5,300,002*</w:t>
      </w:r>
    </w:p>
    <w:p>
      <w:pPr>
        <w:spacing w:after="0" w:line="18" w:lineRule="exact"/>
        <w:rPr>
          <w:sz w:val="20"/>
          <w:szCs w:val="20"/>
          <w:color w:val="auto"/>
        </w:rPr>
      </w:pPr>
    </w:p>
    <w:p>
      <w:pPr>
        <w:ind w:left="4160" w:right="640" w:hanging="972"/>
        <w:spacing w:after="0" w:line="219" w:lineRule="auto"/>
        <w:tabs>
          <w:tab w:leader="none" w:pos="4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ind w:left="416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(see instructions)  </w:t>
      </w:r>
      <w:r>
        <w:rPr>
          <w:rFonts w:ascii="MS PGothic" w:cs="MS PGothic" w:eastAsia="MS PGothic" w:hAnsi="MS PGothic"/>
          <w:sz w:val="18"/>
          <w:szCs w:val="18"/>
          <w:color w:val="auto"/>
        </w:rPr>
        <w:t>☐</w:t>
      </w:r>
    </w:p>
    <w:p>
      <w:pPr>
        <w:spacing w:after="0" w:line="211" w:lineRule="exact"/>
        <w:rPr>
          <w:rFonts w:ascii="Arial" w:cs="Arial" w:eastAsia="Arial" w:hAnsi="Arial"/>
          <w:sz w:val="18"/>
          <w:szCs w:val="18"/>
          <w:color w:val="auto"/>
        </w:rPr>
      </w:pPr>
    </w:p>
    <w:p>
      <w:pPr>
        <w:ind w:left="4160" w:hanging="972"/>
        <w:spacing w:after="0"/>
        <w:tabs>
          <w:tab w:leader="none" w:pos="4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4160"/>
        <w:spacing w:after="0"/>
        <w:rPr>
          <w:rFonts w:ascii="Arial" w:cs="Arial" w:eastAsia="Arial" w:hAnsi="Arial"/>
          <w:sz w:val="18"/>
          <w:szCs w:val="18"/>
          <w:color w:val="auto"/>
        </w:rPr>
      </w:pPr>
      <w:r>
        <w:rPr>
          <w:rFonts w:ascii="Arial" w:cs="Arial" w:eastAsia="Arial" w:hAnsi="Arial"/>
          <w:sz w:val="18"/>
          <w:szCs w:val="18"/>
          <w:b w:val="1"/>
          <w:bCs w:val="1"/>
          <w:color w:val="auto"/>
        </w:rPr>
        <w:t>38.8%</w:t>
      </w:r>
    </w:p>
    <w:p>
      <w:pPr>
        <w:spacing w:after="0" w:line="17" w:lineRule="exact"/>
        <w:rPr>
          <w:rFonts w:ascii="Arial" w:cs="Arial" w:eastAsia="Arial" w:hAnsi="Arial"/>
          <w:sz w:val="18"/>
          <w:szCs w:val="18"/>
          <w:color w:val="auto"/>
        </w:rPr>
      </w:pPr>
    </w:p>
    <w:p>
      <w:pPr>
        <w:ind w:left="4160" w:hanging="972"/>
        <w:spacing w:after="0"/>
        <w:tabs>
          <w:tab w:leader="none" w:pos="4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41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-1231265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*As of the filing date and as described in Items 4, 5(a) and 5(b), Kenneth B. Dart beneficially owns 3,633,334 shares of Common Stock and 1,666,668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420"/>
          </w:cols>
          <w:pgMar w:left="240" w:top="692" w:right="239" w:bottom="1440" w:gutter="0" w:footer="0" w:header="0"/>
        </w:sectPr>
      </w:pPr>
    </w:p>
    <w:bookmarkStart w:id="4" w:name="page5"/>
    <w:bookmarkEnd w:id="4"/>
    <w:p>
      <w:pPr>
        <w:spacing w:after="0"/>
        <w:tabs>
          <w:tab w:leader="none" w:pos="10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876033408</w:t>
      </w:r>
      <w:r>
        <w:rPr>
          <w:sz w:val="20"/>
          <w:szCs w:val="20"/>
          <w:color w:val="auto"/>
        </w:rPr>
        <w:tab/>
      </w:r>
      <w:r>
        <w:rPr>
          <w:rFonts w:ascii="Arial" w:cs="Arial" w:eastAsia="Arial" w:hAnsi="Arial"/>
          <w:sz w:val="17"/>
          <w:szCs w:val="17"/>
          <w:color w:val="auto"/>
        </w:rPr>
        <w:t>Page 5 of 8</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Amendment No. 8 to Schedule 13D (the “Schedule 13D”) relates to the common stock (“Common Stock”) of TapImmune Inc. (the “Issuer”), whose principal executive offices are located at 5 West Forsyth Street, Suite 200, Jacksonville, FL 32202, 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8 to Schedule 13D (the “Schedule 13D”) is being filed by Eastern Capital Limited, Portfolio Services Ltd. and Kenneth B.</w:t>
      </w:r>
    </w:p>
    <w:p>
      <w:pPr>
        <w:spacing w:after="0"/>
        <w:rPr>
          <w:sz w:val="20"/>
          <w:szCs w:val="20"/>
          <w:color w:val="auto"/>
        </w:rPr>
      </w:pPr>
      <w:r>
        <w:rPr>
          <w:rFonts w:ascii="Arial" w:cs="Arial" w:eastAsia="Arial" w:hAnsi="Arial"/>
          <w:sz w:val="18"/>
          <w:szCs w:val="18"/>
          <w:color w:val="auto"/>
        </w:rPr>
        <w:t>Dart (collectively, the “Reporting Persons”).</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10 Market Street #773, Camana Bay, Grand Cayman, KY1-9006, Cayman Islands, a Cayman Islands corporation, is an investment entity that owns the shares of the Issuer’s Common Stock and Warrants to purchase Common Stock reported in this Schedule 13D. Kenneth B. Dart, Mark R. VanDevelde, Alasdair J. Foster and Sharon M. Cornwell are directors of Eastern Capital Limited.</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10 Market Street #773, Camana Bay, Grand Cayman, KY1-9006, Cayman Islands, a Cayman Islands corporation, is a holding company which owns all of the outstanding stock of Eastern Capital Limited. Kenneth B. Dart and Mark R. VanDevelde are directors of Portfolio Services Ltd.</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Kenneth B. Dart, P. O. Box 31300 SMB, Grand Cayman, KY1 -1206, Cayman Islands, a British Overseas Territory Citizen / Cayman Islands and businessman, is the beneficial owner of all of the outstanding stock of Portfolio Services Ltd.</w:t>
      </w:r>
    </w:p>
    <w:p>
      <w:pPr>
        <w:spacing w:after="0" w:line="10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Mark R. VanDevelde, 10 Market Street #771, Camana Bay, Grand Cayman, KY1-9006, Cayman Islands, a British Overseas Territory Citizen / Cayman Islands, is the Chief Executive Officer of Dart Enterprises Ltd., Grand Cayman, Cayman Islands.</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Alasdair J. Foster, 10 Market Street #251, Camana Bay, Grand Cayman, KY1-9006, Cayman Islands, British Citizen, is President –.Active Investments of Dart Enterprises Ltd., Grand Cayman, Cayman Islands.</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Sharon M. Cornwell, 10 Market Street #773, Camana Bay, Grand Cayman, KY1-9006, Cayman Islands, United States Citizen, is an Executive Vice President of Dart Management Services Ltd., Grand Cayman, Cayman Islands.</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last five years, none of the persons listed above have been convicted in a criminal proceeding (excluding traffic violations or similar misdemeanors).</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last five years, none of the persons listed above was a party to a civil proceeding of a judicial or administrative body of competent jurisdiction.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source of funds used to acquire the shares of the Issuer’s common stock and warrants was the working capital of Eastern Capital Limited.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May 14, 2018, Eastern Capital Limited entered into a Common Stock Purchase Agreement with the Issuer to purchase 1,300,000 shares of common stock at a price per share of $2.40.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Issuer’s securities for investment purposes.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ectPr>
          <w:pgSz w:w="11900" w:h="16838" w:orient="portrait"/>
          <w:cols w:equalWidth="0" w:num="1">
            <w:col w:w="11420"/>
          </w:cols>
          <w:pgMar w:left="240" w:top="908" w:right="239" w:bottom="1440" w:gutter="0" w:footer="0" w:header="0"/>
        </w:sectPr>
      </w:pPr>
    </w:p>
    <w:bookmarkStart w:id="5" w:name="page6"/>
    <w:bookmarkEnd w:id="5"/>
    <w:p>
      <w:pPr>
        <w:spacing w:after="0"/>
        <w:tabs>
          <w:tab w:leader="none" w:pos="10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876033408</w:t>
      </w:r>
      <w:r>
        <w:rPr>
          <w:sz w:val="20"/>
          <w:szCs w:val="20"/>
          <w:color w:val="auto"/>
        </w:rPr>
        <w:tab/>
      </w:r>
      <w:r>
        <w:rPr>
          <w:rFonts w:ascii="Arial" w:cs="Arial" w:eastAsia="Arial" w:hAnsi="Arial"/>
          <w:sz w:val="17"/>
          <w:szCs w:val="17"/>
          <w:color w:val="auto"/>
        </w:rPr>
        <w:t>Page 6 of 8</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 5(a)–(b)</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5,300,002 shares of the Issuer’s Common Stock, representing 38.8% of the Issuer’s outstanding Common Stock. Eastern Capital Limited has shared voting and dispositive power of the shares it beneficially owns with its parent, Portfolio Services Ltd. and Kenneth B. Dart.</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5,300,002 shares of the Issuer’s Common Stock, representing 38.8% of the Issuer’s outstanding Common Stock. Portfolio Services Ltd. has shared voting and dispositive power of the shares it beneficially owns.</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5,300,002 shares of the Issuer’s Common Stock, representing 38.8% of the Issuer’s outstanding Common Stock. Kenneth B. Dart has shared voting and dispositive power of the shares he beneficially owns.</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percentage ownership noted in this Schedule 13D/A is based on 10,684,516 shares of Common Stock as reported in the Issuer’s Form 10-Q filed with the U.S. Securities and Exchange Commission on May 15, 2018, plus 1,300,000 additional shares of Common Stock acquired by the Reporting Persons on May 14, 2018 pursuant to the Common Stock Purchase Agreement.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Items 5(c)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Item 4 above is incorporated by reference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Items 5(d) and 5(e) - Not applicable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conditions of the Warrant Amendment Agreement and each Series A-1 Warrant, Series D-1 Warrant, Series E-1 Warrant and</w:t>
      </w:r>
    </w:p>
    <w:p>
      <w:pPr>
        <w:spacing w:after="0"/>
        <w:rPr>
          <w:sz w:val="20"/>
          <w:szCs w:val="20"/>
          <w:color w:val="auto"/>
        </w:rPr>
      </w:pPr>
      <w:r>
        <w:rPr>
          <w:rFonts w:ascii="Arial" w:cs="Arial" w:eastAsia="Arial" w:hAnsi="Arial"/>
          <w:sz w:val="18"/>
          <w:szCs w:val="18"/>
          <w:color w:val="auto"/>
        </w:rPr>
        <w:t>Series F-1 Warrant respectively and subsequent Reverse Stock Split:</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A-1 Warrant, as amended, is exercisable at an initial exercise price of $1.20 per share, and will expire on the five year anniversary of the date of issuance.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D-1 Warrant, as amended is exercisable at an initial exercise price of $9.00 per share, and will expire on the five year anniversary of September 9, 2015.</w:t>
      </w:r>
    </w:p>
    <w:p>
      <w:pPr>
        <w:spacing w:after="0" w:line="8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Each Series E-1 Warrant, as amended is exercisable at an initial exercise price of $15.00 per share, and will expire on the five year anniversary of June 16, 2015.</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F-1 Warrant, is exercisable at an initial exercise price of $7.20 per share, and will expire on the five year anniversary of the date of issuance.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Copies of the form of the respective warrants, as amended, are included as Exhibits 4.6 – 4.8 and Exhibit 4.10 to the Form 8-K filed by the Issuer with the U.S. Securities and Exchange Commission on August 11, 2016 and are incorporated by reference herein.</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copy of the Warrant Amendment Agreement is included as Exhibit 10.3 to the Form 8-K filed by the Issuer with the U.S. Securities and Exchange Commission on August 11, 2016 and is incorporated by reference herein.</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copy of the Certificate of Change filed Pursuant to NRS 78.209 reflecting the Reverse Stock Split is included as Exhibit 3.1 to the Form 8-K filed by the Issuer with the U.S. Securities and Exchange Commission on September 15, 2016 and are incorporated by reference herein.</w:t>
      </w:r>
    </w:p>
    <w:p>
      <w:pPr>
        <w:sectPr>
          <w:pgSz w:w="11900" w:h="16838" w:orient="portrait"/>
          <w:cols w:equalWidth="0" w:num="1">
            <w:col w:w="11420"/>
          </w:cols>
          <w:pgMar w:left="240" w:top="841" w:right="239" w:bottom="1440" w:gutter="0" w:footer="0" w:header="0"/>
        </w:sectPr>
      </w:pPr>
    </w:p>
    <w:bookmarkStart w:id="6" w:name="page7"/>
    <w:bookmarkEnd w:id="6"/>
    <w:p>
      <w:pPr>
        <w:spacing w:after="0"/>
        <w:tabs>
          <w:tab w:leader="none" w:pos="10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876033408</w:t>
      </w:r>
      <w:r>
        <w:rPr>
          <w:sz w:val="20"/>
          <w:szCs w:val="20"/>
          <w:color w:val="auto"/>
        </w:rPr>
        <w:tab/>
      </w:r>
      <w:r>
        <w:rPr>
          <w:rFonts w:ascii="Arial" w:cs="Arial" w:eastAsia="Arial" w:hAnsi="Arial"/>
          <w:sz w:val="17"/>
          <w:szCs w:val="17"/>
          <w:color w:val="auto"/>
        </w:rPr>
        <w:t>Page 7 of 8</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Item 7. Material to Be Filed as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2.1 Form of Amended Series A-1 Warrant to Purchase Common Stock (Incorporated herein by reference to Exhibit 4.6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2.2 Form of Amended Series D-1 Warrant to Purchase Common Stock (Incorporated herein by reference to Exhibit 4.7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2.3 Form of Amended Series E-1 Warrant to Purchase Common Stock (Incorporated herein by reference to Exhibit 4.8 to the Issuer’s Form 8-K filed with the U.S. Securities and Exchange Commission on August 11, 2016)</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2.4 Form of Series F-1 Warrant to Purchase Common Stock (Incorporated herein by reference to Exhibit 4.10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3 – Form of Warrant Amendment Agreement (Incorporated herein by reference to Exhibit 10.3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4 – Form of Certificate of Change filed Pursuant to NRS 78.209 (Incorporated herein by reference to Exhibit 3.1 to the Issuer’s Form 8-K filed with the U.S. Securities and Exchange Commission on September 15,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5 – Common Stock Purchase Agreement (Incorporated herein by reference to Exhibit 10.1 to the Issuer’s Form 10-Q filed with the U.S. Securities and Exchange Commission on May 15, 2018)</w:t>
      </w:r>
    </w:p>
    <w:p>
      <w:pPr>
        <w:sectPr>
          <w:pgSz w:w="11900" w:h="16838" w:orient="portrait"/>
          <w:cols w:equalWidth="0" w:num="1">
            <w:col w:w="11420"/>
          </w:cols>
          <w:pgMar w:left="240" w:top="908" w:right="239" w:bottom="1440" w:gutter="0" w:footer="0" w:header="0"/>
        </w:sectPr>
      </w:pPr>
    </w:p>
    <w:bookmarkStart w:id="7" w:name="page8"/>
    <w:bookmarkEnd w:id="7"/>
    <w:p>
      <w:pPr>
        <w:spacing w:after="0"/>
        <w:tabs>
          <w:tab w:leader="none" w:pos="10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876033408</w:t>
      </w:r>
      <w:r>
        <w:rPr>
          <w:sz w:val="20"/>
          <w:szCs w:val="20"/>
          <w:color w:val="auto"/>
        </w:rPr>
        <w:tab/>
      </w:r>
      <w:r>
        <w:rPr>
          <w:rFonts w:ascii="Arial" w:cs="Arial" w:eastAsia="Arial" w:hAnsi="Arial"/>
          <w:sz w:val="17"/>
          <w:szCs w:val="17"/>
          <w:color w:val="auto"/>
        </w:rPr>
        <w:t>Page 8 of 8</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9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05/16/2018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05/16/2018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05/16/2018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841" w:right="239" w:bottom="1440" w:gutter="0" w:footer="0" w:header="0"/>
        </w:sectPr>
      </w:pPr>
    </w:p>
    <w:bookmarkStart w:id="8" w:name="page9"/>
    <w:bookmarkEnd w:id="8"/>
    <w:p>
      <w:pPr>
        <w:spacing w:after="0"/>
        <w:tabs>
          <w:tab w:leader="none" w:pos="590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TapImmune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05/16/2018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05/16/2018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05/16/2018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171" w:right="299" w:bottom="1440" w:gutter="0" w:footer="0" w:header="0"/>
        </w:sectPr>
      </w:pPr>
    </w:p>
    <w:bookmarkStart w:id="9" w:name="page10"/>
    <w:bookmarkEnd w:id="9"/>
    <w:p>
      <w:pPr>
        <w:spacing w:after="0"/>
        <w:tabs>
          <w:tab w:leader="none" w:pos="588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b w:val="1"/>
          <w:bCs w:val="1"/>
          <w:color w:val="auto"/>
        </w:rPr>
        <w:t>Exhibit 2.1</w:t>
      </w:r>
    </w:p>
    <w:p>
      <w:pPr>
        <w:spacing w:after="0" w:line="3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Form of Amended Series A-1 Warrant to Purchase Common Stock (Incorporated herein by reference to Exhibit 4.6 to the Issuer’s Form 8-K filed with the U.S. Securities and Exchange Commission on August 11, 2016)</w:t>
      </w:r>
    </w:p>
    <w:p>
      <w:pPr>
        <w:sectPr>
          <w:pgSz w:w="11900" w:h="16838" w:orient="portrait"/>
          <w:cols w:equalWidth="0" w:num="1">
            <w:col w:w="11420"/>
          </w:cols>
          <w:pgMar w:left="240" w:top="171" w:right="239" w:bottom="1440" w:gutter="0" w:footer="0" w:header="0"/>
        </w:sectPr>
      </w:pPr>
    </w:p>
    <w:bookmarkStart w:id="10" w:name="page11"/>
    <w:bookmarkEnd w:id="10"/>
    <w:p>
      <w:pPr>
        <w:spacing w:after="0"/>
        <w:tabs>
          <w:tab w:leader="none" w:pos="590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b w:val="1"/>
          <w:bCs w:val="1"/>
          <w:color w:val="auto"/>
        </w:rPr>
        <w:t>Exhibit 2.2</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Amended Series D-1 Warrant to Purchase Common Stock (Incorporated herein by reference to Exhibit 4.7 to the Issuer’s Form 8-K filed with the U.S. Securities and Exchange Commission on August 11, 2016)</w:t>
      </w:r>
    </w:p>
    <w:p>
      <w:pPr>
        <w:sectPr>
          <w:pgSz w:w="11900" w:h="16838" w:orient="portrait"/>
          <w:cols w:equalWidth="0" w:num="1">
            <w:col w:w="11100"/>
          </w:cols>
          <w:pgMar w:left="240" w:top="171" w:right="559" w:bottom="1440" w:gutter="0" w:footer="0" w:header="0"/>
        </w:sectPr>
      </w:pPr>
    </w:p>
    <w:bookmarkStart w:id="11" w:name="page12"/>
    <w:bookmarkEnd w:id="11"/>
    <w:p>
      <w:pPr>
        <w:spacing w:after="0"/>
        <w:tabs>
          <w:tab w:leader="none" w:pos="588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b w:val="1"/>
          <w:bCs w:val="1"/>
          <w:color w:val="auto"/>
        </w:rPr>
        <w:t>Exhibit 2.3</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Amended Series E-1 Warrant to Purchase Common Stock (Incorporated herein by reference to Exhibit 4.8 to the Issuer’s Form 8-K filed with the U.S. Securities and Exchange Commission on August 11, 2016)</w:t>
      </w:r>
    </w:p>
    <w:p>
      <w:pPr>
        <w:sectPr>
          <w:pgSz w:w="11900" w:h="16838" w:orient="portrait"/>
          <w:cols w:equalWidth="0" w:num="1">
            <w:col w:w="11100"/>
          </w:cols>
          <w:pgMar w:left="240" w:top="171" w:right="559" w:bottom="1440" w:gutter="0" w:footer="0" w:header="0"/>
        </w:sectPr>
      </w:pPr>
    </w:p>
    <w:bookmarkStart w:id="12" w:name="page13"/>
    <w:bookmarkEnd w:id="12"/>
    <w:p>
      <w:pPr>
        <w:spacing w:after="0"/>
        <w:tabs>
          <w:tab w:leader="none" w:pos="588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7"/>
          <w:szCs w:val="17"/>
          <w:b w:val="1"/>
          <w:bCs w:val="1"/>
          <w:color w:val="auto"/>
        </w:rPr>
        <w:t>Exhibit 2.4</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Series F-1 Warrant to Purchase Common Stock (Incorporated herein by reference to Exhibit 4.10 to the Issuer’s Form 8-K filed with the U.S. Securities and Exchange Commission on August 11, 2016)</w:t>
      </w:r>
    </w:p>
    <w:p>
      <w:pPr>
        <w:sectPr>
          <w:pgSz w:w="11900" w:h="16838" w:orient="portrait"/>
          <w:cols w:equalWidth="0" w:num="1">
            <w:col w:w="11420"/>
          </w:cols>
          <w:pgMar w:left="240" w:top="414" w:right="239" w:bottom="1440" w:gutter="0" w:footer="0" w:header="0"/>
        </w:sectPr>
      </w:pPr>
    </w:p>
    <w:bookmarkStart w:id="13" w:name="page14"/>
    <w:bookmarkEnd w:id="13"/>
    <w:p>
      <w:pPr>
        <w:spacing w:after="0"/>
        <w:tabs>
          <w:tab w:leader="none" w:pos="596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b w:val="1"/>
          <w:bCs w:val="1"/>
          <w:color w:val="auto"/>
        </w:rPr>
        <w:t>Exhibit 3</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Warrant Amendment Agreement (Incorporated herein by reference to Exhibit 10.3 to the Issuer’s Form 8-K filed with the U.S. Securities and Exchange Commission on August 11, 2016)</w:t>
      </w:r>
    </w:p>
    <w:p>
      <w:pPr>
        <w:sectPr>
          <w:pgSz w:w="11900" w:h="16838" w:orient="portrait"/>
          <w:cols w:equalWidth="0" w:num="1">
            <w:col w:w="10600"/>
          </w:cols>
          <w:pgMar w:left="240" w:top="157" w:right="1059" w:bottom="1440" w:gutter="0" w:footer="0" w:header="0"/>
        </w:sectPr>
      </w:pPr>
    </w:p>
    <w:bookmarkStart w:id="14" w:name="page15"/>
    <w:bookmarkEnd w:id="14"/>
    <w:p>
      <w:pPr>
        <w:spacing w:after="0"/>
        <w:tabs>
          <w:tab w:leader="none" w:pos="596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b w:val="1"/>
          <w:bCs w:val="1"/>
          <w:color w:val="auto"/>
        </w:rPr>
        <w:t>Exhibit 4</w:t>
      </w:r>
    </w:p>
    <w:p>
      <w:pPr>
        <w:spacing w:after="0" w:line="180"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Certificate of Change filed Pursuant to NRS 78.209 (Incorporated herein by reference to Exhibit 3.1 to the Issuer’s Form 8-K filed with the U.S. Securities and Exchange Commission on September 15, 2016)</w:t>
      </w:r>
    </w:p>
    <w:p>
      <w:pPr>
        <w:sectPr>
          <w:pgSz w:w="11900" w:h="16838" w:orient="portrait"/>
          <w:cols w:equalWidth="0" w:num="1">
            <w:col w:w="11320"/>
          </w:cols>
          <w:pgMar w:left="240" w:top="171" w:right="339" w:bottom="1440" w:gutter="0" w:footer="0" w:header="0"/>
        </w:sectPr>
      </w:pPr>
    </w:p>
    <w:bookmarkStart w:id="15" w:name="page16"/>
    <w:bookmarkEnd w:id="15"/>
    <w:p>
      <w:pPr>
        <w:spacing w:after="0"/>
        <w:tabs>
          <w:tab w:leader="none" w:pos="5960" w:val="left"/>
        </w:tabs>
        <w:rPr>
          <w:sz w:val="20"/>
          <w:szCs w:val="20"/>
          <w:color w:val="auto"/>
        </w:rPr>
      </w:pPr>
      <w:r>
        <w:rPr>
          <w:rFonts w:ascii="Arial" w:cs="Arial" w:eastAsia="Arial" w:hAnsi="Arial"/>
          <w:sz w:val="18"/>
          <w:szCs w:val="18"/>
          <w:color w:val="auto"/>
        </w:rPr>
        <w:t>CUSIP No. 876033408</w:t>
      </w:r>
      <w:r>
        <w:rPr>
          <w:sz w:val="20"/>
          <w:szCs w:val="20"/>
          <w:color w:val="auto"/>
        </w:rPr>
        <w:tab/>
      </w:r>
      <w:r>
        <w:rPr>
          <w:rFonts w:ascii="Arial" w:cs="Arial" w:eastAsia="Arial" w:hAnsi="Arial"/>
          <w:sz w:val="18"/>
          <w:szCs w:val="18"/>
          <w:b w:val="1"/>
          <w:bCs w:val="1"/>
          <w:color w:val="auto"/>
        </w:rPr>
        <w:t>Exhibit 5</w:t>
      </w:r>
    </w:p>
    <w:p>
      <w:pPr>
        <w:spacing w:after="0" w:line="180"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Common Stock Purchase Agreement (Incorporated herein by reference to Exhibit 10.1 to the Issuer’s Form 10-Q filed with the U.S. Securities and Exchange Commission on May 15, 2018)</w:t>
      </w:r>
    </w:p>
    <w:sectPr>
      <w:pgSz w:w="11900" w:h="16838" w:orient="portrait"/>
      <w:cols w:equalWidth="0" w:num="1">
        <w:col w:w="11320"/>
      </w:cols>
      <w:pgMar w:left="24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9E2A9E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515F007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5BD062C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4DB127F8"/>
    <w:multiLevelType w:val="hybridMultilevel"/>
    <w:lvl w:ilvl="0">
      <w:lvlJc w:val="left"/>
      <w:lvlText w:val="%1"/>
      <w:numFmt w:val="decimal"/>
      <w:start w:val="1"/>
    </w:lvl>
    <w:lvl w:ilvl="1">
      <w:lvlJc w:val="left"/>
      <w:lvlText w:val="%2."/>
      <w:numFmt w:val="decimal"/>
      <w:start w:val="10"/>
    </w:lvl>
  </w:abstractNum>
  <w:abstractNum w:abstractNumId="9">
    <w:nsid w:val="216231B"/>
    <w:multiLevelType w:val="hybridMultilevel"/>
    <w:lvl w:ilvl="0">
      <w:lvlJc w:val="left"/>
      <w:lvlText w:val="%1."/>
      <w:numFmt w:val="decimal"/>
      <w:start w:val="11"/>
    </w:lvl>
    <w:lvl w:ilvl="1">
      <w:lvlJc w:val="left"/>
      <w:lvlText w:val="%2"/>
      <w:numFmt w:val="decimal"/>
      <w:start w:val="1"/>
    </w:lvl>
  </w:abstractNum>
  <w:abstractNum w:abstractNumId="10">
    <w:nsid w:val="1F16E9E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2020-01-15T11:40:00Z</dcterms:created>
  <dcterms:modified xsi:type="dcterms:W3CDTF">2020-01-15T11:40:00Z</dcterms:modified>
</cp:coreProperties>
</file>