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29118e8vk.htm"/>
      <w:bookmarkStart w:id="1" w:name="ksd29118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 to Section 13 or 15(d) of</w:t>
        <w:br/>
        <w:t>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September 30, 2005</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GeneMax Corp.</w:t>
      </w:r>
      <w:r>
        <w:rPr>
          <w:rFonts w:ascii="Times New Roman;Times;serif" w:hAnsi="Times New Roman;Times;serif"/>
          <w:sz w:val="4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Nevada</w:t>
            </w:r>
            <w:r>
              <w:rPr/>
              <w:br/>
              <w:t>(State or other jurisdiction</w:t>
              <w:b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0-27239</w:t>
              <w:b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88-0277072</w:t>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sz w:val="17"/>
        </w:rPr>
        <w:t>1681 Chestnut Street, Suite 400</w:t>
        <w:br/>
        <w:t>Vancouver, British Columbia, Canada V6J 4M6</w:t>
        <w:br/>
        <w:t>(Address, including zip code, of principal executive offices)</w:t>
      </w:r>
    </w:p>
    <w:p>
      <w:pPr>
        <w:pStyle w:val="TextBody"/>
        <w:spacing w:before="240" w:after="283"/>
        <w:jc w:val="center"/>
        <w:rPr>
          <w:rFonts w:ascii="Times New Roman;Times;serif" w:hAnsi="Times New Roman;Times;serif"/>
          <w:sz w:val="17"/>
        </w:rPr>
      </w:pPr>
      <w:r>
        <w:rPr>
          <w:rFonts w:ascii="Times New Roman;Times;serif" w:hAnsi="Times New Roman;Times;serif"/>
          <w:sz w:val="17"/>
        </w:rPr>
        <w:t>(604) 331-0400</w:t>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Written communications pursuant to Rule 425 under the Securities Act (17 CFR 230.425)</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Soliciting Material pursuant to Rule 14a-12 under the Exchange Act (17 CFR 240.14a-12)</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Pre-commencement communications pursuant to Rule 14d-2(b) under the Exchange Act (17 CFR 240.14d-2(b))</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5.02 Departure of Directors or Principal Officers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 received a letter of resignation from its President and CEO, Konstantine Sarafis, dated September 26, 2005. In this letter, Mr. Sarafis announced his resignation from the Board of Directors of GeneMax, and from his position as chief executive officer, effective immediately. A copy of that letter is attached as an exhibit to this filing.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his letter, Mr. Sarafis alleges that GeneMax constructively dismissed him due to the lack of delivery of shares and options due to him and other unspecified reasons, as a repudiation of his contract. As previously reported by the Company, GeneMax agreed to issue to Mr. Sarafis 500,000 common shares at a deemed price of CDN$0.15 per share, and grant to Mr. Sarafis options to purchase up to 1,400,000 common shares at an exercise price to be determined in accordance with the companys stock option plan. GeneMax is engaged in discussions with Mr. Sarafis regarding the terms of his separation from the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 does not currently have a CEO, however, it is actively seeking a person to fill the position previously filled by Mr. Sarafis.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Not applicable.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Not applicable.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Not applicable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Exhibits:</w:t>
            </w:r>
          </w:p>
        </w:tc>
      </w:tr>
    </w:tbl>
    <w:p>
      <w:pPr>
        <w:pStyle w:val="TextBody"/>
        <w:spacing w:before="120" w:after="283"/>
        <w:jc w:val="left"/>
        <w:rPr/>
      </w:pPr>
      <w:r>
        <w:rPr/>
        <w:t>          </w:t>
      </w:r>
      <w:r>
        <w:rPr>
          <w:rFonts w:ascii="Times New Roman;Times;serif" w:hAnsi="Times New Roman;Times;serif"/>
          <w:sz w:val="17"/>
        </w:rPr>
        <w:t xml:space="preserve">17.1     Letter from Mr. Sarafis dated September 26, 2005.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GeneMax 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GeneMax Corp. is a biotechnology company specializing in the discovery and development of immunotherapeutics for the treatment and eradication of cancer, therapies for infectious diseases and autoimmune disorders and prevention of transplant tissue rejection, using TAP (Transporters Associated with Antigen Presentation) to restore the antigen presentation process to immune cells. </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SAFE HARBOR STATEMENT</w:t>
        <w:br/>
        <w:t xml:space="preserve">THIS FORM 8-K INCLUDES FORWARD-LOOKING STATEMENTS WITHIN THE MEANING OF SECTION 27A OF THE UNITED STATES SECURITIES ACT OF 1933, AS AMENDED, AND SECTION 21E OF THE UNITED STATES SECURITIES AND EXCHANGE ACT OF 1934, AS AMENDED. THESE STATEMENTS ARE MADE UNDER THE SAFE HARBOR PROVISIONS OF THE UNITED STATES PRIVATE SECURITIES LITIGATION REFORM ACT OF 1995. EXCEPT FOR THE HISTORICAL INFORMATION PRESENTED HEREIN, MATTERS DISCUSSED IN THIS FORM 8-K CONTAIN FORWARD-LOOKING STATEMENTS THAT ARE SUBJECT TO CERTAIN RISKS AND UNCERTAINTIES THAT COULD CAUSE ACTUAL RESULTS TO DIFFER MATERIALLY FROM ANY FUTURE RESULTS, PERFORMANCE OR ACHIEVEMENTS EXPRESSED OR IMPLIED BY SUCH STATEMENTS. STATEMENTS THAT ARE NOT HISTORICAL FACTS, INCLUDING STATEMENTS THAT ARE PRECEDED BY, FOLLOWED BY, OR THAT INCLUDE SUCH WORDS AS ESTIMATE, ANTICIPATE, BELIEVE, PLAN OR EXPECT OR SIMILAR STATEMENTS ARE FORWARD-LOOKING STATEMENTS. RISKS AND UNCERTAINTIES FOR GENEMAX CORP. INCLUDE BUT ARE NOT LIMITED THE RISKS ASSOCIATED WITH PRODUCT DISCOVERY AND DEVELOPMENT AS WELL AS THE RISKS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SHOWN IN GENEMAXS MOST RECENT ANNUAL REPORT ON FORM 10-KSB AND ON FORM 10-QSB AND FROM TIME-TO-TIME IN OTHER PUBLICLY AVAILABLE INFORMATION REGARDING GENEMAX. OTHER RISKS INCLUDE RISKS ASSOCIATED WITH OBTAINING GOVERNMENT GRANTS, THE SUCCESS OF PRECLINICAL AND CLINICAL TRIALS, THE PROGRESS OF RESEARCH AND PRODUCT DEVELOPMENT PROGRAMS, THE REGULATORY APPROVAL PROCESS, COMPETITIVE PRODUCTS, FUTURE CAPITAL REQUIREMENTS, AND GENEMAXS ABILITY AND LEVEL OF SUPPORT FOR ITS RESEARCH ACTIVITIES. THERE CAN BE NO ASSURANCE THAT GENEMAXS DEVELOPMENT EFFORTS WILL SUCCEED, THAT SUCH PRODUCTS WILL RECEIVE REQUIRED REGULATORY CLEARANCE, OR THAT EVEN IF SUCH REGULATORY CLEARANCE WERE RECEIVED, THAT SUCH PRODUCTS WOULD ULTIMATELY ACHIEVE COMMERCIAL SUCCESS. GENEMAX DISCLAIMS ANY INTENT OR OBLIGATIONS TO UPDATE THESE FORWARD-LOOKING STATEMENTS.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SIGNATURES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71"/>
        <w:gridCol w:w="919"/>
        <w:gridCol w:w="648"/>
        <w:gridCol w:w="3129"/>
        <w:gridCol w:w="1238"/>
      </w:tblGrid>
      <w:tr>
        <w:trPr/>
        <w:tc>
          <w:tcPr>
            <w:tcW w:w="4271" w:type="dxa"/>
            <w:tcBorders/>
            <w:shd w:fill="auto" w:val="clear"/>
            <w:vAlign w:val="center"/>
          </w:tcPr>
          <w:p>
            <w:pPr>
              <w:pStyle w:val="TableContents"/>
              <w:spacing w:before="0" w:after="283"/>
              <w:rPr/>
            </w:pPr>
            <w:r>
              <w:rPr/>
              <w:t> </w:t>
            </w:r>
          </w:p>
        </w:tc>
        <w:tc>
          <w:tcPr>
            <w:tcW w:w="919"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rPr/>
            </w:pPr>
            <w:r>
              <w:rPr/>
              <w:t> </w:t>
            </w:r>
          </w:p>
        </w:tc>
        <w:tc>
          <w:tcPr>
            <w:tcW w:w="3129" w:type="dxa"/>
            <w:tcBorders/>
            <w:shd w:fill="auto" w:val="clear"/>
            <w:vAlign w:val="center"/>
          </w:tcPr>
          <w:p>
            <w:pPr>
              <w:pStyle w:val="TableContents"/>
              <w:spacing w:before="0" w:after="283"/>
              <w:rPr/>
            </w:pPr>
            <w:r>
              <w:rPr/>
              <w:t>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tcPr>
          <w:p>
            <w:pPr>
              <w:pStyle w:val="TableContents"/>
              <w:spacing w:before="0" w:after="283"/>
              <w:jc w:val="left"/>
              <w:rPr/>
            </w:pPr>
            <w:r>
              <w:rPr/>
              <w:t> </w:t>
            </w:r>
          </w:p>
        </w:tc>
        <w:tc>
          <w:tcPr>
            <w:tcW w:w="4696" w:type="dxa"/>
            <w:gridSpan w:val="3"/>
            <w:tcBorders/>
            <w:shd w:fill="auto" w:val="clear"/>
            <w:vAlign w:val="center"/>
          </w:tcPr>
          <w:p>
            <w:pPr>
              <w:pStyle w:val="TableContents"/>
              <w:spacing w:before="0" w:after="283"/>
              <w:jc w:val="left"/>
              <w:rPr/>
            </w:pPr>
            <w:r>
              <w:rPr/>
              <w:t>GENEMAX CORP.</w:t>
              <w:br/>
              <w:t>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Date: September 30, 2005 </w:t>
            </w:r>
          </w:p>
        </w:tc>
        <w:tc>
          <w:tcPr>
            <w:tcW w:w="919" w:type="dxa"/>
            <w:tcBorders/>
            <w:shd w:fill="auto" w:val="clear"/>
          </w:tcPr>
          <w:p>
            <w:pPr>
              <w:pStyle w:val="TableContents"/>
              <w:spacing w:before="0" w:after="283"/>
              <w:rPr/>
            </w:pPr>
            <w:r>
              <w:rPr/>
              <w:t>By:  </w:t>
            </w:r>
          </w:p>
        </w:tc>
        <w:tc>
          <w:tcPr>
            <w:tcW w:w="3777" w:type="dxa"/>
            <w:gridSpan w:val="2"/>
            <w:tcBorders>
              <w:bottom w:val="single" w:sz="2" w:space="0" w:color="000000"/>
            </w:tcBorders>
            <w:shd w:fill="auto" w:val="clear"/>
            <w:tcMar>
              <w:bottom w:w="28" w:type="dxa"/>
            </w:tcMar>
            <w:vAlign w:val="center"/>
          </w:tcPr>
          <w:p>
            <w:pPr>
              <w:pStyle w:val="TableContents"/>
              <w:spacing w:before="0" w:after="283"/>
              <w:jc w:val="left"/>
              <w:rPr/>
            </w:pPr>
            <w:r>
              <w:rPr/>
              <w:t>/s/ Wilfred Jefferies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 </w:t>
            </w:r>
          </w:p>
        </w:tc>
        <w:tc>
          <w:tcPr>
            <w:tcW w:w="919" w:type="dxa"/>
            <w:tcBorders/>
            <w:shd w:fill="auto" w:val="clear"/>
            <w:vAlign w:val="center"/>
          </w:tcPr>
          <w:p>
            <w:pPr>
              <w:pStyle w:val="TableContents"/>
              <w:spacing w:before="0" w:after="283"/>
              <w:rPr/>
            </w:pPr>
            <w:r>
              <w:rPr/>
              <w:t> </w:t>
            </w:r>
          </w:p>
        </w:tc>
        <w:tc>
          <w:tcPr>
            <w:tcW w:w="3777" w:type="dxa"/>
            <w:gridSpan w:val="2"/>
            <w:tcBorders/>
            <w:shd w:fill="auto" w:val="clear"/>
            <w:vAlign w:val="center"/>
          </w:tcPr>
          <w:p>
            <w:pPr>
              <w:pStyle w:val="TableContents"/>
              <w:spacing w:before="0" w:after="283"/>
              <w:jc w:val="left"/>
              <w:rPr/>
            </w:pPr>
            <w:r>
              <w:rPr/>
              <w:t>Chairman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 </w:t>
            </w:r>
          </w:p>
        </w:tc>
        <w:tc>
          <w:tcPr>
            <w:tcW w:w="919" w:type="dxa"/>
            <w:tcBorders/>
            <w:shd w:fill="auto" w:val="clear"/>
            <w:vAlign w:val="center"/>
          </w:tcPr>
          <w:p>
            <w:pPr>
              <w:pStyle w:val="TableContents"/>
              <w:spacing w:before="0" w:after="283"/>
              <w:rPr/>
            </w:pPr>
            <w:r>
              <w:rPr/>
              <w:t> </w:t>
            </w:r>
          </w:p>
        </w:tc>
        <w:tc>
          <w:tcPr>
            <w:tcW w:w="3777" w:type="dxa"/>
            <w:gridSpan w:val="2"/>
            <w:tcBorders/>
            <w:shd w:fill="auto" w:val="clear"/>
            <w:vAlign w:val="center"/>
          </w:tcPr>
          <w:p>
            <w:pPr>
              <w:pStyle w:val="TableContents"/>
              <w:spacing w:before="0" w:after="283"/>
              <w:jc w:val="left"/>
              <w:rPr/>
            </w:pPr>
            <w:r>
              <w:rPr/>
              <w:t> </w:t>
            </w:r>
          </w:p>
        </w:tc>
        <w:tc>
          <w:tcPr>
            <w:tcW w:w="123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917"/>
        <w:gridCol w:w="511"/>
        <w:gridCol w:w="8777"/>
      </w:tblGrid>
      <w:tr>
        <w:trPr/>
        <w:tc>
          <w:tcPr>
            <w:tcW w:w="917" w:type="dxa"/>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pPr>
            <w:r>
              <w:rPr/>
              <w:t> </w:t>
            </w:r>
          </w:p>
        </w:tc>
      </w:tr>
      <w:tr>
        <w:trPr/>
        <w:tc>
          <w:tcPr>
            <w:tcW w:w="917" w:type="dxa"/>
            <w:tcBorders/>
            <w:shd w:fill="auto" w:val="clear"/>
            <w:vAlign w:val="bottom"/>
          </w:tcPr>
          <w:p>
            <w:pPr>
              <w:pStyle w:val="TableContents"/>
              <w:spacing w:before="0" w:after="283"/>
              <w:jc w:val="left"/>
              <w:rPr/>
            </w:pPr>
            <w:r>
              <w:rPr/>
              <w:t>Exhibit</w:t>
            </w:r>
          </w:p>
        </w:tc>
        <w:tc>
          <w:tcPr>
            <w:tcW w:w="511"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jc w:val="center"/>
              <w:rPr/>
            </w:pPr>
            <w:r>
              <w:rPr/>
              <w:t> </w:t>
            </w:r>
          </w:p>
        </w:tc>
      </w:tr>
      <w:tr>
        <w:trPr/>
        <w:tc>
          <w:tcPr>
            <w:tcW w:w="917" w:type="dxa"/>
            <w:tcBorders>
              <w:bottom w:val="single" w:sz="2" w:space="0" w:color="000000"/>
            </w:tcBorders>
            <w:shd w:fill="auto" w:val="clear"/>
            <w:tcMar>
              <w:bottom w:w="28" w:type="dxa"/>
            </w:tcMar>
            <w:vAlign w:val="bottom"/>
          </w:tcPr>
          <w:p>
            <w:pPr>
              <w:pStyle w:val="TableContents"/>
              <w:spacing w:before="0" w:after="283"/>
              <w:jc w:val="left"/>
              <w:rPr/>
            </w:pPr>
            <w:r>
              <w:rPr/>
              <w:t>No.</w:t>
            </w:r>
          </w:p>
        </w:tc>
        <w:tc>
          <w:tcPr>
            <w:tcW w:w="511" w:type="dxa"/>
            <w:tcBorders/>
            <w:shd w:fill="auto" w:val="clear"/>
            <w:vAlign w:val="bottom"/>
          </w:tcPr>
          <w:p>
            <w:pPr>
              <w:pStyle w:val="TableContents"/>
              <w:spacing w:before="0" w:after="283"/>
              <w:rPr/>
            </w:pPr>
            <w:r>
              <w:rPr/>
              <w:t> </w:t>
            </w:r>
          </w:p>
        </w:tc>
        <w:tc>
          <w:tcPr>
            <w:tcW w:w="8777"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917" w:type="dxa"/>
            <w:tcBorders/>
            <w:shd w:fill="auto" w:val="clear"/>
          </w:tcPr>
          <w:p>
            <w:pPr>
              <w:pStyle w:val="TableContents"/>
              <w:spacing w:before="0" w:after="0"/>
              <w:ind w:left="0" w:right="0" w:hanging="0"/>
              <w:rPr/>
            </w:pPr>
            <w:r>
              <w:rPr/>
              <w:t xml:space="preserve">17.1 </w:t>
            </w:r>
          </w:p>
        </w:tc>
        <w:tc>
          <w:tcPr>
            <w:tcW w:w="511" w:type="dxa"/>
            <w:tcBorders/>
            <w:shd w:fill="auto" w:val="clear"/>
            <w:vAlign w:val="bottom"/>
          </w:tcPr>
          <w:p>
            <w:pPr>
              <w:pStyle w:val="TableContents"/>
              <w:spacing w:before="0" w:after="283"/>
              <w:rPr/>
            </w:pPr>
            <w:r>
              <w:rPr/>
              <w:t> </w:t>
            </w:r>
          </w:p>
        </w:tc>
        <w:tc>
          <w:tcPr>
            <w:tcW w:w="8777" w:type="dxa"/>
            <w:tcBorders/>
            <w:shd w:fill="auto" w:val="clear"/>
          </w:tcPr>
          <w:p>
            <w:pPr>
              <w:pStyle w:val="TableContents"/>
              <w:spacing w:before="0" w:after="283"/>
              <w:jc w:val="left"/>
              <w:rPr/>
            </w:pPr>
            <w:r>
              <w:rPr/>
              <w:t>Letter from Mr. Sarafis dated September 26, 2005.</w:t>
            </w:r>
          </w:p>
        </w:tc>
      </w:tr>
    </w:tbl>
    <w:p>
      <w:pPr>
        <w:pStyle w:val="TextBody"/>
        <w:jc w:val="center"/>
        <w:rPr/>
      </w:pPr>
      <w:r>
        <w:rPr/>
        <w:t xml:space="preserve">  </w:t>
      </w:r>
      <w:r>
        <w:br w:type="page"/>
      </w:r>
    </w:p>
    <w:p>
      <w:pPr>
        <w:pStyle w:val="Heading5"/>
        <w:jc w:val="left"/>
        <w:rPr/>
      </w:pPr>
      <w:bookmarkStart w:id="2" w:name="d29118exv17w1.htm"/>
      <w:bookmarkStart w:id="3" w:name="ksd29118exv17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17.1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592"/>
        <w:gridCol w:w="2551"/>
        <w:gridCol w:w="3062"/>
      </w:tblGrid>
      <w:tr>
        <w:trPr/>
        <w:tc>
          <w:tcPr>
            <w:tcW w:w="4592" w:type="dxa"/>
            <w:tcBorders/>
            <w:shd w:fill="auto" w:val="clear"/>
            <w:vAlign w:val="bottom"/>
          </w:tcPr>
          <w:p>
            <w:pPr>
              <w:pStyle w:val="TableContents"/>
              <w:spacing w:before="0" w:after="283"/>
              <w:rPr/>
            </w:pPr>
            <w:r>
              <w:rPr/>
              <w:t> </w:t>
            </w:r>
          </w:p>
        </w:tc>
        <w:tc>
          <w:tcPr>
            <w:tcW w:w="2551"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4592" w:type="dxa"/>
            <w:tcBorders/>
            <w:shd w:fill="auto" w:val="clear"/>
          </w:tcPr>
          <w:p>
            <w:pPr>
              <w:pStyle w:val="TableContents"/>
              <w:spacing w:before="0" w:after="0"/>
              <w:ind w:left="0" w:right="0" w:hanging="0"/>
              <w:rPr/>
            </w:pPr>
            <w:r>
              <w:rPr/>
              <w:t xml:space="preserve">  </w:t>
            </w:r>
          </w:p>
        </w:tc>
        <w:tc>
          <w:tcPr>
            <w:tcW w:w="2551"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left"/>
              <w:rPr/>
            </w:pPr>
            <w:r>
              <w:rPr/>
              <w:t>Konstantine Sarafis</w:t>
              <w:br/>
              <w:t>435 Allen Drive</w:t>
              <w:br/>
              <w:t>Tsawwassen, BC</w:t>
              <w:br/>
              <w:t>V4M 3B9</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September 26, 2005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WITHOUT PREJUDICE </w:t>
      </w:r>
    </w:p>
    <w:p>
      <w:pPr>
        <w:pStyle w:val="TextBody"/>
        <w:spacing w:before="120" w:after="283"/>
        <w:jc w:val="left"/>
        <w:rPr>
          <w:rFonts w:ascii="Times New Roman;Times;serif" w:hAnsi="Times New Roman;Times;serif"/>
          <w:sz w:val="17"/>
        </w:rPr>
      </w:pPr>
      <w:r>
        <w:rPr>
          <w:rFonts w:ascii="Times New Roman;Times;serif" w:hAnsi="Times New Roman;Times;serif"/>
          <w:sz w:val="17"/>
        </w:rPr>
        <w:t>By email and courier to:</w:t>
        <w:br/>
        <w:t>The Board of Directors of GeneMax Corp</w:t>
        <w:br/>
        <w:t>c/o Wilfred Jefferies</w:t>
        <w:br/>
        <w:t>Chairman</w:t>
        <w:br/>
        <w:t>GeneMax Corp</w:t>
        <w:br/>
        <w:t>The Biomedical Research Centre</w:t>
        <w:br/>
        <w:t>The University of British Columbia</w:t>
        <w:br/>
        <w:t>2222 Health Sciences Mall</w:t>
        <w:br/>
        <w:t xml:space="preserve">Vancouver, B.C. V6T 1Z3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have not had a response from you to my request, dated September 16, 2005, for the shares and options which are overdue under my employment agreement. I did however receive a self-serving letter which appears to be an attempt by the company and Dr. Jefferies to manufacture a case for my dismissal.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a multitude of reasons, the least of which is the failure to deliver the shares and options owing to me, the actions of the company and Dr. Jefferies over the last several weeks constitute a repudiation of my contract of employment.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accept the companys repudiation and consider myself constructively dismissed. Effective from the date of this letter, I will no longer work for GeneMax. Please also accept this letter as notice of my resignation, effective immediately, from the Board of Directors of GeneMax.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will be in touch with you in due course regarding the issues flowing from my termination. In the meantime, please forward my outstanding expenses which have been forwarded to Mr. Ed Farrauto, wages and any accrued vacation pay as well as my Record of Employment to my residence forthwith. I note that these payments are due within 48 hours under the Employment Standards Act.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will, of course, provide any information necessary to ensure the transition goes as smoothly as possible for the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Sincerely,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Konstantine Sarafis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Konstantine Sarafis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1074</Words>
  <CharactersWithSpaces>6961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exv17w1</dc:title>
</cp:coreProperties>
</file>