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80" w:type="dxa"/>
            <w:vAlign w:val="bottom"/>
            <w:gridSpan w:val="2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  <w:vMerge w:val="restart"/>
          </w:tcPr>
          <w:p>
            <w:pPr>
              <w:jc w:val="center"/>
              <w:ind w:right="4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80" w:type="dxa"/>
            <w:vAlign w:val="bottom"/>
            <w:gridSpan w:val="23"/>
            <w:vMerge w:val="restart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8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720" w:type="dxa"/>
            <w:vAlign w:val="bottom"/>
            <w:gridSpan w:val="22"/>
            <w:vMerge w:val="restart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72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20" w:type="dxa"/>
            <w:vAlign w:val="bottom"/>
            <w:gridSpan w:val="2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Knobil Katharine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Marker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MRKR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1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MARKER THERAPEUTICS,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4551 KENNEDY COMMERCE DRIVE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4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20" w:type="dxa"/>
            <w:vAlign w:val="bottom"/>
            <w:gridSpan w:val="17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2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06/05/2033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6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This option vests on June 6, 2024, subject to the Reporting Person's continued service as a director through the vesting date.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Michael Loiacono,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06/08/2023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-6985000</wp:posOffset>
            </wp:positionV>
            <wp:extent cx="7045325" cy="5863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86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768011" TargetMode="External"/><Relationship Id="rId9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2023-06-08T20:49:54Z</dcterms:created>
  <dcterms:modified xsi:type="dcterms:W3CDTF">2023-06-08T20:49:54Z</dcterms:modified>
</cp:coreProperties>
</file>