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1372d1_8k.htm"/>
      <w:bookmarkStart w:id="1" w:name="kstm242137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3_edei--DocumentType_c20250807__20"/>
      <w:bookmarkEnd w:id="2"/>
      <w:r>
        <w:rPr>
          <w:rFonts w:ascii="Times New Roman;Times;Serif" w:hAnsi="Times New Roman;Times;Serif"/>
          <w:b/>
          <w:i w:val="false"/>
          <w:caps w:val="false"/>
          <w:smallCaps w:val="false"/>
          <w:sz w:val="20"/>
          <w:u w:val="single"/>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E_edei--DocumentPeriodEndDate_c202"/>
      <w:bookmarkEnd w:id="3"/>
      <w:r>
        <w:rPr>
          <w:rFonts w:ascii="Times New Roman;Times;Serif" w:hAnsi="Times New Roman;Times;Serif"/>
          <w:b/>
          <w:i w:val="false"/>
          <w:caps w:val="false"/>
          <w:smallCaps w:val="false"/>
          <w:sz w:val="20"/>
          <w:u w:val="single"/>
        </w:rPr>
        <w:t>August 7,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5_edei--EntityRegistrantName_c2025"/>
      <w:bookmarkEnd w:id="4"/>
      <w:r>
        <w:rPr>
          <w:rFonts w:ascii="Times New Roman;Times;Serif" w:hAnsi="Times New Roman;Times;Serif"/>
          <w:b/>
          <w:i w:val="false"/>
          <w:caps w:val="false"/>
          <w:smallCaps w:val="false"/>
          <w:sz w:val="28"/>
          <w:u w:val="single"/>
        </w:rPr>
        <w:t>MARKER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6_edei--EntityIncorporationStateCo"/>
            <w:bookmarkEnd w:id="5"/>
            <w:r>
              <w:rPr>
                <w:rFonts w:ascii="Times New Roman;Times;Serif" w:hAnsi="Times New Roman;Times;Serif"/>
                <w:b/>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F_edei--EntityFileNumber_c20250807"/>
            <w:bookmarkEnd w:id="6"/>
            <w:r>
              <w:rPr>
                <w:rFonts w:ascii="Times New Roman;Times;Serif" w:hAnsi="Times New Roman;Times;Serif"/>
                <w:b/>
                <w:i w:val="false"/>
                <w:caps w:val="false"/>
                <w:smallCaps w:val="false"/>
                <w:sz w:val="20"/>
                <w:u w:val="single"/>
              </w:rPr>
              <w:t>001-37939</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D_edei--EntityTaxIdentificationNum"/>
            <w:bookmarkEnd w:id="7"/>
            <w:r>
              <w:rPr>
                <w:rFonts w:ascii="Times New Roman;Times;Serif" w:hAnsi="Times New Roman;Times;Serif"/>
                <w:b/>
                <w:i w:val="false"/>
                <w:caps w:val="false"/>
                <w:smallCaps w:val="false"/>
                <w:sz w:val="20"/>
                <w:u w:val="single"/>
              </w:rPr>
              <w:t>45-4497941</w:t>
            </w:r>
          </w:p>
        </w:tc>
      </w:tr>
      <w:tr>
        <w:trPr/>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4205"/>
        <w:gridCol w:w="60"/>
        <w:gridCol w:w="920"/>
      </w:tblGrid>
      <w:tr>
        <w:trPr/>
        <w:tc>
          <w:tcPr>
            <w:tcW w:w="420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2450 Holcombe Blvd, </w:t>
            </w:r>
            <w:bookmarkStart w:id="9" w:name="xdx_905_edei--EntityAddressAddressLine2_"/>
            <w:bookmarkEnd w:id="9"/>
            <w:r>
              <w:rPr>
                <w:rFonts w:ascii="Times New Roman;Times;Serif" w:hAnsi="Times New Roman;Times;Serif"/>
                <w:b/>
                <w:i w:val="false"/>
                <w:caps w:val="false"/>
                <w:smallCaps w:val="false"/>
                <w:sz w:val="20"/>
              </w:rPr>
              <w:t xml:space="preserve">TMC Partners </w:t>
            </w:r>
            <w:bookmarkStart w:id="10" w:name="xdx_904_edei--EntityAddressAddressLine3_"/>
            <w:bookmarkEnd w:id="10"/>
            <w:r>
              <w:rPr>
                <w:rFonts w:ascii="Times New Roman;Times;Serif" w:hAnsi="Times New Roman;Times;Serif"/>
                <w:b/>
                <w:i w:val="false"/>
                <w:caps w:val="false"/>
                <w:smallCaps w:val="false"/>
                <w:sz w:val="20"/>
              </w:rPr>
              <w:t>Office 1.311</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bookmarkStart w:id="11" w:name="xdx_907_edei--EntityAddressCityOrTown_c2"/>
            <w:bookmarkEnd w:id="11"/>
            <w:r>
              <w:rPr>
                <w:rFonts w:ascii="Times New Roman;Times;Serif" w:hAnsi="Times New Roman;Times;Serif"/>
                <w:b/>
                <w:i w:val="false"/>
                <w:caps w:val="false"/>
                <w:smallCaps w:val="false"/>
                <w:sz w:val="20"/>
                <w:u w:val="single"/>
              </w:rPr>
              <w:t xml:space="preserve">Houston, </w:t>
            </w:r>
            <w:bookmarkStart w:id="12" w:name="xdx_909_edei--EntityAddressStateOrProvin"/>
            <w:bookmarkEnd w:id="12"/>
            <w:r>
              <w:rPr>
                <w:rFonts w:ascii="Times New Roman;Times;Serif" w:hAnsi="Times New Roman;Times;Serif"/>
                <w:b/>
                <w:i w:val="false"/>
                <w:caps w:val="false"/>
                <w:smallCaps w:val="false"/>
                <w:sz w:val="20"/>
                <w:u w:val="single"/>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u w:val="single"/>
              </w:rPr>
            </w:pPr>
            <w:bookmarkStart w:id="13" w:name="xdx_90F_edei--EntityAddressPostalZipCode"/>
            <w:bookmarkEnd w:id="13"/>
            <w:r>
              <w:rPr>
                <w:b/>
                <w:sz w:val="20"/>
                <w:u w:val="single"/>
              </w:rPr>
              <w:t>77021</w:t>
            </w:r>
          </w:p>
        </w:tc>
      </w:tr>
      <w:tr>
        <w:trPr/>
        <w:tc>
          <w:tcPr>
            <w:tcW w:w="420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4_edei--CityAreaCode_c20250807__20"/>
      <w:bookmarkEnd w:id="14"/>
      <w:r>
        <w:rPr>
          <w:rFonts w:ascii="Times New Roman;Times;Serif" w:hAnsi="Times New Roman;Times;Serif"/>
          <w:b/>
          <w:i w:val="false"/>
          <w:caps w:val="false"/>
          <w:smallCaps w:val="false"/>
          <w:sz w:val="20"/>
        </w:rPr>
        <w:t>713) </w:t>
      </w:r>
      <w:bookmarkStart w:id="15" w:name="xdx_902_edei--LocalPhoneNumber_c20250807"/>
      <w:bookmarkEnd w:id="15"/>
      <w:r>
        <w:rPr>
          <w:rFonts w:ascii="Times New Roman;Times;Serif" w:hAnsi="Times New Roman;Times;Serif"/>
          <w:b/>
          <w:i w:val="false"/>
          <w:caps w:val="false"/>
          <w:smallCaps w:val="false"/>
          <w:sz w:val="20"/>
        </w:rPr>
        <w:t>400-6400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xdx_901_edei--EntityAddressAddressLine1_"/>
      <w:bookmarkEnd w:id="16"/>
      <w:r>
        <w:rPr>
          <w:rFonts w:ascii="Times New Roman;Times;Serif" w:hAnsi="Times New Roman;Times;Serif"/>
          <w:b/>
          <w:i w:val="false"/>
          <w:caps w:val="false"/>
          <w:smallCaps w:val="false"/>
          <w:sz w:val="20"/>
        </w:rPr>
        <w:t xml:space="preserve">2450 Holcombe Blvd, </w:t>
      </w:r>
      <w:bookmarkStart w:id="17" w:name="xdx_903_edei--EntityAddressAddressLine2_"/>
      <w:bookmarkEnd w:id="17"/>
      <w:r>
        <w:rPr>
          <w:rFonts w:ascii="Times New Roman;Times;Serif" w:hAnsi="Times New Roman;Times;Serif"/>
          <w:b/>
          <w:i w:val="false"/>
          <w:caps w:val="false"/>
          <w:smallCaps w:val="false"/>
          <w:sz w:val="20"/>
        </w:rPr>
        <w:t xml:space="preserve">Suite BCM-A, </w:t>
      </w:r>
      <w:bookmarkStart w:id="18" w:name="xdx_90D_edei--EntityAddressAddressLine3_"/>
      <w:bookmarkEnd w:id="18"/>
      <w:r>
        <w:rPr>
          <w:rFonts w:ascii="Times New Roman;Times;Serif" w:hAnsi="Times New Roman;Times;Serif"/>
          <w:b/>
          <w:i w:val="false"/>
          <w:caps w:val="false"/>
          <w:smallCaps w:val="false"/>
          <w:sz w:val="20"/>
        </w:rPr>
        <w:t>MS: BCM251</w:t>
      </w:r>
    </w:p>
    <w:p>
      <w:pPr>
        <w:pStyle w:val="TextBody"/>
        <w:bidi w:val="0"/>
        <w:spacing w:before="0" w:after="0"/>
        <w:jc w:val="center"/>
        <w:rPr>
          <w:rFonts w:ascii="Times New Roman;Times;Serif" w:hAnsi="Times New Roman;Times;Serif"/>
          <w:b/>
          <w:i w:val="false"/>
          <w:caps w:val="false"/>
          <w:smallCaps w:val="false"/>
          <w:sz w:val="20"/>
        </w:rPr>
      </w:pPr>
      <w:bookmarkStart w:id="19" w:name="xdx_904_edei--EntityAddressCityOrTown_c2"/>
      <w:bookmarkEnd w:id="19"/>
      <w:r>
        <w:rPr>
          <w:rFonts w:ascii="Times New Roman;Times;Serif" w:hAnsi="Times New Roman;Times;Serif"/>
          <w:b/>
          <w:i w:val="false"/>
          <w:caps w:val="false"/>
          <w:smallCaps w:val="false"/>
          <w:sz w:val="20"/>
        </w:rPr>
        <w:t xml:space="preserve">Houston, </w:t>
      </w:r>
      <w:bookmarkStart w:id="20" w:name="xdx_90D_edei--EntityAddressStateOrProvin"/>
      <w:bookmarkEnd w:id="20"/>
      <w:r>
        <w:rPr>
          <w:rFonts w:ascii="Times New Roman;Times;Serif" w:hAnsi="Times New Roman;Times;Serif"/>
          <w:b/>
          <w:i w:val="false"/>
          <w:caps w:val="false"/>
          <w:smallCaps w:val="false"/>
          <w:sz w:val="20"/>
        </w:rPr>
        <w:t xml:space="preserve">Texas </w:t>
      </w:r>
      <w:bookmarkStart w:id="21" w:name="xdx_908_edei--EntityAddressPostalZipCode"/>
      <w:bookmarkEnd w:id="21"/>
      <w:r>
        <w:rPr>
          <w:rFonts w:ascii="Times New Roman;Times;Serif" w:hAnsi="Times New Roman;Times;Serif"/>
          <w:b/>
          <w:i w:val="false"/>
          <w:caps w:val="false"/>
          <w:smallCaps w:val="false"/>
          <w:sz w:val="20"/>
        </w:rPr>
        <w:t>77021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22" w:name="xdx_903_edei--WrittenCommunications_c202"/>
            <w:bookmarkEnd w:id="22"/>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23" w:name="xdx_90A_edei--SolicitingMaterial_c202508"/>
            <w:bookmarkEnd w:id="23"/>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24" w:name="xdx_90B_edei--PreCommencementTenderOffer"/>
            <w:bookmarkEnd w:id="2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25" w:name="xdx_90D_edei--PreCommencementIssuerTende"/>
            <w:bookmarkEnd w:id="2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3515"/>
        <w:gridCol w:w="60"/>
        <w:gridCol w:w="845"/>
        <w:gridCol w:w="60"/>
        <w:gridCol w:w="275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A_edei--Security12bTitle_c20250807"/>
            <w:bookmarkEnd w:id="26"/>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 w:name="xdx_903_edei--TradingSymbol_c20250807__2"/>
            <w:bookmarkEnd w:id="27"/>
            <w:r>
              <w:rPr>
                <w:rFonts w:ascii="Times New Roman;Times;Serif" w:hAnsi="Times New Roman;Times;Serif"/>
                <w:b w:val="false"/>
                <w:i w:val="false"/>
                <w:caps w:val="false"/>
                <w:smallCaps w:val="false"/>
                <w:sz w:val="20"/>
              </w:rPr>
              <w:t>MRKR</w:t>
            </w:r>
          </w:p>
        </w:tc>
        <w:tc>
          <w:tcPr>
            <w:tcW w:w="60" w:type="dxa"/>
            <w:tcBorders/>
            <w:tcMar>
              <w:bottom w:w="0" w:type="dxa"/>
            </w:tcMar>
            <w:vAlign w:val="center"/>
          </w:tcPr>
          <w:p>
            <w:pPr>
              <w:pStyle w:val="TableContents"/>
              <w:bidi w:val="0"/>
              <w:spacing w:before="0" w:after="283"/>
              <w:jc w:val="center"/>
              <w:rPr/>
            </w:pPr>
            <w:r>
              <w:rPr/>
              <w:t> </w:t>
            </w:r>
          </w:p>
        </w:tc>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 w:name="xdx_90F_edei--SecurityExchangeName_c2025"/>
            <w:bookmarkEnd w:id="28"/>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0" w:right="720" w:hanging="0"/>
        <w:jc w:val="righ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9" w:name="xdx_907_edei--EntityEmergingGrowthCompan"/>
      <w:bookmarkEnd w:id="29"/>
      <w:r>
        <w:rPr>
          <w:rFonts w:ascii="Times New Roman;Times;Serif" w:hAnsi="Times New Roman;Times;Serif"/>
          <w:b w:val="false"/>
          <w:i w:val="false"/>
          <w:caps w:val="false"/>
          <w:smallCaps w:val="false"/>
          <w:sz w:val="20"/>
        </w:rPr>
        <w:t>☐</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 Changes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Marcum LLP (“Marcum”), the former independent registered public accounting firm of Marker Therapeutics, Inc. (the “Company”), CBIZ CPAs P.C. (“CBIZ CPAs”) acquired the attest business of Marcum, effective November 1, 2024. Marcum continued to serve as the Company’s independent registered public accounting firm through August 6, 2025. On August 6, 2025, Marcum resigned as the Company’s independent registered public accounting firm and CBIZ CPAs was engaged to serve as the independent registered public accounting firm of the Company for the year ending December 31, 2025, effective beginning with the review of the Company’s condensed consolidated financial statements for the quarter ended June 30, 2025. The engagement of CBIZ CPAs was approved by the Company’s Board of Directors. The services previously provided by Marcum will now be provided by CBIZ CPAs.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Marcum’s report regarding the Company’s consolidated financial statements for the years ended December 31, 2024 and 2023 did not contain any adverse opinion or disclaimer of opinion and were not qualified or modified as to uncertainty, audit scope, or accounting principles, except that such report contained an explanatory paragraph regarding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and through August 6, 2025, the date of Marcum’s resignation, there were (a) no disagreements (as defined in Item 304(a)(1)(iv) of Regulation S-K and the related instructions) between the Company and Marcum on any matter of accounting principles or practices, financial statement disclosure, or auditing scope or procedures, which disagreements, if not resolved to the satisfaction of Marcum, would have caused Marcum to make reference to the subject matter of the disagreements in connection with Marcum’s reports on the Company’s financial statements, and (b) no “reportable events” (as defined in Item 304(a)(1)(v) of Regulation S-K and the related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engaging CBIZ CPAs, neither the Company nor anyone acting on its behalf consulted CBIZ CPAs regarding (i) the application of accounting principles to a specified transaction, either completed or proposed, or the type of audit opinion that might be rendered on the Company’s financial statements, and no written report was provided to the Company or oral advice was provided that CBIZ CPAs concluded was an important factor considered by the Company in reaching a decision as to the accounting, auditing or financial reporting issue, or (ii) any matter that was either the subject of a disagreement (as described in Item 304(a)(1)(iv) of Regulation S-K and the related instructions) or a reportable event (as described in Item 304(a)(1)(v) of Regulation S-K and the related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Marcum with a copy of this Current Report on Form 8-K prior to its filing with the Securities and Exchange Commission (the “SEC”) and requested that Marcum furnish the Company with a letter addressed to the SEC stating whether it agrees with the above statements and, if it does not agree, the respects in which it does not agree. A copy of the letter, dated August ___, 2025, is filed as Exhibit 16.1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995"/>
        <w:gridCol w:w="60"/>
        <w:gridCol w:w="653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No.</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Description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center"/>
              <w:rPr/>
            </w:pPr>
            <w:hyperlink w:anchor="tm2421372d1_ex16-1.htm">
              <w:r>
                <w:rPr>
                  <w:rStyle w:val="InternetLink"/>
                  <w:rFonts w:ascii="Times New Roman;Times;Serif" w:hAnsi="Times New Roman;Times;Serif"/>
                  <w:b w:val="false"/>
                  <w:i w:val="false"/>
                  <w:caps w:val="false"/>
                  <w:smallCaps w:val="false"/>
                  <w:sz w:val="20"/>
                </w:rPr>
                <w:t>16.1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tm2421372d1_ex16-1.htm">
              <w:r>
                <w:rPr>
                  <w:rStyle w:val="InternetLink"/>
                  <w:rFonts w:ascii="Times New Roman;Times;Serif" w:hAnsi="Times New Roman;Times;Serif"/>
                  <w:b w:val="false"/>
                  <w:i w:val="false"/>
                  <w:caps w:val="false"/>
                  <w:smallCaps w:val="false"/>
                  <w:sz w:val="20"/>
                </w:rPr>
                <w:t>Letter from Marcum LLP dated August 12, 2025.</w:t>
              </w:r>
            </w:hyperlink>
          </w:p>
        </w:tc>
      </w:tr>
      <w:tr>
        <w:trPr/>
        <w:tc>
          <w:tcPr>
            <w:tcW w:w="9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1970"/>
        <w:gridCol w:w="320"/>
        <w:gridCol w:w="3125"/>
      </w:tblGrid>
      <w:tr>
        <w:trPr/>
        <w:tc>
          <w:tcPr>
            <w:tcW w:w="197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Marker Therapeutics, Inc.</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12, 2025</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Juan Vera</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Juan Vera</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0" w:name="tm2421372d1_ex16-1.htm"/>
      <w:bookmarkStart w:id="31" w:name="kstm2421372d1_ex161"/>
      <w:bookmarkEnd w:id="30"/>
      <w:bookmarkEnd w:id="3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b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made by Marker Therapeutics, Inc. under Item 4.01 of its Form 8-K dated August 7, 2025. We agree with the statements concerning our Firm in such Form 8-K; we are not in a position to agree or disagree with other statements of Marker Therapeutics, Inc.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Marcum LLP </w:t>
      </w:r>
      <w:r>
        <w:rPr>
          <w:rFonts w:ascii="Times New Roman;Times;Serif" w:hAnsi="Times New Roman;Times;Serif"/>
          <w:b/>
          <w:i/>
          <w:caps w:val="false"/>
          <w:smallCaps w:val="false"/>
          <w:sz w:val="20"/>
        </w:rPr>
        <w:t>/ </w:t>
      </w:r>
      <w:r>
        <w:rPr>
          <w:rFonts w:ascii="Times New Roman;Times;Serif" w:hAnsi="Times New Roman;Times;Serif"/>
          <w:b w:val="false"/>
          <w:i w:val="false"/>
          <w:caps w:val="false"/>
          <w:smallCaps w:val="false"/>
          <w:sz w:val="20"/>
        </w:rPr>
        <w:t>CityPlace I / 185 Asylum Street / 25th Floor / Hartford, CT 06103 / Phone 860.760.0600 </w:t>
      </w:r>
      <w:r>
        <w:rPr>
          <w:rFonts w:ascii="Times New Roman;Times;Serif" w:hAnsi="Times New Roman;Times;Serif"/>
          <w:b/>
          <w:i/>
          <w:caps w:val="false"/>
          <w:smallCaps w:val="false"/>
          <w:sz w:val="20"/>
        </w:rPr>
        <w:t>/ </w:t>
      </w:r>
      <w:r>
        <w:rPr>
          <w:rFonts w:ascii="Times New Roman;Times;Serif" w:hAnsi="Times New Roman;Times;Serif"/>
          <w:b/>
          <w:i w:val="false"/>
          <w:caps w:val="false"/>
          <w:smallCaps w:val="false"/>
          <w:sz w:val="20"/>
        </w:rPr>
        <w:t>marcumllp.com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1013</Words>
  <Characters>5487</Characters>
  <CharactersWithSpaces>6498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