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12,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MARKER THERAPEUTICS,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3200 Southwest Freeway</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89"/>
              </w:rPr>
              <w:t>Suite 2240</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3"/>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Trading</w:t>
            </w:r>
          </w:p>
        </w:tc>
        <w:tc>
          <w:tcPr>
            <w:tcW w:w="430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Symbol(s)</w:t>
            </w:r>
          </w:p>
        </w:tc>
        <w:tc>
          <w:tcPr>
            <w:tcW w:w="4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8"/>
              </w:rPr>
              <w:t>MRKR</w:t>
            </w:r>
          </w:p>
        </w:tc>
        <w:tc>
          <w:tcPr>
            <w:tcW w:w="4300" w:type="dxa"/>
            <w:vAlign w:val="bottom"/>
          </w:tcPr>
          <w:p>
            <w:pPr>
              <w:jc w:val="center"/>
              <w:ind w:left="6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1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12, 2020, Marker Therapeutics, Inc. (the “Company”) reported financial results for the quarter and year ended December 31, 2019 and other recent corporate updates. A copy of the press release is furnished as Exhibit 99.1 to this report.</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880" w:type="dxa"/>
            <w:vAlign w:val="bottom"/>
          </w:tcPr>
          <w:p>
            <w:pPr>
              <w:spacing w:after="0"/>
              <w:rPr>
                <w:sz w:val="20"/>
                <w:szCs w:val="20"/>
                <w:color w:val="auto"/>
              </w:rPr>
            </w:pPr>
          </w:p>
        </w:tc>
      </w:tr>
      <w:tr>
        <w:trPr>
          <w:trHeight w:val="391"/>
        </w:trPr>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gridSpan w:val="4"/>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40" w:type="dxa"/>
            <w:vAlign w:val="bottom"/>
          </w:tcPr>
          <w:p>
            <w:pPr>
              <w:spacing w:after="0"/>
              <w:rPr>
                <w:sz w:val="17"/>
                <w:szCs w:val="17"/>
                <w:color w:val="auto"/>
              </w:rPr>
            </w:pPr>
          </w:p>
        </w:tc>
        <w:tc>
          <w:tcPr>
            <w:tcW w:w="10020" w:type="dxa"/>
            <w:vAlign w:val="bottom"/>
            <w:gridSpan w:val="4"/>
          </w:tcPr>
          <w:p>
            <w:pPr>
              <w:ind w:left="26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on March 12, 2020.</w:t>
              </w:r>
            </w:hyperlink>
          </w:p>
        </w:tc>
      </w:tr>
      <w:tr>
        <w:trPr>
          <w:trHeight w:val="912"/>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00" w:type="dxa"/>
            <w:vAlign w:val="bottom"/>
            <w:tcBorders>
              <w:top w:val="single" w:sz="8" w:color="0000EE"/>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400" w:type="dxa"/>
            <w:vAlign w:val="bottom"/>
            <w:gridSpan w:val="2"/>
          </w:tcPr>
          <w:p>
            <w:pPr>
              <w:ind w:left="21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March 12, 2020</w:t>
            </w:r>
          </w:p>
        </w:tc>
        <w:tc>
          <w:tcPr>
            <w:tcW w:w="7400" w:type="dxa"/>
            <w:vAlign w:val="bottom"/>
            <w:gridSpan w:val="2"/>
          </w:tcPr>
          <w:p>
            <w:pPr>
              <w:ind w:left="2140"/>
              <w:spacing w:after="0"/>
              <w:rPr>
                <w:sz w:val="20"/>
                <w:szCs w:val="20"/>
                <w:color w:val="auto"/>
              </w:rPr>
            </w:pPr>
            <w:r>
              <w:rPr>
                <w:rFonts w:ascii="Arial" w:cs="Arial" w:eastAsia="Arial" w:hAnsi="Arial"/>
                <w:sz w:val="18"/>
                <w:szCs w:val="18"/>
                <w:color w:val="auto"/>
              </w:rPr>
              <w:t>By:  /s/ Anthony Kim</w:t>
            </w:r>
          </w:p>
        </w:tc>
      </w:tr>
      <w:tr>
        <w:trPr>
          <w:trHeight w:val="195"/>
        </w:trPr>
        <w:tc>
          <w:tcPr>
            <w:tcW w:w="38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8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207454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45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Marker Therapeutics Reports Full Year 2019 Operating and Financial Results</w:t>
      </w:r>
    </w:p>
    <w:p>
      <w:pPr>
        <w:spacing w:after="0" w:line="2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Houston, TX—March 12, 2020—</w:t>
      </w:r>
      <w:r>
        <w:rPr>
          <w:rFonts w:ascii="Arial" w:cs="Arial" w:eastAsia="Arial" w:hAnsi="Arial"/>
          <w:sz w:val="18"/>
          <w:szCs w:val="18"/>
          <w:u w:val="single" w:color="auto"/>
          <w:color w:val="auto"/>
        </w:rPr>
        <w:t>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provided a corporate update and reported financial results for the full year ended December 31, 2019.</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 clear path forward for our Phase 2 trial in AML patients with our novel T cell therapy, and the cash resources needed to advance our studies, 2020 is shaping up to be a busy and productive year for our Company,” said Peter L. Hoang, President &amp; CEO of Marker Therapeutics. “Based on promising results observed with our MultiTAA T cell therapy across various forms of cancer in investigator-sponsored trials, we are also evaluating opportunities for additional Marker-sponsored trials.”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Multi-Antigen Targeted (MultiTAA) T Cell Therapies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Prepares to Initiate Phase 2 AML Trial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2020, the Company announced an updated study protocol for its Phase 2 clinical trial of MultiTAA T cell therapy in post-allogeneic hematopoietic stem cell transplant patients with acute myeloid leukemia (AML) in both the adjuvant and active disease setting. Under an amended trial design, the U.S. Food and Drug Administration (FDA) has permitted the trial to move forward with the safety lead-in. During the second half of 2020, Marker expects to complete enrollment of the first three patients and to submit the information required by the FDA to lift a partial clinical hold during the second half of 2020. The Company does not currently expect the partial clinical hold to significantly impact site or patient enrollment.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Trials with MultiTAA T Cell Therapy Continue to Generate Positive Results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Marker previously reported interim data from an ongoing Phase 1/2 clinical trial of MultiTAA T cell therapy for the treatment of patients with pancreatic adenocarcinoma being conducted by its partners at the Baylor College of Medicine (BCM). In this trial, the modified T cells exhibited activity against both targeted tumor-associated antigens (TAA) and non-targeted TAAs, indicating induction of antigen spreading. To date, there has not been any cytokine release syndrome or neurotoxicity observed in this trial.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 Cell-Based Vaccines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Triple Negative Breast Cancer Trial Progressing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Marker’s T cell-based vaccine program in triple negative breast cancer has delivered the following results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660" w:right="1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a preliminary analysis of 34 patients enrolled in the triple negative breast cancer trial, 31 patients showed meaningful immune response to vaccine treatment;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80 patients treated at 11 clinical sites, 16 have shown disease progression following treatment with TPIV200.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Platinum-Sensitive Advanced Ovarian Cancer Trial</w:t>
      </w:r>
    </w:p>
    <w:p>
      <w:pPr>
        <w:spacing w:after="0" w:line="229"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previously announced, Marker has discontinued the development of TPIV200 in patients with platinum-sensitive advanced ovarian cancer based on an unblinded review of interim results from the trial conducted by the Data Safety Monitoring Board (DSMB). While the DSMB did not express safety concerns, Marker elected to discontinue the trial as it did not meet the threshold for probability of clinical benefit based upon the Company’s pre-specified criteria.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29" w:lineRule="exact"/>
        <w:rPr>
          <w:sz w:val="20"/>
          <w:szCs w:val="20"/>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2, 2020, Marker announced that the Company entered into a Common Stock Purchase Agreement of up to $30 million with Aspire Capital Fund, LLC, a Chicago-based institutional investor and long-term Marker shareholder.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A1A1A"/>
        </w:rPr>
        <w:t>FULL YEAR 2019 FINANCIAL RESULTS</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1A1A1A"/>
        </w:rPr>
        <w:t xml:space="preserve">Cash Position and Guidance: </w:t>
      </w:r>
      <w:r>
        <w:rPr>
          <w:rFonts w:ascii="Arial" w:cs="Arial" w:eastAsia="Arial" w:hAnsi="Arial"/>
          <w:sz w:val="18"/>
          <w:szCs w:val="18"/>
          <w:color w:val="000000"/>
        </w:rPr>
        <w:t>At December 31, 2019, Marker had cash and cash equivalents of $43.9 million. The Company believes that the financial</w:t>
      </w:r>
      <w:r>
        <w:rPr>
          <w:rFonts w:ascii="Arial" w:cs="Arial" w:eastAsia="Arial" w:hAnsi="Arial"/>
          <w:sz w:val="18"/>
          <w:szCs w:val="18"/>
          <w:b w:val="1"/>
          <w:bCs w:val="1"/>
          <w:color w:val="1A1A1A"/>
        </w:rPr>
        <w:t xml:space="preserve"> </w:t>
      </w:r>
      <w:r>
        <w:rPr>
          <w:rFonts w:ascii="Arial" w:cs="Arial" w:eastAsia="Arial" w:hAnsi="Arial"/>
          <w:sz w:val="18"/>
          <w:szCs w:val="18"/>
          <w:color w:val="000000"/>
        </w:rPr>
        <w:t>flexibility provided by the Aspire transaction will enable the cash runway to extend beyond the second quarter of 2021.</w:t>
      </w:r>
    </w:p>
    <w:p>
      <w:pPr>
        <w:spacing w:after="0" w:line="16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1A1A1A"/>
        </w:rPr>
        <w:t xml:space="preserve">R&amp;D Expenses: </w:t>
      </w:r>
      <w:r>
        <w:rPr>
          <w:rFonts w:ascii="Arial" w:cs="Arial" w:eastAsia="Arial" w:hAnsi="Arial"/>
          <w:sz w:val="16"/>
          <w:szCs w:val="16"/>
          <w:color w:val="1A1A1A"/>
        </w:rPr>
        <w:t>Research and development expenses were $12.8 million for the year ended December 31, 2019 compared to $8.0 million for the year</w:t>
      </w:r>
      <w:r>
        <w:rPr>
          <w:rFonts w:ascii="Arial" w:cs="Arial" w:eastAsia="Arial" w:hAnsi="Arial"/>
          <w:sz w:val="16"/>
          <w:szCs w:val="16"/>
          <w:b w:val="1"/>
          <w:bCs w:val="1"/>
          <w:color w:val="1A1A1A"/>
        </w:rPr>
        <w:t xml:space="preserve"> </w:t>
      </w:r>
      <w:r>
        <w:rPr>
          <w:rFonts w:ascii="Arial" w:cs="Arial" w:eastAsia="Arial" w:hAnsi="Arial"/>
          <w:sz w:val="16"/>
          <w:szCs w:val="16"/>
          <w:color w:val="1A1A1A"/>
        </w:rPr>
        <w:t xml:space="preserve">ended December 31, 2018. </w:t>
      </w:r>
      <w:r>
        <w:rPr>
          <w:rFonts w:ascii="Arial" w:cs="Arial" w:eastAsia="Arial" w:hAnsi="Arial"/>
          <w:sz w:val="16"/>
          <w:szCs w:val="16"/>
          <w:color w:val="000000"/>
        </w:rPr>
        <w:t>The increase was primarily attributable to increases in personnel-related expenses relating to the build-up of Marker’s internal</w:t>
      </w:r>
      <w:r>
        <w:rPr>
          <w:rFonts w:ascii="Arial" w:cs="Arial" w:eastAsia="Arial" w:hAnsi="Arial"/>
          <w:sz w:val="16"/>
          <w:szCs w:val="16"/>
          <w:color w:val="1A1A1A"/>
        </w:rPr>
        <w:t xml:space="preserve"> </w:t>
      </w:r>
      <w:r>
        <w:rPr>
          <w:rFonts w:ascii="Arial" w:cs="Arial" w:eastAsia="Arial" w:hAnsi="Arial"/>
          <w:sz w:val="16"/>
          <w:szCs w:val="16"/>
          <w:color w:val="000000"/>
        </w:rPr>
        <w:t>infrastructure, an increase in clinical consulting and professional expenses relating to preparation of the AML trial, an increase in process development expenses, offset by a decrease in clinical trial expenses due to the stages of ongoing clinical trials and the decreased number of active patients in such trials.</w:t>
      </w:r>
    </w:p>
    <w:p>
      <w:pPr>
        <w:spacing w:after="0" w:line="15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$10.0 million for the year ended December 31, 2019, compared to $24.4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2018. The decrease was primarily attributable to a decrease of $12.8 million in stock-based compensation expenses due to executive stock option grants issued in fiscal year 2018, as well as a decrease in merger-related expenses during fiscal year 2019, offset by increased expenses in headcount-related and legal and other professional expenses.</w:t>
      </w:r>
    </w:p>
    <w:p>
      <w:pPr>
        <w:spacing w:after="0" w:line="18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$21.4 million for the year ended December 31, 2019, compared to a net loss of $148.0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To receive future press releases via email, please visit: https://markertherapeutics.com/email-alerts/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use of proceeds from any sales under the Common Stock Purchase Agreement with Aspire Capital; our research, development and regulatory activities and expectations relating to our non-engineered multi-tumor antigen specific T cell therapies and our TPIV200 and TPIV100/110 programs;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Prepaid expenses and deposits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60" w:right="1080"/>
        <w:spacing w:after="0" w:line="265" w:lineRule="auto"/>
        <w:rPr>
          <w:sz w:val="20"/>
          <w:szCs w:val="20"/>
          <w:color w:val="auto"/>
        </w:rPr>
      </w:pPr>
      <w:r>
        <w:rPr>
          <w:rFonts w:ascii="Arial" w:cs="Arial" w:eastAsia="Arial" w:hAnsi="Arial"/>
          <w:sz w:val="17"/>
          <w:szCs w:val="17"/>
          <w:color w:val="auto"/>
        </w:rPr>
        <w:t>Property, plant and equipment, net Right-of-use assets, net</w:t>
      </w:r>
    </w:p>
    <w:p>
      <w:pPr>
        <w:ind w:left="500"/>
        <w:spacing w:after="0"/>
        <w:rPr>
          <w:sz w:val="20"/>
          <w:szCs w:val="20"/>
          <w:color w:val="auto"/>
        </w:rPr>
      </w:pPr>
      <w:r>
        <w:rPr>
          <w:rFonts w:ascii="Arial" w:cs="Arial" w:eastAsia="Arial" w:hAnsi="Arial"/>
          <w:sz w:val="18"/>
          <w:szCs w:val="18"/>
          <w:color w:val="auto"/>
        </w:rPr>
        <w:t>Total non-current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4520"/>
        <w:spacing w:after="0"/>
        <w:rPr>
          <w:sz w:val="20"/>
          <w:szCs w:val="20"/>
          <w:color w:val="auto"/>
        </w:rPr>
      </w:pPr>
      <w:r>
        <w:rPr>
          <w:rFonts w:ascii="Arial" w:cs="Arial" w:eastAsia="Arial" w:hAnsi="Arial"/>
          <w:sz w:val="15"/>
          <w:szCs w:val="15"/>
          <w:b w:val="1"/>
          <w:bCs w:val="1"/>
          <w:color w:val="auto"/>
        </w:rPr>
        <w:t>Consolidated Balance Sheets</w:t>
      </w:r>
    </w:p>
    <w:p>
      <w:pPr>
        <w:spacing w:after="0" w:line="200" w:lineRule="exact"/>
        <w:rPr>
          <w:sz w:val="20"/>
          <w:szCs w:val="20"/>
          <w:color w:val="auto"/>
        </w:rPr>
      </w:pPr>
    </w:p>
    <w:p>
      <w:pPr>
        <w:spacing w:after="0" w:line="257" w:lineRule="exact"/>
        <w:rPr>
          <w:sz w:val="20"/>
          <w:szCs w:val="20"/>
          <w:color w:val="auto"/>
        </w:rPr>
      </w:pPr>
    </w:p>
    <w:tbl>
      <w:tblPr>
        <w:tblLayout w:type="fixed"/>
        <w:tblInd w:w="382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627"/>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43,903,949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61,746,748</w:t>
            </w:r>
          </w:p>
        </w:tc>
      </w:tr>
      <w:tr>
        <w:trPr>
          <w:trHeight w:val="229"/>
        </w:trPr>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1,526,442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141,717</w:t>
            </w:r>
          </w:p>
        </w:tc>
        <w:tc>
          <w:tcPr>
            <w:tcW w:w="20" w:type="dxa"/>
            <w:vAlign w:val="bottom"/>
          </w:tcPr>
          <w:p>
            <w:pPr>
              <w:spacing w:after="0"/>
              <w:rPr>
                <w:sz w:val="19"/>
                <w:szCs w:val="19"/>
                <w:color w:val="auto"/>
              </w:rPr>
            </w:pPr>
          </w:p>
        </w:tc>
      </w:tr>
      <w:tr>
        <w:trPr>
          <w:trHeight w:val="230"/>
        </w:trPr>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56,189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108,177</w:t>
            </w:r>
          </w:p>
        </w:tc>
        <w:tc>
          <w:tcPr>
            <w:tcW w:w="20" w:type="dxa"/>
            <w:vAlign w:val="bottom"/>
          </w:tcPr>
          <w:p>
            <w:pPr>
              <w:spacing w:after="0"/>
              <w:rPr>
                <w:sz w:val="20"/>
                <w:szCs w:val="20"/>
                <w:color w:val="auto"/>
              </w:rPr>
            </w:pPr>
          </w:p>
        </w:tc>
      </w:t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45,486,580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61,996,642</w:t>
            </w:r>
          </w:p>
        </w:tc>
        <w:tc>
          <w:tcPr>
            <w:tcW w:w="20" w:type="dxa"/>
            <w:vAlign w:val="bottom"/>
          </w:tcPr>
          <w:p>
            <w:pPr>
              <w:spacing w:after="0"/>
              <w:rPr>
                <w:sz w:val="18"/>
                <w:szCs w:val="18"/>
                <w:color w:val="auto"/>
              </w:rPr>
            </w:pPr>
          </w:p>
        </w:tc>
      </w:tr>
      <w:tr>
        <w:trPr>
          <w:trHeight w:val="425"/>
        </w:trPr>
        <w:tc>
          <w:tcPr>
            <w:tcW w:w="10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417,528</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147,668</w:t>
            </w:r>
          </w:p>
        </w:tc>
        <w:tc>
          <w:tcPr>
            <w:tcW w:w="20" w:type="dxa"/>
            <w:vAlign w:val="bottom"/>
          </w:tcPr>
          <w:p>
            <w:pPr>
              <w:spacing w:after="0"/>
              <w:rPr>
                <w:sz w:val="24"/>
                <w:szCs w:val="24"/>
                <w:color w:val="auto"/>
              </w:rPr>
            </w:pPr>
          </w:p>
        </w:tc>
      </w:tr>
      <w:tr>
        <w:trPr>
          <w:trHeight w:val="230"/>
        </w:trPr>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455,174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872,702</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147,668</w:t>
            </w:r>
          </w:p>
        </w:tc>
        <w:tc>
          <w:tcPr>
            <w:tcW w:w="20" w:type="dxa"/>
            <w:vAlign w:val="bottom"/>
          </w:tcPr>
          <w:p>
            <w:pPr>
              <w:spacing w:after="0"/>
              <w:rPr>
                <w:sz w:val="18"/>
                <w:szCs w:val="18"/>
                <w:color w:val="auto"/>
              </w:rPr>
            </w:pPr>
          </w:p>
        </w:tc>
      </w:tr>
      <w:tr>
        <w:trPr>
          <w:trHeight w:val="453"/>
        </w:trPr>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46,359,282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62,144,310</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-1748155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-1464945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-1191260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-899795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-616585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-325120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-16510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720"/>
          </w:cols>
          <w:pgMar w:left="320" w:top="904" w:right="3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1,757,680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2,754,572</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ind w:left="260"/>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204,132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9"/>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31,000</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49,000</w:t>
            </w:r>
          </w:p>
        </w:tc>
        <w:tc>
          <w:tcPr>
            <w:tcW w:w="80" w:type="dxa"/>
            <w:vAlign w:val="bottom"/>
            <w:shd w:val="clear" w:color="auto" w:fill="CCEEFF"/>
          </w:tcPr>
          <w:p>
            <w:pPr>
              <w:spacing w:after="0"/>
              <w:rPr>
                <w:sz w:val="19"/>
                <w:szCs w:val="19"/>
                <w:color w:val="auto"/>
              </w:rPr>
            </w:pPr>
          </w:p>
        </w:tc>
      </w:tr>
      <w:tr>
        <w:trPr>
          <w:trHeight w:val="210"/>
        </w:trPr>
        <w:tc>
          <w:tcPr>
            <w:tcW w:w="8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1,992,812</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2,803,572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Lease liability, net of current portion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280,247</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82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2,273,059</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2,803,572</w:t>
            </w:r>
          </w:p>
        </w:tc>
        <w:tc>
          <w:tcPr>
            <w:tcW w:w="80" w:type="dxa"/>
            <w:vAlign w:val="bottom"/>
            <w:shd w:val="clear" w:color="auto" w:fill="CCEEFF"/>
          </w:tcPr>
          <w:p>
            <w:pPr>
              <w:spacing w:after="0"/>
              <w:rPr>
                <w:sz w:val="19"/>
                <w:szCs w:val="19"/>
                <w:color w:val="auto"/>
              </w:rPr>
            </w:pPr>
          </w:p>
        </w:tc>
      </w:t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200" w:type="dxa"/>
            <w:vAlign w:val="bottom"/>
          </w:tcPr>
          <w:p>
            <w:pPr>
              <w:ind w:left="260"/>
              <w:spacing w:after="0" w:line="201" w:lineRule="exact"/>
              <w:rPr>
                <w:sz w:val="20"/>
                <w:szCs w:val="20"/>
                <w:color w:val="auto"/>
              </w:rPr>
            </w:pPr>
            <w:r>
              <w:rPr>
                <w:rFonts w:ascii="Arial" w:cs="Arial" w:eastAsia="Arial" w:hAnsi="Arial"/>
                <w:sz w:val="18"/>
                <w:szCs w:val="18"/>
                <w:color w:val="auto"/>
                <w:w w:val="97"/>
              </w:rPr>
              <w:t>Preferred stock - $0.001 par value, 5 million shares authorized and 0 shares issued and outstanding at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December 31, 2019 and 2018,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82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Common stock, $0.001 par value, 150 million shares authorized, 45.7 million and 45.4 million shares issued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outstanding as of December 31, 2019 and 2018, 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45,728</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45,440</w:t>
            </w:r>
          </w:p>
        </w:tc>
        <w:tc>
          <w:tcPr>
            <w:tcW w:w="80" w:type="dxa"/>
            <w:vAlign w:val="bottom"/>
            <w:shd w:val="clear" w:color="auto" w:fill="CCEEFF"/>
          </w:tcPr>
          <w:p>
            <w:pPr>
              <w:spacing w:after="0"/>
              <w:rPr>
                <w:sz w:val="20"/>
                <w:szCs w:val="20"/>
                <w:color w:val="auto"/>
              </w:rPr>
            </w:pPr>
          </w:p>
        </w:tc>
      </w:tr>
      <w:tr>
        <w:trPr>
          <w:trHeight w:val="216"/>
        </w:trPr>
        <w:tc>
          <w:tcPr>
            <w:tcW w:w="82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371,573,909</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365,400,748</w:t>
            </w:r>
          </w:p>
        </w:tc>
        <w:tc>
          <w:tcPr>
            <w:tcW w:w="80" w:type="dxa"/>
            <w:vAlign w:val="bottom"/>
          </w:tcPr>
          <w:p>
            <w:pPr>
              <w:spacing w:after="0"/>
              <w:rPr>
                <w:sz w:val="18"/>
                <w:szCs w:val="18"/>
                <w:color w:val="auto"/>
              </w:rPr>
            </w:pPr>
          </w:p>
        </w:tc>
      </w:tr>
      <w:tr>
        <w:trPr>
          <w:trHeight w:val="230"/>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(327,533,414)</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(306,105,450)</w:t>
            </w:r>
          </w:p>
        </w:tc>
      </w:tr>
      <w:tr>
        <w:trPr>
          <w:trHeight w:val="209"/>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44,086,223</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59,340,738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2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46,359,282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62,144,310</w:t>
            </w:r>
          </w:p>
        </w:tc>
        <w:tc>
          <w:tcPr>
            <w:tcW w:w="80" w:type="dxa"/>
            <w:vAlign w:val="bottom"/>
          </w:tcPr>
          <w:p>
            <w:pPr>
              <w:spacing w:after="0"/>
              <w:rPr>
                <w:sz w:val="21"/>
                <w:szCs w:val="2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72"/>
        </w:trPr>
        <w:tc>
          <w:tcPr>
            <w:tcW w:w="8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21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213,194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205,994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 - intellectual property acquired</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116,044,886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12,764,804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7,952,870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9,977,196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24,379,871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9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22,742,000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148,377,627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(22,528,806)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(148,171,633)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1,082,842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(21,427,964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(147,957,910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1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45,587,734</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19,091,926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6"/>
          </w:tcPr>
          <w:p>
            <w:pPr>
              <w:jc w:val="right"/>
              <w:ind w:right="641"/>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7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8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09"/>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7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(21,427,964)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(147,957,910)</w:t>
            </w:r>
          </w:p>
        </w:tc>
      </w:tr>
      <w:tr>
        <w:trPr>
          <w:trHeight w:val="216"/>
        </w:trPr>
        <w:tc>
          <w:tcPr>
            <w:tcW w:w="7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105,123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fair value of warrant liabilities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40,000</w:t>
            </w:r>
          </w:p>
        </w:tc>
      </w:tr>
      <w:tr>
        <w:trPr>
          <w:trHeight w:val="216"/>
        </w:trPr>
        <w:tc>
          <w:tcPr>
            <w:tcW w:w="78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5,356,972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16,350,592</w:t>
            </w:r>
          </w:p>
        </w:tc>
      </w:tr>
      <w:tr>
        <w:trPr>
          <w:trHeight w:val="21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on right-of-use assets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181,459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260"/>
              <w:spacing w:after="0"/>
              <w:rPr>
                <w:sz w:val="20"/>
                <w:szCs w:val="20"/>
                <w:color w:val="auto"/>
              </w:rPr>
            </w:pPr>
            <w:r>
              <w:rPr>
                <w:rFonts w:ascii="Arial" w:cs="Arial" w:eastAsia="Arial" w:hAnsi="Arial"/>
                <w:sz w:val="18"/>
                <w:szCs w:val="18"/>
                <w:color w:val="auto"/>
              </w:rPr>
              <w:t>Research and development - intellectual property acquired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116,044,886</w:t>
            </w:r>
          </w:p>
        </w:tc>
      </w:tr>
      <w:tr>
        <w:trPr>
          <w:trHeight w:val="21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80"/>
              <w:spacing w:after="0"/>
              <w:rPr>
                <w:sz w:val="20"/>
                <w:szCs w:val="20"/>
                <w:color w:val="auto"/>
              </w:rPr>
            </w:pPr>
            <w:r>
              <w:rPr>
                <w:rFonts w:ascii="Arial" w:cs="Arial" w:eastAsia="Arial" w:hAnsi="Arial"/>
                <w:sz w:val="18"/>
                <w:szCs w:val="18"/>
                <w:color w:val="auto"/>
              </w:rPr>
              <w:t>Prepaid expenses and deposits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(1,384,725)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(90,567)</w:t>
            </w:r>
          </w:p>
        </w:tc>
      </w:tr>
      <w:tr>
        <w:trPr>
          <w:trHeight w:val="216"/>
        </w:trPr>
        <w:tc>
          <w:tcPr>
            <w:tcW w:w="7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receivable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51,988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(108,177)</w:t>
            </w:r>
          </w:p>
        </w:tc>
      </w:tr>
      <w:tr>
        <w:trPr>
          <w:trHeight w:val="216"/>
        </w:trPr>
        <w:tc>
          <w:tcPr>
            <w:tcW w:w="780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(963,967)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1,241,260</w:t>
            </w:r>
          </w:p>
        </w:tc>
      </w:tr>
      <w:tr>
        <w:trPr>
          <w:trHeight w:val="230"/>
        </w:trPr>
        <w:tc>
          <w:tcPr>
            <w:tcW w:w="7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Lease liability</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(185,179)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7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(18,284,293</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(14,479,916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(374,983)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(147,668)</w:t>
            </w:r>
          </w:p>
        </w:tc>
      </w:tr>
      <w:tr>
        <w:trPr>
          <w:trHeight w:val="209"/>
        </w:trPr>
        <w:tc>
          <w:tcPr>
            <w:tcW w:w="7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(374,983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Proceeds from issuance of common stock and warrants in private placement, net of offering costs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66,945,000</w:t>
            </w:r>
          </w:p>
        </w:tc>
      </w:tr>
      <w:tr>
        <w:trPr>
          <w:trHeight w:val="216"/>
        </w:trPr>
        <w:tc>
          <w:tcPr>
            <w:tcW w:w="78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57,744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18,125</w:t>
            </w:r>
          </w:p>
        </w:tc>
      </w:tr>
      <w:tr>
        <w:trPr>
          <w:trHeight w:val="21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exercise of warrants, net of offering costs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758,733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4,353,628</w:t>
            </w: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Repurchase of common stock to pay for employee withholding taxes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(71,710)</w:t>
            </w:r>
          </w:p>
        </w:tc>
      </w:tr>
      <w:tr>
        <w:trPr>
          <w:trHeight w:val="209"/>
        </w:trPr>
        <w:tc>
          <w:tcPr>
            <w:tcW w:w="7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71,245,043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Net (decrease) increase in cash</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(17,842,799)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56,617,459</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8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61,746,748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5,129,289</w:t>
            </w:r>
          </w:p>
        </w:tc>
      </w:tr>
      <w:tr>
        <w:trPr>
          <w:trHeight w:val="223"/>
        </w:trPr>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61,746,748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221-9197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crusso@soleburytrout.com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450-0349 </w:t>
      </w:r>
      <w:r>
        <w:rPr>
          <w:rFonts w:ascii="Arial" w:cs="Arial" w:eastAsia="Arial" w:hAnsi="Arial"/>
          <w:sz w:val="16"/>
          <w:szCs w:val="16"/>
          <w:u w:val="single" w:color="auto"/>
          <w:color w:val="auto"/>
        </w:rPr>
        <w:t>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2020-03-12T15:39:09Z</dcterms:created>
  <dcterms:modified xsi:type="dcterms:W3CDTF">2020-03-12T15:39:09Z</dcterms:modified>
</cp:coreProperties>
</file>