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u w:val="single" w:color="auto"/>
          <w:color w:val="auto"/>
        </w:rPr>
        <w:t>June 8, 2018</w:t>
      </w:r>
    </w:p>
    <w:p>
      <w:pPr>
        <w:spacing w:after="0" w:line="31"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color w:val="auto"/>
        </w:rPr>
        <w:t>Date of Report</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TAPIMMUNE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2180" w:type="dxa"/>
            <w:vAlign w:val="bottom"/>
            <w:gridSpan w:val="2"/>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880" w:type="dxa"/>
            <w:vAlign w:val="bottom"/>
            <w:gridSpan w:val="3"/>
          </w:tcPr>
          <w:p>
            <w:pPr>
              <w:jc w:val="right"/>
              <w:ind w:right="1540"/>
              <w:spacing w:after="0"/>
              <w:rPr>
                <w:sz w:val="20"/>
                <w:szCs w:val="20"/>
                <w:color w:val="auto"/>
              </w:rPr>
            </w:pPr>
            <w:r>
              <w:rPr>
                <w:rFonts w:ascii="Times New Roman" w:cs="Times New Roman" w:eastAsia="Times New Roman" w:hAnsi="Times New Roman"/>
                <w:sz w:val="18"/>
                <w:szCs w:val="18"/>
                <w:b w:val="1"/>
                <w:bCs w:val="1"/>
                <w:color w:val="auto"/>
              </w:rPr>
              <w:t>001-37939</w:t>
            </w:r>
          </w:p>
        </w:tc>
        <w:tc>
          <w:tcPr>
            <w:tcW w:w="376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6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7"/>
        </w:trPr>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3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16"/>
        </w:trPr>
        <w:tc>
          <w:tcPr>
            <w:tcW w:w="1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r>
      <w:tr>
        <w:trPr>
          <w:trHeight w:val="187"/>
        </w:trPr>
        <w:tc>
          <w:tcPr>
            <w:tcW w:w="37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5 West Forsyth Street, Suite 200</w:t>
            </w:r>
          </w:p>
        </w:tc>
        <w:tc>
          <w:tcPr>
            <w:tcW w:w="1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38"/>
        </w:trPr>
        <w:tc>
          <w:tcPr>
            <w:tcW w:w="3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Jacksonville, FL</w:t>
            </w:r>
          </w:p>
        </w:tc>
        <w:tc>
          <w:tcPr>
            <w:tcW w:w="1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32202</w:t>
            </w:r>
          </w:p>
        </w:tc>
        <w:tc>
          <w:tcPr>
            <w:tcW w:w="1440" w:type="dxa"/>
            <w:vAlign w:val="bottom"/>
            <w:tcBorders>
              <w:bottom w:val="single" w:sz="8" w:color="auto"/>
            </w:tcBorders>
          </w:tcPr>
          <w:p>
            <w:pPr>
              <w:spacing w:after="0"/>
              <w:rPr>
                <w:sz w:val="20"/>
                <w:szCs w:val="20"/>
                <w:color w:val="auto"/>
              </w:rPr>
            </w:pPr>
          </w:p>
        </w:tc>
      </w:tr>
      <w:tr>
        <w:trPr>
          <w:trHeight w:val="228"/>
        </w:trPr>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320" w:type="dxa"/>
            <w:vAlign w:val="bottom"/>
            <w:gridSpan w:val="2"/>
          </w:tcPr>
          <w:p>
            <w:pPr>
              <w:jc w:val="center"/>
              <w:ind w:right="144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3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904-516-5436</w:t>
            </w:r>
          </w:p>
        </w:tc>
        <w:tc>
          <w:tcPr>
            <w:tcW w:w="1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37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(Issuer's telephone number)</w:t>
            </w:r>
          </w:p>
        </w:tc>
        <w:tc>
          <w:tcPr>
            <w:tcW w:w="1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40" w:type="dxa"/>
            <w:vAlign w:val="bottom"/>
          </w:tcPr>
          <w:p>
            <w:pPr>
              <w:spacing w:after="0"/>
              <w:rPr>
                <w:sz w:val="19"/>
                <w:szCs w:val="19"/>
                <w:color w:val="auto"/>
              </w:rPr>
            </w:pP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right="2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71"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8, 2018, TapImmune Inc. (the “Company”) entered into Securities Purchase Agreements (the “Securities Purchase Agreements”) for a private placement (the “Private Placement”) with a select group of institutional and accredited investors (the “Purchasers”). Pursuant to the Securities Purchase Agreements, the Purchasers have agreed to purchase 17,500,000 shares of the Company’s common stock, par value $0.001, at $4.00 per share, for gross offering proceeds of $70 million. Each share of common stock will be issued with a warrant to purchase 0.75 additional shares of the Company’s common stock at an exercise price of $5.00 per share (each a “Warrant” and collectively the “Warrants”) for an aggregate of 13,125,000 Warrants. In accordance with NASDAQ Stock Market Rule 5635, the completion of the issuance and sale of the common stock and Warrants pursuant to the Securities Purchase Agreements is subject to the approval of the Private Placement by the Company’s shareholders.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Warrants will be immediately exercisable upon issuance at closing and will have a term of five years. Subject to obtaining shareholder approval of the Private Placement, the issuance and sale of the common stock and Warrants pursuant to the Securities Purchase Agreements is expected to close concurrently with the Company’s merger with Marker Therapeutics, Inc. that was previously announced on May 15, 2018. In addition, the Company granted the Purchasers certain registration rights with respect to the shares of common stock and the shares of common stock to be received pursuant to the exercise of the Warrants. A form of the Securities Purchase Agreements and forms of Warrants to be issued and sold to the Purchasers in the Private Placement are filed herewith as Exhibits 10.1, 4.1 and 4.2, and are incorporated herein by reference, and the above description of the material terms of the Securities Purchase Agreements and Warrants are qualified in their entirety by reference to these exhibits. A copy of the Company’s press release announcing the Private Placement is filed herewith as Exhibit 99.1.</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Neither the shares of common stock nor the additional shares of common stock to be issued pursuant to the exercise of the warrants have been registered under the Securities Act of 1933, as amended (the “Securities Act”), and may not be offered or sold in the United States in the absence of an effective registration statement or exemption from registration requirements.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Piper Jaffray &amp; Co. acted as sole lead placement agent and Nomura Securities International, Inc. acted as co-placement agent in connection with the Private Placement, and the Company agreed to pay customary placement fees and reimburse certain expenses of the placement agents.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1.01 above is incorporated by reference into this Item 3.02.</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securities are being offered and will be sold in reliance upon exemption from registration provided by Section 4(a)(2) of the Securities Act. In determining that the offer and sale of the securities will qualify for an exemption under Section 4(a)(2), the Company relied on the following facts: (i) all of the purchasers were accredited investors, as defined in Rule 501 of Regulation D promulgated under the Securities Act, (ii) the Company did not use any form of general solicitation or advertising to offer the common stock or Warrants; and (iii) the investment intent of the Purchasers.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620" w:type="dxa"/>
            <w:vAlign w:val="bottom"/>
          </w:tcPr>
          <w:p>
            <w:pPr>
              <w:spacing w:after="0"/>
              <w:rPr>
                <w:sz w:val="20"/>
                <w:szCs w:val="20"/>
                <w:color w:val="auto"/>
              </w:rPr>
            </w:pPr>
          </w:p>
        </w:tc>
      </w:tr>
      <w:tr>
        <w:trPr>
          <w:trHeight w:val="432"/>
        </w:trPr>
        <w:tc>
          <w:tcPr>
            <w:tcW w:w="1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163"/>
        </w:trPr>
        <w:tc>
          <w:tcPr>
            <w:tcW w:w="240" w:type="dxa"/>
            <w:vAlign w:val="bottom"/>
            <w:tcBorders>
              <w:bottom w:val="single" w:sz="8" w:color="0000EE"/>
            </w:tcBorders>
          </w:tcPr>
          <w:p>
            <w:pPr>
              <w:spacing w:after="0" w:line="136" w:lineRule="exact"/>
              <w:rPr>
                <w:rFonts w:ascii="Times New Roman" w:cs="Times New Roman" w:eastAsia="Times New Roman" w:hAnsi="Times New Roman"/>
                <w:sz w:val="15"/>
                <w:szCs w:val="15"/>
                <w:color w:val="0000EE"/>
              </w:rPr>
            </w:pPr>
            <w:hyperlink w:anchor="page4">
              <w:r>
                <w:rPr>
                  <w:rFonts w:ascii="Times New Roman" w:cs="Times New Roman" w:eastAsia="Times New Roman" w:hAnsi="Times New Roman"/>
                  <w:sz w:val="15"/>
                  <w:szCs w:val="15"/>
                  <w:color w:val="0000EE"/>
                </w:rPr>
                <w:t>4.</w:t>
              </w:r>
              <w:r>
                <w:rPr>
                  <w:rFonts w:ascii="Times New Roman" w:cs="Times New Roman" w:eastAsia="Times New Roman" w:hAnsi="Times New Roman"/>
                  <w:sz w:val="15"/>
                  <w:szCs w:val="15"/>
                  <w:u w:val="single" w:color="auto"/>
                  <w:color w:val="0000EE"/>
                </w:rPr>
                <w:t>1</w:t>
              </w:r>
            </w:hyperlink>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20" w:type="dxa"/>
            <w:vAlign w:val="bottom"/>
            <w:tcBorders>
              <w:bottom w:val="single" w:sz="8" w:color="0000EE"/>
            </w:tcBorders>
            <w:gridSpan w:val="2"/>
          </w:tcPr>
          <w:p>
            <w:pPr>
              <w:spacing w:after="0" w:line="142" w:lineRule="exact"/>
              <w:rPr>
                <w:rFonts w:ascii="Times New Roman" w:cs="Times New Roman" w:eastAsia="Times New Roman" w:hAnsi="Times New Roman"/>
                <w:sz w:val="16"/>
                <w:szCs w:val="16"/>
                <w:color w:val="0000EE"/>
              </w:rPr>
            </w:pPr>
            <w:hyperlink w:anchor="page4">
              <w:r>
                <w:rPr>
                  <w:rFonts w:ascii="Times New Roman" w:cs="Times New Roman" w:eastAsia="Times New Roman" w:hAnsi="Times New Roman"/>
                  <w:sz w:val="16"/>
                  <w:szCs w:val="16"/>
                  <w:color w:val="0000EE"/>
                </w:rPr>
                <w:t>Form of Warrant</w:t>
              </w:r>
            </w:hyperlink>
          </w:p>
        </w:tc>
        <w:tc>
          <w:tcPr>
            <w:tcW w:w="8240" w:type="dxa"/>
            <w:vAlign w:val="bottom"/>
            <w:gridSpan w:val="3"/>
          </w:tcPr>
          <w:p>
            <w:pPr>
              <w:spacing w:after="0"/>
              <w:rPr>
                <w:sz w:val="14"/>
                <w:szCs w:val="14"/>
                <w:color w:val="auto"/>
              </w:rPr>
            </w:pPr>
          </w:p>
        </w:tc>
      </w:tr>
      <w:tr>
        <w:trPr>
          <w:trHeight w:val="419"/>
        </w:trPr>
        <w:tc>
          <w:tcPr>
            <w:tcW w:w="24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w:anchor="page18">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80" w:type="dxa"/>
            <w:vAlign w:val="bottom"/>
            <w:tcBorders>
              <w:bottom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200" w:type="dxa"/>
            <w:vAlign w:val="bottom"/>
            <w:tcBorders>
              <w:bottom w:val="single" w:sz="8" w:color="0000EE"/>
            </w:tcBorders>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Form of Warrant</w:t>
              </w:r>
            </w:hyperlink>
          </w:p>
        </w:tc>
        <w:tc>
          <w:tcPr>
            <w:tcW w:w="8260" w:type="dxa"/>
            <w:vAlign w:val="bottom"/>
            <w:gridSpan w:val="4"/>
          </w:tcPr>
          <w:p>
            <w:pPr>
              <w:spacing w:after="0"/>
              <w:rPr>
                <w:sz w:val="24"/>
                <w:szCs w:val="24"/>
                <w:color w:val="auto"/>
              </w:rPr>
            </w:pPr>
          </w:p>
        </w:tc>
      </w:tr>
      <w:tr>
        <w:trPr>
          <w:trHeight w:val="412"/>
        </w:trPr>
        <w:tc>
          <w:tcPr>
            <w:tcW w:w="32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5"/>
              </w:rPr>
            </w:pPr>
            <w:hyperlink w:anchor="page30">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640" w:type="dxa"/>
            <w:vAlign w:val="bottom"/>
          </w:tcPr>
          <w:p>
            <w:pPr>
              <w:spacing w:after="0"/>
              <w:rPr>
                <w:sz w:val="24"/>
                <w:szCs w:val="24"/>
                <w:color w:val="auto"/>
              </w:rPr>
            </w:pPr>
          </w:p>
        </w:tc>
        <w:tc>
          <w:tcPr>
            <w:tcW w:w="28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Form of Securities Purchase Agreement</w:t>
              </w:r>
            </w:hyperlink>
          </w:p>
        </w:tc>
        <w:tc>
          <w:tcPr>
            <w:tcW w:w="6580" w:type="dxa"/>
            <w:vAlign w:val="bottom"/>
            <w:gridSpan w:val="2"/>
          </w:tcPr>
          <w:p>
            <w:pPr>
              <w:spacing w:after="0"/>
              <w:rPr>
                <w:sz w:val="24"/>
                <w:szCs w:val="24"/>
                <w:color w:val="auto"/>
              </w:rPr>
            </w:pPr>
          </w:p>
        </w:tc>
      </w:tr>
      <w:tr>
        <w:trPr>
          <w:trHeight w:val="412"/>
        </w:trPr>
        <w:tc>
          <w:tcPr>
            <w:tcW w:w="320" w:type="dxa"/>
            <w:vAlign w:val="bottom"/>
            <w:gridSpan w:val="2"/>
          </w:tcPr>
          <w:p>
            <w:pPr>
              <w:spacing w:after="0"/>
              <w:rPr>
                <w:rFonts w:ascii="Times New Roman" w:cs="Times New Roman" w:eastAsia="Times New Roman" w:hAnsi="Times New Roman"/>
                <w:sz w:val="18"/>
                <w:szCs w:val="18"/>
                <w:color w:val="0000EE"/>
                <w:w w:val="95"/>
              </w:rPr>
            </w:pPr>
            <w:hyperlink w:anchor="page81">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hyperlink>
          </w:p>
        </w:tc>
        <w:tc>
          <w:tcPr>
            <w:tcW w:w="1640" w:type="dxa"/>
            <w:vAlign w:val="bottom"/>
          </w:tcPr>
          <w:p>
            <w:pPr>
              <w:spacing w:after="0"/>
              <w:rPr>
                <w:sz w:val="24"/>
                <w:szCs w:val="24"/>
                <w:color w:val="auto"/>
              </w:rPr>
            </w:pPr>
          </w:p>
        </w:tc>
        <w:tc>
          <w:tcPr>
            <w:tcW w:w="9460" w:type="dxa"/>
            <w:vAlign w:val="bottom"/>
            <w:gridSpan w:val="5"/>
          </w:tcPr>
          <w:p>
            <w:pPr>
              <w:spacing w:after="0"/>
              <w:rPr>
                <w:rFonts w:ascii="Times New Roman" w:cs="Times New Roman" w:eastAsia="Times New Roman" w:hAnsi="Times New Roman"/>
                <w:sz w:val="18"/>
                <w:szCs w:val="18"/>
                <w:color w:val="0000EE"/>
              </w:rPr>
            </w:pPr>
            <w:hyperlink w:anchor="page81">
              <w:r>
                <w:rPr>
                  <w:rFonts w:ascii="Times New Roman" w:cs="Times New Roman" w:eastAsia="Times New Roman" w:hAnsi="Times New Roman"/>
                  <w:sz w:val="18"/>
                  <w:szCs w:val="18"/>
                  <w:color w:val="0000EE"/>
                </w:rPr>
                <w:t>Press Release of TapImmine, Inc. dated June 8, 2018.</w:t>
              </w:r>
            </w:hyperlink>
          </w:p>
        </w:tc>
      </w:tr>
      <w:tr>
        <w:trPr>
          <w:trHeight w:val="69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6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8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TAPIMMUNE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June 8, 2018</w:t>
            </w: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Loiacono</w:t>
            </w:r>
          </w:p>
        </w:tc>
      </w:tr>
      <w:tr>
        <w:trPr>
          <w:trHeight w:val="191"/>
        </w:trPr>
        <w:tc>
          <w:tcPr>
            <w:tcW w:w="3580" w:type="dxa"/>
            <w:vAlign w:val="bottom"/>
          </w:tcPr>
          <w:p>
            <w:pPr>
              <w:spacing w:after="0"/>
              <w:rPr>
                <w:sz w:val="16"/>
                <w:szCs w:val="16"/>
                <w:color w:val="auto"/>
              </w:rPr>
            </w:pPr>
          </w:p>
        </w:tc>
        <w:tc>
          <w:tcPr>
            <w:tcW w:w="2700" w:type="dxa"/>
            <w:vAlign w:val="bottom"/>
          </w:tcPr>
          <w:p>
            <w:pPr>
              <w:ind w:left="21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1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Loiacono</w:t>
            </w:r>
          </w:p>
        </w:tc>
      </w:tr>
      <w:tr>
        <w:trPr>
          <w:trHeight w:val="234"/>
        </w:trPr>
        <w:tc>
          <w:tcPr>
            <w:tcW w:w="3580" w:type="dxa"/>
            <w:vAlign w:val="bottom"/>
          </w:tcPr>
          <w:p>
            <w:pPr>
              <w:spacing w:after="0"/>
              <w:rPr>
                <w:sz w:val="20"/>
                <w:szCs w:val="20"/>
                <w:color w:val="auto"/>
              </w:rPr>
            </w:pPr>
          </w:p>
        </w:tc>
        <w:tc>
          <w:tcPr>
            <w:tcW w:w="270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Title:</w:t>
            </w: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WARRANT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20"/>
          </w:cols>
          <w:pgMar w:left="240" w:top="360" w:right="239" w:bottom="144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ISSUANCE: [_________], 2018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[_________], 2023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 hereunder)</w:t>
      </w:r>
    </w:p>
    <w:p>
      <w:pPr>
        <w:spacing w:after="0" w:line="416" w:lineRule="exact"/>
        <w:rPr>
          <w:sz w:val="20"/>
          <w:szCs w:val="20"/>
          <w:color w:val="auto"/>
        </w:rPr>
      </w:pPr>
    </w:p>
    <w:p>
      <w:pPr>
        <w:sectPr>
          <w:pgSz w:w="11900" w:h="16838" w:orient="portrait"/>
          <w:cols w:equalWidth="0" w:num="2">
            <w:col w:w="8280" w:space="720"/>
            <w:col w:w="2420"/>
          </w:cols>
          <w:pgMar w:left="240" w:top="360" w:right="2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TO PURCHASE SHARES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COMMON STOCK 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TAPIMMUNE INC.</w:t>
      </w:r>
    </w:p>
    <w:p>
      <w:pPr>
        <w:sectPr>
          <w:pgSz w:w="11900" w:h="16838" w:orient="portrait"/>
          <w:cols w:equalWidth="0" w:num="1">
            <w:col w:w="11420"/>
          </w:cols>
          <w:pgMar w:left="240" w:top="360" w:right="239" w:bottom="1440" w:gutter="0" w:footer="0" w:header="0"/>
          <w:type w:val="continuous"/>
        </w:sect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Warrant is issued to__________________, or its registered assigns (including any successors or assigns, the “</w:t>
      </w:r>
      <w:r>
        <w:rPr>
          <w:rFonts w:ascii="Times New Roman" w:cs="Times New Roman" w:eastAsia="Times New Roman" w:hAnsi="Times New Roman"/>
          <w:sz w:val="18"/>
          <w:szCs w:val="18"/>
          <w:b w:val="1"/>
          <w:bCs w:val="1"/>
          <w:color w:val="auto"/>
        </w:rPr>
        <w:t>Warrantholder</w:t>
      </w:r>
      <w:r>
        <w:rPr>
          <w:rFonts w:ascii="Times New Roman" w:cs="Times New Roman" w:eastAsia="Times New Roman" w:hAnsi="Times New Roman"/>
          <w:sz w:val="18"/>
          <w:szCs w:val="18"/>
          <w:color w:val="auto"/>
        </w:rPr>
        <w:t>”), which is hereby</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acknowledged in connection with that certain Securities Purchase Agreement, dated as of June [_], 2018, by and among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those persons and entities listed as a Purchaser on Annex A thereto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060" w:hanging="533"/>
        <w:spacing w:after="0"/>
        <w:tabs>
          <w:tab w:leader="none" w:pos="10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045"/>
        <w:spacing w:after="0" w:line="258" w:lineRule="auto"/>
        <w:tabs>
          <w:tab w:leader="none" w:pos="168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and Exercise Price of Warrant Shares; Expiration Date</w:t>
      </w:r>
      <w:r>
        <w:rPr>
          <w:rFonts w:ascii="Times New Roman" w:cs="Times New Roman" w:eastAsia="Times New Roman" w:hAnsi="Times New Roman"/>
          <w:sz w:val="18"/>
          <w:szCs w:val="18"/>
          <w:color w:val="auto"/>
        </w:rPr>
        <w:t>. Subject to the terms and conditions set forth herein and set forth in the Purchase Agreement, the Warrantholder is entitled to purchase from the Company up to [_________] shares of the Company’s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adjusted from time to time pursuant to the provisions of this Warrant)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 purchase price of $[____]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on or before 5:00 p.m. New York City time on the fifth anniversary of the Date of Issuance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(subject to earlier termination of this Warrant as set forth herein).</w:t>
      </w:r>
    </w:p>
    <w:p>
      <w:pPr>
        <w:spacing w:after="0" w:line="183" w:lineRule="exact"/>
        <w:rPr>
          <w:rFonts w:ascii="Times New Roman" w:cs="Times New Roman" w:eastAsia="Times New Roman" w:hAnsi="Times New Roman"/>
          <w:sz w:val="18"/>
          <w:szCs w:val="18"/>
          <w:color w:val="auto"/>
        </w:rPr>
      </w:pPr>
    </w:p>
    <w:p>
      <w:pPr>
        <w:jc w:val="both"/>
        <w:ind w:firstLine="1045"/>
        <w:spacing w:after="0" w:line="266" w:lineRule="auto"/>
        <w:tabs>
          <w:tab w:leader="none" w:pos="169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xml:space="preserve">. While this Warrant remains outstanding and exercisable in accordance with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above, the Warrantholder may exercise this Warrant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herein, by wire transfer to the Company or cashier’s check drawn on a United States bank made payable to the order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type w:val="continuous"/>
        </w:sectPr>
      </w:pPr>
    </w:p>
    <w:bookmarkStart w:id="4" w:name="page5"/>
    <w:bookmarkEnd w:id="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(as defined below)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88" w:lineRule="exact"/>
        <w:rPr>
          <w:sz w:val="20"/>
          <w:szCs w:val="20"/>
          <w:color w:val="auto"/>
        </w:rPr>
      </w:pPr>
    </w:p>
    <w:p>
      <w:pPr>
        <w:jc w:val="both"/>
        <w:ind w:firstLine="1045"/>
        <w:spacing w:after="0" w:line="256" w:lineRule="auto"/>
        <w:tabs>
          <w:tab w:leader="none" w:pos="17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Exercise</w:t>
      </w:r>
      <w:r>
        <w:rPr>
          <w:rFonts w:ascii="Times New Roman" w:cs="Times New Roman" w:eastAsia="Times New Roman" w:hAnsi="Times New Roman"/>
          <w:sz w:val="18"/>
          <w:szCs w:val="18"/>
          <w:color w:val="auto"/>
        </w:rPr>
        <w:t xml:space="preserve">. In lieu of exercising this Warrant pursuant to </w:t>
      </w:r>
      <w:r>
        <w:rPr>
          <w:rFonts w:ascii="Times New Roman" w:cs="Times New Roman" w:eastAsia="Times New Roman" w:hAnsi="Times New Roman"/>
          <w:sz w:val="18"/>
          <w:szCs w:val="18"/>
          <w:u w:val="single" w:color="auto"/>
          <w:color w:val="auto"/>
        </w:rPr>
        <w:t>Section 1(b)</w:t>
      </w:r>
      <w:r>
        <w:rPr>
          <w:rFonts w:ascii="Times New Roman" w:cs="Times New Roman" w:eastAsia="Times New Roman" w:hAnsi="Times New Roman"/>
          <w:sz w:val="18"/>
          <w:szCs w:val="18"/>
          <w:color w:val="auto"/>
        </w:rPr>
        <w:t>, if on the date of exercise a registration statement permitting the Warrantholder to resell the shares of Common Stock issuable upon the exercise of the Warrant is not then effective, the Warrantholder may elect to credit the Exercise Price against the Fair Market Value of the Warrant Shares (as defined below) at the time of exercise (the “</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xml:space="preserv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1(c)</w:t>
      </w:r>
      <w:r>
        <w:rPr>
          <w:rFonts w:ascii="Times New Roman" w:cs="Times New Roman" w:eastAsia="Times New Roman" w:hAnsi="Times New Roman"/>
          <w:sz w:val="18"/>
          <w:szCs w:val="18"/>
          <w:color w:val="auto"/>
        </w:rPr>
        <w:t>. If the Company shall receive written notice from the Warrantholder at the time of exercise of this Warrant that the Warrantholder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130810</wp:posOffset>
            </wp:positionV>
            <wp:extent cx="1132205" cy="43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3220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440"/>
        <w:spacing w:after="0"/>
        <w:tabs>
          <w:tab w:leader="none" w:pos="200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Warrant Shares to be issued to the Warrantholder.</w:t>
      </w:r>
    </w:p>
    <w:p>
      <w:pPr>
        <w:spacing w:after="0" w:line="225" w:lineRule="exact"/>
        <w:rPr>
          <w:sz w:val="20"/>
          <w:szCs w:val="20"/>
          <w:color w:val="auto"/>
        </w:rPr>
      </w:pPr>
    </w:p>
    <w:p>
      <w:pPr>
        <w:ind w:left="2020" w:right="420" w:hanging="580"/>
        <w:spacing w:after="0" w:line="282" w:lineRule="auto"/>
        <w:tabs>
          <w:tab w:leader="none" w:pos="200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Warrant Shares purchasable under this Warrant or, if only a portion of the Warrant is being exercised, the portion of the Warrant being cancelled (at the date of such calculation).</w:t>
      </w:r>
    </w:p>
    <w:p>
      <w:pPr>
        <w:spacing w:after="0" w:line="162" w:lineRule="exact"/>
        <w:rPr>
          <w:sz w:val="20"/>
          <w:szCs w:val="20"/>
          <w:color w:val="auto"/>
        </w:rPr>
      </w:pPr>
    </w:p>
    <w:p>
      <w:pPr>
        <w:ind w:left="2020" w:right="420" w:hanging="580"/>
        <w:spacing w:after="0" w:line="282" w:lineRule="auto"/>
        <w:tabs>
          <w:tab w:leader="none" w:pos="200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The Fair Market Value of one (1) share of Common Stock on the trading date immediately preceding the date on which Warrantholder elects to exercise this Warrant.</w:t>
      </w:r>
    </w:p>
    <w:p>
      <w:pPr>
        <w:spacing w:after="0" w:line="162" w:lineRule="exact"/>
        <w:rPr>
          <w:sz w:val="20"/>
          <w:szCs w:val="20"/>
          <w:color w:val="auto"/>
        </w:rPr>
      </w:pPr>
    </w:p>
    <w:p>
      <w:pPr>
        <w:ind w:left="1440"/>
        <w:spacing w:after="0"/>
        <w:tabs>
          <w:tab w:leader="none" w:pos="200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(as adjusted hereunder).</w:t>
      </w:r>
    </w:p>
    <w:p>
      <w:pPr>
        <w:spacing w:after="0" w:line="221" w:lineRule="exact"/>
        <w:rPr>
          <w:sz w:val="20"/>
          <w:szCs w:val="20"/>
          <w:color w:val="auto"/>
        </w:rPr>
      </w:pPr>
    </w:p>
    <w:p>
      <w:pPr>
        <w:jc w:val="both"/>
        <w:ind w:firstLine="1037"/>
        <w:spacing w:after="0" w:line="25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OTC Markets</w:t>
      </w:r>
      <w:r>
        <w:rPr>
          <w:rFonts w:ascii="Times New Roman" w:cs="Times New Roman" w:eastAsia="Times New Roman" w:hAnsi="Times New Roman"/>
          <w:sz w:val="18"/>
          <w:szCs w:val="18"/>
          <w:color w:val="auto"/>
        </w:rPr>
        <w:t>” shall mean either OTC QX or OTC QB of the OTC Markets Group, Inc.</w:t>
      </w:r>
    </w:p>
    <w:p>
      <w:pPr>
        <w:spacing w:after="0" w:line="225" w:lineRule="exact"/>
        <w:rPr>
          <w:sz w:val="20"/>
          <w:szCs w:val="20"/>
          <w:color w:val="auto"/>
        </w:rPr>
      </w:pPr>
    </w:p>
    <w:p>
      <w:pPr>
        <w:jc w:val="both"/>
        <w:ind w:firstLine="5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75" w:lineRule="exact"/>
        <w:rPr>
          <w:sz w:val="20"/>
          <w:szCs w:val="20"/>
          <w:color w:val="auto"/>
        </w:rPr>
      </w:pPr>
    </w:p>
    <w:p>
      <w:pPr>
        <w:jc w:val="both"/>
        <w:ind w:firstLine="1045"/>
        <w:spacing w:after="0" w:line="261" w:lineRule="auto"/>
        <w:tabs>
          <w:tab w:leader="none" w:pos="17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Exercise</w:t>
      </w:r>
      <w:r>
        <w:rPr>
          <w:rFonts w:ascii="Times New Roman" w:cs="Times New Roman" w:eastAsia="Times New Roman" w:hAnsi="Times New Roman"/>
          <w:sz w:val="18"/>
          <w:szCs w:val="18"/>
          <w:color w:val="auto"/>
        </w:rPr>
        <w:t xml:space="preserve">. In the event that immediately prior to the close of business on the Expiration Date, the Fair Market Value of one share of Common Stock (as determined in accordance with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is greater than the then applicable Exercise Price, this Warrant shall be deemed to be automatically exercised on a net exercise issue basis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and the Company shall deliver the applicable number of Warrant Shares to the Warrantholder pursuant to the provisions of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both"/>
        <w:ind w:left="-20" w:firstLine="1045"/>
        <w:spacing w:after="0" w:line="251" w:lineRule="auto"/>
        <w:tabs>
          <w:tab w:leader="none" w:pos="170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Warrantholder’s Exercise Limitations</w:t>
      </w:r>
      <w:r>
        <w:rPr>
          <w:rFonts w:ascii="Times New Roman" w:cs="Times New Roman" w:eastAsia="Times New Roman" w:hAnsi="Times New Roman"/>
          <w:sz w:val="18"/>
          <w:szCs w:val="18"/>
          <w:color w:val="auto"/>
        </w:rPr>
        <w:t>. The Company shall not effect any exercise of this Warrant, and a Warrantholder shall not have the right to exercise any portion of this Warrant, pursuant to Section 1, 5 or otherwise, to the extent that after giving effect to such issuance after exercise as set forth on the applicable Notice of Exercise, the Warrantholder (together with the Warrantholder’s Affiliates (as defined below), and any other persons or entity acting as a group together with the Warrantholder or any of the Warrantholder’s Affiliates (such persons and/or entities, “</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Warrantholder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Warrantholder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Warrantholder or any of its Affiliates or Attribution Parties. Except as set forth in the preceding sentence, for purposes of this Section 1(e), beneficial ownership shall be calculated in accordance with Section 13(d) of the Exchange Act and the rules and regulations promulgated thereunder, it being acknowledged by the Warrantholder that the Company is not representing to the Warrantholder that such calculation is in compliance with Section 13(d) of the Exchange Act and the Warrantholder is solely responsible for any schedules required to be filed in accordance therewith. To the extent that the limitation contained in this Section 1(e) applies, the determination of whether this Warrant is exercisable (in relation to other securities owned by the Warrantholder together with any Affiliates and Attribution Parties) and of which portion of this Warrant is exercisable shall be in the sole discretion of the Warrantholder, and the submission of a Notice of Exercise shall be deemed to be the Warrantholder’s determination of whether this Warrant is exercisable (in relation to other securities owned by the Warrantholder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 of the Warrant that is not in compliance with the Beneficial Ownership Limitation. In addition, a determination as to any group status as contemplated above shall be determined in accordance with Section 13(d) of the Exchange Act and the rules and regulations promulgated thereunder. For purposes of this Section 1(e), in determining the number of outstanding shares of Common Stock, a Warrantholder may rely on the number of outstanding shares of Common Stock as reflected in (A) the Company’s most recent periodic or annual report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as the case may be, (B) a more recent public announcement by the Company or (C) a more recent written notice by the Company or the Transfer Agent setting forth the number of shares of Common Stock outstanding. Upon the written of a Warrantholder, the Company shall within two Trading Days confirm in writing to the Warrantholder the number of shares of Common Stock then outstanding. In any case, the number of outstanding shares of Common Stock shall be determined after giving effect to the conversion or exercise of securities of the Company, including this Warrant, by the Warrantholder or its Affiliates or Attribution Parties since the date as of which such number of outstanding shares of Common Stock was reported. The “</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shall be [9.99%/4.99%] of the number of shares of the Common Stock outstanding immediately after giving effect to the issuance of shares of Common Stock issuable upon exercise of this Warrant. The Warrantholder, upon notice to the Company, may increase or decrease the Beneficial Ownership Limitation provisions of this Section 1(e), provided that the Beneficial Ownership Limitation in no event exceeds 9.99% of the number of shares of the Common Stock outstanding immediately after giving effect to the issuance of shares of Common Stock upon exercise of this Warrant held by the Warrantholder and the provisions of this Section 1(e) shall continue to apply. Any increase in the Beneficial Ownership Limitation will not be effective until the 61st day after such notice is delivered to the Company. The provisions of this paragraph shall be construed and implemented in a manner otherwise than in strict conformity with the terms of this Section 1(e)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1" w:lineRule="exact"/>
        <w:rPr>
          <w:rFonts w:ascii="Times New Roman" w:cs="Times New Roman" w:eastAsia="Times New Roman" w:hAnsi="Times New Roman"/>
          <w:sz w:val="18"/>
          <w:szCs w:val="18"/>
          <w:color w:val="auto"/>
        </w:rPr>
      </w:pPr>
    </w:p>
    <w:p>
      <w:pPr>
        <w:ind w:left="1040" w:hanging="533"/>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ADJUSTMENTS.</w:t>
      </w:r>
    </w:p>
    <w:p>
      <w:pPr>
        <w:spacing w:after="0" w:line="225" w:lineRule="exact"/>
        <w:rPr>
          <w:rFonts w:ascii="Times New Roman" w:cs="Times New Roman" w:eastAsia="Times New Roman" w:hAnsi="Times New Roman"/>
          <w:sz w:val="18"/>
          <w:szCs w:val="18"/>
          <w:color w:val="auto"/>
        </w:rPr>
      </w:pPr>
    </w:p>
    <w:p>
      <w:pPr>
        <w:ind w:left="-20" w:firstLine="1045"/>
        <w:spacing w:after="0" w:line="282" w:lineRule="auto"/>
        <w:tabs>
          <w:tab w:leader="none" w:pos="157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Number of Warrant Shares and Exercise Price</w:t>
      </w:r>
      <w:r>
        <w:rPr>
          <w:rFonts w:ascii="Times New Roman" w:cs="Times New Roman" w:eastAsia="Times New Roman" w:hAnsi="Times New Roman"/>
          <w:sz w:val="18"/>
          <w:szCs w:val="18"/>
          <w:color w:val="auto"/>
        </w:rPr>
        <w:t>. The number and kind of Warrant Shares purchasable upon exercise of this Warrant and the Exercise Price shall be subject to adjustment from time to time as follows:</w:t>
      </w:r>
    </w:p>
    <w:p>
      <w:pPr>
        <w:spacing w:after="0" w:line="161" w:lineRule="exact"/>
        <w:rPr>
          <w:rFonts w:ascii="Times New Roman" w:cs="Times New Roman" w:eastAsia="Times New Roman" w:hAnsi="Times New Roman"/>
          <w:sz w:val="18"/>
          <w:szCs w:val="18"/>
          <w:color w:val="auto"/>
        </w:rPr>
      </w:pPr>
    </w:p>
    <w:p>
      <w:pPr>
        <w:jc w:val="both"/>
        <w:ind w:left="-20" w:firstLine="1564"/>
        <w:spacing w:after="0" w:line="255" w:lineRule="auto"/>
        <w:tabs>
          <w:tab w:leader="none" w:pos="2231"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Subdivisions, Combinations and Other Issuances</w:t>
      </w:r>
      <w:r>
        <w:rPr>
          <w:rFonts w:ascii="Times New Roman" w:cs="Times New Roman" w:eastAsia="Times New Roman" w:hAnsi="Times New Roman"/>
          <w:sz w:val="18"/>
          <w:szCs w:val="18"/>
          <w:color w:val="auto"/>
        </w:rPr>
        <w:t xml:space="preserve">. If the Company shall at any time after the Date of Issuance but prior to the Expiration Date subdivide its shares of capital stock of the same class as the Warrant Shares, by split-up or otherwise, or combine such shares of capital stock, pay a dividend or issue additional shares of capital stock as a dividend with respect to any shares of such capital stock, the number of Warrant Shares issuable on the exercise of this Warrant shall forthwith be proportionately increased in the case of a subdivision, dividend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7" w:name="page8"/>
    <w:bookmarkEnd w:id="7"/>
    <w:p>
      <w:pPr>
        <w:jc w:val="both"/>
        <w:ind w:left="-20" w:firstLine="1564"/>
        <w:spacing w:after="0" w:line="253" w:lineRule="auto"/>
        <w:tabs>
          <w:tab w:leader="none" w:pos="22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 Reorganizations and Consolidation</w:t>
      </w:r>
      <w:r>
        <w:rPr>
          <w:rFonts w:ascii="Times New Roman" w:cs="Times New Roman" w:eastAsia="Times New Roman" w:hAnsi="Times New Roman"/>
          <w:sz w:val="18"/>
          <w:szCs w:val="18"/>
          <w:color w:val="auto"/>
        </w:rPr>
        <w:t xml:space="preserve">. In case of any reclassification, capital reorganization or change in the capital stock of the Company (other than as a result of a subdivision, combination or stock dividend provided for in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190" w:lineRule="exact"/>
        <w:rPr>
          <w:rFonts w:ascii="Times New Roman" w:cs="Times New Roman" w:eastAsia="Times New Roman" w:hAnsi="Times New Roman"/>
          <w:sz w:val="18"/>
          <w:szCs w:val="18"/>
          <w:color w:val="auto"/>
        </w:rPr>
      </w:pPr>
    </w:p>
    <w:p>
      <w:pPr>
        <w:jc w:val="both"/>
        <w:ind w:left="-20" w:firstLine="1045"/>
        <w:spacing w:after="0" w:line="255" w:lineRule="auto"/>
        <w:tabs>
          <w:tab w:leader="none" w:pos="17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Warrantholder</w:t>
      </w:r>
      <w:r>
        <w:rPr>
          <w:rFonts w:ascii="Times New Roman" w:cs="Times New Roman" w:eastAsia="Times New Roman" w:hAnsi="Times New Roman"/>
          <w:sz w:val="18"/>
          <w:szCs w:val="18"/>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89" w:lineRule="exact"/>
        <w:rPr>
          <w:rFonts w:ascii="Times New Roman" w:cs="Times New Roman" w:eastAsia="Times New Roman" w:hAnsi="Times New Roman"/>
          <w:sz w:val="18"/>
          <w:szCs w:val="18"/>
          <w:color w:val="auto"/>
        </w:rPr>
      </w:pPr>
    </w:p>
    <w:p>
      <w:pPr>
        <w:jc w:val="both"/>
        <w:ind w:left="-20" w:firstLine="1045"/>
        <w:spacing w:after="0" w:line="266" w:lineRule="auto"/>
        <w:tabs>
          <w:tab w:leader="none" w:pos="1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made to the nearest cent or the nearest whole share, as the case may be.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8" w:name="page9"/>
    <w:bookmarkEnd w:id="8"/>
    <w:p>
      <w:pPr>
        <w:ind w:left="1612" w:hanging="575"/>
        <w:spacing w:after="0"/>
        <w:tabs>
          <w:tab w:leader="none" w:pos="1612"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upon a Change of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564"/>
        <w:spacing w:after="0" w:line="255" w:lineRule="auto"/>
        <w:tabs>
          <w:tab w:leader="none" w:pos="220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assume the obligation to deliver to the holder, such Alternate Consideration as, in accordance with the foregoing provisions, the holder may be entitled to purchase, and the other obligations under this Warrant.</w:t>
      </w:r>
    </w:p>
    <w:p>
      <w:pPr>
        <w:spacing w:after="0" w:line="185" w:lineRule="exact"/>
        <w:rPr>
          <w:rFonts w:ascii="Times New Roman" w:cs="Times New Roman" w:eastAsia="Times New Roman" w:hAnsi="Times New Roman"/>
          <w:sz w:val="18"/>
          <w:szCs w:val="18"/>
          <w:color w:val="auto"/>
        </w:rPr>
      </w:pPr>
    </w:p>
    <w:p>
      <w:pPr>
        <w:jc w:val="both"/>
        <w:ind w:left="-8" w:firstLine="1564"/>
        <w:spacing w:after="0" w:line="257" w:lineRule="auto"/>
        <w:tabs>
          <w:tab w:leader="none" w:pos="2363"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w:t>
      </w:r>
    </w:p>
    <w:p>
      <w:pPr>
        <w:jc w:val="both"/>
        <w:ind w:left="-8" w:firstLine="8"/>
        <w:spacing w:after="0" w:line="255" w:lineRule="auto"/>
        <w:tabs>
          <w:tab w:leader="none" w:pos="32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(as these terms are used for purposes of Section 13(d) and 14(d)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or shall become the “beneficial owner” (as defined in Rule 13d-3 under the Exchange Act), directly or indirectly at least a majority of the voting power of the capital stock of the Company.</w:t>
      </w:r>
    </w:p>
    <w:p>
      <w:pPr>
        <w:spacing w:after="0" w:line="186" w:lineRule="exact"/>
        <w:rPr>
          <w:rFonts w:ascii="Times New Roman" w:cs="Times New Roman" w:eastAsia="Times New Roman" w:hAnsi="Times New Roman"/>
          <w:sz w:val="18"/>
          <w:szCs w:val="18"/>
          <w:color w:val="auto"/>
        </w:rPr>
      </w:pPr>
    </w:p>
    <w:p>
      <w:pPr>
        <w:jc w:val="both"/>
        <w:ind w:left="-8" w:firstLine="1564"/>
        <w:spacing w:after="0" w:line="253" w:lineRule="auto"/>
        <w:tabs>
          <w:tab w:leader="none" w:pos="220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a Change of Control that is required to be and is approved by the board of directors of the Company (which is not controlled by Warrantholder and holders of other warrants issued as of the date hereof, or otherwise is approved by the disinterested members of the board of directors of the Company who do not hold any warrants issued as of the date hereof), the Company or any Successor Entity (as defined above) shall, at the Holder’s option, exercisable at any time concurrently with, or within 30 days after, the consummation of the Change of Control (or, if later, the date of the public announcement of the applicable Change of Control), purchase this Warrant from the Holder by paying to the Holder an amount of cash equal to the Black Scholes Value of the remaining unexercised portion of this Warrant on the date of the consummation of such Change of Control. Notwithstanding anything herein to the contrary, the Holder may not require the Company or any Successor Entity to repurchase the Warrants for the Black Scholes Value in connection with a Change of Control that (i) is not approved by, or is not required to be approved by, the Company’s board of directors or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within the Company’s control.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this Warrant based on the Black and Scholes Option Pricing Model obtained from the “OV” function on Bloomberg, L.P.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determined as of the day of consummation of the applicable Change of Control for pricing purposes and reflecting (A) a risk-free interest rate corresponding to the U.S. Treasury rate for a period equal to the time between the date of the public announcement of the applicable Change of Control and the Termination Date, (B) an expected volatility equal to the 100 day volatility obtained from the HVT function on Bloomberg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Change of Control and (C) a remaining option time equal to the time between the date of the public announcement of the applicable Change of Control and the Termination Date. The payment of the Black Scholes Value will be made by wire transfer of immediately available funds (or by delivery of such other consideration, as applicable) within five Business Days of the Holder’s election (or, if later, on the effective date of the Change of Control).</w:t>
      </w:r>
    </w:p>
    <w:p>
      <w:pPr>
        <w:spacing w:after="0" w:line="200" w:lineRule="exact"/>
        <w:rPr>
          <w:sz w:val="20"/>
          <w:szCs w:val="20"/>
          <w:color w:val="auto"/>
        </w:rPr>
      </w:pPr>
    </w:p>
    <w:p>
      <w:pPr>
        <w:spacing w:after="0" w:line="21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9" w:name="page10"/>
    <w:bookmarkEnd w:id="9"/>
    <w:p>
      <w:pPr>
        <w:jc w:val="both"/>
        <w:ind w:left="-8" w:firstLine="527"/>
        <w:spacing w:after="0" w:line="254" w:lineRule="auto"/>
        <w:tabs>
          <w:tab w:leader="none" w:pos="114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SHARES; CHARGES, TAXES AND EXPENSES.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 Issuance of Warrant Shares shall be made without charge to the Warrantholder for any issue or transfer tax or other incidental expense in respect of the issuance of such Warrant Shares, all of which taxes and expenses shall be paid by the Company, and such Warrant Shares shall be issued in the name of the Warrantholder or in such name or names as may be directed by the Warrantholder;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Warrantholder, this Warrant when surrendered for exercise shall be accompanied by the Assignment Form attached hereto duly executed by the Warrantholder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6" w:lineRule="exact"/>
        <w:rPr>
          <w:rFonts w:ascii="Times New Roman" w:cs="Times New Roman" w:eastAsia="Times New Roman" w:hAnsi="Times New Roman"/>
          <w:sz w:val="18"/>
          <w:szCs w:val="18"/>
          <w:color w:val="auto"/>
        </w:rPr>
      </w:pPr>
    </w:p>
    <w:p>
      <w:pPr>
        <w:jc w:val="both"/>
        <w:ind w:left="-8" w:firstLine="527"/>
        <w:spacing w:after="0" w:line="266" w:lineRule="auto"/>
        <w:tabs>
          <w:tab w:leader="none" w:pos="122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76" w:lineRule="exact"/>
        <w:rPr>
          <w:rFonts w:ascii="Times New Roman" w:cs="Times New Roman" w:eastAsia="Times New Roman" w:hAnsi="Times New Roman"/>
          <w:sz w:val="18"/>
          <w:szCs w:val="18"/>
          <w:color w:val="auto"/>
        </w:rPr>
      </w:pPr>
    </w:p>
    <w:p>
      <w:pPr>
        <w:ind w:left="1052" w:hanging="533"/>
        <w:spacing w:after="0"/>
        <w:tabs>
          <w:tab w:leader="none" w:pos="105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OF EXERCISE.</w:t>
      </w:r>
    </w:p>
    <w:p>
      <w:pPr>
        <w:spacing w:after="0" w:line="225" w:lineRule="exact"/>
        <w:rPr>
          <w:rFonts w:ascii="Times New Roman" w:cs="Times New Roman" w:eastAsia="Times New Roman" w:hAnsi="Times New Roman"/>
          <w:sz w:val="18"/>
          <w:szCs w:val="18"/>
          <w:color w:val="auto"/>
        </w:rPr>
      </w:pPr>
    </w:p>
    <w:p>
      <w:pPr>
        <w:jc w:val="both"/>
        <w:ind w:left="-8" w:firstLine="1045"/>
        <w:spacing w:after="0" w:line="252" w:lineRule="auto"/>
        <w:tabs>
          <w:tab w:leader="none" w:pos="1719"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by facsimile or e-mail attachment and paying the Exercise Price (unless the Warrantholder has elected to Net Exercise, if applicable) then in effect with respect to the number of Warrant Shares as to which the Warrant is being exercised. No ink-original Notice of Exercise shall be required, nor any medallion guarantee (or other type of guarantee or notarization) of any Notice of Exercise shall be required This Warrant shall be deemed to have been exercised immediately prior to the close of business on the date of the delivery to the Company of the Notice of Exercise and payment of the Exercise Price (unless the Warrantholder has elected to Net Exercise, if applicable)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Warrantholder by crediting the account of the holder’s prime broker with The Depository Trust Company through its Deposit or Withdrawal at Custodian system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if the Company is then a participant in such system and either</w:t>
      </w:r>
    </w:p>
    <w:p>
      <w:pPr>
        <w:spacing w:after="0" w:line="4"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9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two (2) trading days from the delivery to the Company of the Notice of Exercise and payment of the aggregate Exercise Price (unless exercised by means of a cashless exercise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Delivery Date</w:t>
      </w:r>
      <w:r>
        <w:rPr>
          <w:rFonts w:ascii="Times New Roman" w:cs="Times New Roman" w:eastAsia="Times New Roman" w:hAnsi="Times New Roman"/>
          <w:sz w:val="18"/>
          <w:szCs w:val="18"/>
          <w:color w:val="auto"/>
        </w:rPr>
        <w:t>”). The Warrant Shares shall be deemed to have been issued, and the holder or any other person so designated to be named therein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become a holder of record of such shares for all purposes, as of the date the Warrant has been exercised, with payment to the Company of the Exercise Price (or by Net Exercise, if applicable) and all taxes required to be paid by the holder, if any, prior to the issuance of such shares, having been paid.</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0" w:name="page11"/>
    <w:bookmarkEnd w:id="10"/>
    <w:p>
      <w:pPr>
        <w:ind w:left="-20" w:right="20" w:firstLine="1045"/>
        <w:spacing w:after="0" w:line="282" w:lineRule="auto"/>
        <w:tabs>
          <w:tab w:leader="none" w:pos="177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20" w:firstLine="527"/>
        <w:spacing w:after="0" w:line="266" w:lineRule="auto"/>
        <w:tabs>
          <w:tab w:leader="none" w:pos="11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76" w:lineRule="exact"/>
        <w:rPr>
          <w:rFonts w:ascii="Times New Roman" w:cs="Times New Roman" w:eastAsia="Times New Roman" w:hAnsi="Times New Roman"/>
          <w:sz w:val="18"/>
          <w:szCs w:val="18"/>
          <w:color w:val="auto"/>
        </w:rPr>
      </w:pPr>
    </w:p>
    <w:p>
      <w:pPr>
        <w:ind w:left="1040" w:hanging="533"/>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SECURITIES LAWS.</w:t>
      </w:r>
    </w:p>
    <w:p>
      <w:pPr>
        <w:spacing w:after="0" w:line="225" w:lineRule="exact"/>
        <w:rPr>
          <w:rFonts w:ascii="Times New Roman" w:cs="Times New Roman" w:eastAsia="Times New Roman" w:hAnsi="Times New Roman"/>
          <w:sz w:val="18"/>
          <w:szCs w:val="18"/>
          <w:color w:val="auto"/>
        </w:rPr>
      </w:pPr>
    </w:p>
    <w:p>
      <w:pPr>
        <w:jc w:val="both"/>
        <w:ind w:left="-20" w:firstLine="1045"/>
        <w:spacing w:after="0" w:line="258" w:lineRule="auto"/>
        <w:tabs>
          <w:tab w:leader="none" w:pos="17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83" w:lineRule="exact"/>
        <w:rPr>
          <w:rFonts w:ascii="Times New Roman" w:cs="Times New Roman" w:eastAsia="Times New Roman" w:hAnsi="Times New Roman"/>
          <w:sz w:val="18"/>
          <w:szCs w:val="18"/>
          <w:color w:val="auto"/>
        </w:rPr>
      </w:pPr>
    </w:p>
    <w:p>
      <w:pPr>
        <w:jc w:val="both"/>
        <w:ind w:left="-20" w:firstLine="1045"/>
        <w:spacing w:after="0" w:line="261" w:lineRule="auto"/>
        <w:tabs>
          <w:tab w:leader="none" w:pos="176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and as a condition to the sale or transfer of the Warrant Shares issuable upon exercise of this Warrant, the Warrantholder shall furnish to the Company such certificates, representations, agreements and other information,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80" w:lineRule="exact"/>
        <w:rPr>
          <w:rFonts w:ascii="Times New Roman" w:cs="Times New Roman" w:eastAsia="Times New Roman" w:hAnsi="Times New Roman"/>
          <w:sz w:val="18"/>
          <w:szCs w:val="18"/>
          <w:color w:val="auto"/>
        </w:rPr>
      </w:pPr>
    </w:p>
    <w:p>
      <w:pPr>
        <w:jc w:val="both"/>
        <w:ind w:left="-20" w:firstLine="1045"/>
        <w:spacing w:after="0" w:line="266" w:lineRule="auto"/>
        <w:tabs>
          <w:tab w:leader="none" w:pos="1765"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1" w:name="page12"/>
    <w:bookmarkEnd w:id="11"/>
    <w:p>
      <w:pPr>
        <w:jc w:val="both"/>
        <w:ind w:left="1040"/>
        <w:spacing w:after="0" w:line="270" w:lineRule="auto"/>
        <w:rPr>
          <w:sz w:val="20"/>
          <w:szCs w:val="20"/>
          <w:color w:val="auto"/>
        </w:rPr>
      </w:pPr>
      <w:r>
        <w:rPr>
          <w:rFonts w:ascii="Times New Roman" w:cs="Times New Roman" w:eastAsia="Times New Roman" w:hAnsi="Times New Roman"/>
          <w:sz w:val="17"/>
          <w:szCs w:val="17"/>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178" w:lineRule="exact"/>
        <w:rPr>
          <w:sz w:val="20"/>
          <w:szCs w:val="20"/>
          <w:color w:val="auto"/>
        </w:rPr>
      </w:pPr>
    </w:p>
    <w:p>
      <w:pPr>
        <w:jc w:val="both"/>
        <w:ind w:left="-20" w:firstLine="527"/>
        <w:spacing w:after="0" w:line="261" w:lineRule="auto"/>
        <w:tabs>
          <w:tab w:leader="none" w:pos="13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(but not the posting of any surety or other bond) or, in the case of any such mutilation, on surrender and cancellation of such Warrant, the Company at its expense will execute and deliver, in lieu thereof, a new Warrant of like tenor.</w:t>
      </w:r>
    </w:p>
    <w:p>
      <w:pPr>
        <w:spacing w:after="0" w:line="180" w:lineRule="exact"/>
        <w:rPr>
          <w:rFonts w:ascii="Times New Roman" w:cs="Times New Roman" w:eastAsia="Times New Roman" w:hAnsi="Times New Roman"/>
          <w:sz w:val="18"/>
          <w:szCs w:val="18"/>
          <w:color w:val="auto"/>
        </w:rPr>
      </w:pPr>
    </w:p>
    <w:p>
      <w:pPr>
        <w:jc w:val="both"/>
        <w:ind w:left="-20" w:firstLine="527"/>
        <w:spacing w:after="0" w:line="261" w:lineRule="auto"/>
        <w:tabs>
          <w:tab w:leader="none" w:pos="123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Except to the extent as may be waived by the Warrantholder,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0" w:lineRule="exact"/>
        <w:rPr>
          <w:rFonts w:ascii="Times New Roman" w:cs="Times New Roman" w:eastAsia="Times New Roman" w:hAnsi="Times New Roman"/>
          <w:sz w:val="18"/>
          <w:szCs w:val="18"/>
          <w:color w:val="auto"/>
        </w:rPr>
      </w:pPr>
    </w:p>
    <w:p>
      <w:pPr>
        <w:jc w:val="both"/>
        <w:ind w:left="-20" w:firstLine="527"/>
        <w:spacing w:after="0" w:line="266" w:lineRule="auto"/>
        <w:tabs>
          <w:tab w:leader="none" w:pos="119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2" w:name="page13"/>
    <w:bookmarkEnd w:id="12"/>
    <w:p>
      <w:pPr>
        <w:ind w:left="1040" w:hanging="533"/>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EXCHANGES.</w:t>
      </w:r>
    </w:p>
    <w:p>
      <w:pPr>
        <w:spacing w:after="0" w:line="225" w:lineRule="exact"/>
        <w:rPr>
          <w:rFonts w:ascii="Times New Roman" w:cs="Times New Roman" w:eastAsia="Times New Roman" w:hAnsi="Times New Roman"/>
          <w:sz w:val="18"/>
          <w:szCs w:val="18"/>
          <w:color w:val="auto"/>
        </w:rPr>
      </w:pPr>
    </w:p>
    <w:p>
      <w:pPr>
        <w:jc w:val="both"/>
        <w:ind w:left="-20" w:firstLine="1045"/>
        <w:spacing w:after="0" w:line="254" w:lineRule="auto"/>
        <w:tabs>
          <w:tab w:leader="none" w:pos="17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applicable federal and state securities laws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this Warrant may be transferred by the Warrantholder to any Affiliate (as defined below) with respect to any or all of the Warrant Shares purchasable hereunder (a “</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xml:space="preserve">”). For a transfer of this Warrant as an entirety by the Warrantholder, upon surrender of this Warrant to the Company, together with the Notice of Assignment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186" w:lineRule="exact"/>
        <w:rPr>
          <w:rFonts w:ascii="Times New Roman" w:cs="Times New Roman" w:eastAsia="Times New Roman" w:hAnsi="Times New Roman"/>
          <w:sz w:val="18"/>
          <w:szCs w:val="18"/>
          <w:color w:val="auto"/>
        </w:rPr>
      </w:pPr>
    </w:p>
    <w:p>
      <w:pPr>
        <w:jc w:val="both"/>
        <w:ind w:left="-20" w:firstLine="1045"/>
        <w:spacing w:after="0" w:line="256" w:lineRule="auto"/>
        <w:tabs>
          <w:tab w:leader="none" w:pos="178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as used herein includes any warrants into which this Warrant may be divided or exchanged.</w:t>
      </w:r>
    </w:p>
    <w:p>
      <w:pPr>
        <w:spacing w:after="0" w:line="187" w:lineRule="exact"/>
        <w:rPr>
          <w:rFonts w:ascii="Times New Roman" w:cs="Times New Roman" w:eastAsia="Times New Roman" w:hAnsi="Times New Roman"/>
          <w:sz w:val="18"/>
          <w:szCs w:val="18"/>
          <w:color w:val="auto"/>
        </w:rPr>
      </w:pPr>
    </w:p>
    <w:p>
      <w:pPr>
        <w:jc w:val="both"/>
        <w:ind w:left="-20" w:firstLine="527"/>
        <w:spacing w:after="0" w:line="254" w:lineRule="auto"/>
        <w:tabs>
          <w:tab w:leader="none" w:pos="11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3" w:name="page14"/>
    <w:bookmarkEnd w:id="13"/>
    <w:p>
      <w:pPr>
        <w:ind w:left="1040" w:hanging="533"/>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rFonts w:ascii="Times New Roman" w:cs="Times New Roman" w:eastAsia="Times New Roman" w:hAnsi="Times New Roman"/>
          <w:sz w:val="18"/>
          <w:szCs w:val="18"/>
          <w:color w:val="auto"/>
        </w:rPr>
      </w:pPr>
    </w:p>
    <w:p>
      <w:pPr>
        <w:jc w:val="both"/>
        <w:ind w:left="-20" w:firstLine="1045"/>
        <w:spacing w:after="0" w:line="261" w:lineRule="auto"/>
        <w:tabs>
          <w:tab w:leader="none" w:pos="16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80" w:lineRule="exact"/>
        <w:rPr>
          <w:rFonts w:ascii="Times New Roman" w:cs="Times New Roman" w:eastAsia="Times New Roman" w:hAnsi="Times New Roman"/>
          <w:sz w:val="18"/>
          <w:szCs w:val="18"/>
          <w:color w:val="auto"/>
        </w:rPr>
      </w:pPr>
    </w:p>
    <w:p>
      <w:pPr>
        <w:jc w:val="both"/>
        <w:ind w:left="-20" w:firstLine="1045"/>
        <w:spacing w:after="0" w:line="254" w:lineRule="auto"/>
        <w:tabs>
          <w:tab w:leader="none" w:pos="187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 W. Forsyth Street, Suite 200, Jacksonville, FL 32202 Attn: Mr. Peter L. Hoang, e-mail: phoang@tapimmune.com;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 To the extent that any notice provided in this Warrant constitutes, or contains, material, non-public information regarding the Company or any of the Subsidiaries, the Company shall simultaneously file such notice with the Commission pursuant to a Current Report on Form 8-K.</w:t>
      </w:r>
    </w:p>
    <w:p>
      <w:pPr>
        <w:spacing w:after="0" w:line="189" w:lineRule="exact"/>
        <w:rPr>
          <w:rFonts w:ascii="Times New Roman" w:cs="Times New Roman" w:eastAsia="Times New Roman" w:hAnsi="Times New Roman"/>
          <w:sz w:val="18"/>
          <w:szCs w:val="18"/>
          <w:color w:val="auto"/>
        </w:rPr>
      </w:pPr>
    </w:p>
    <w:p>
      <w:pPr>
        <w:ind w:left="4760" w:right="120" w:hanging="3735"/>
        <w:spacing w:after="0" w:line="532" w:lineRule="auto"/>
        <w:tabs>
          <w:tab w:leader="none" w:pos="166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provision hereof shall in no way affect the validity or enforceability of any other provisions. [</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4"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 WITNESS WHEREOF, this Common Stock Purchase Warrant is issued effective as of the date first set forth above.</w:t>
      </w:r>
    </w:p>
    <w:p>
      <w:pPr>
        <w:spacing w:after="0" w:line="2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29" w:lineRule="exact"/>
        <w:rPr>
          <w:sz w:val="20"/>
          <w:szCs w:val="20"/>
          <w:color w:val="auto"/>
        </w:rPr>
      </w:pPr>
    </w:p>
    <w:tbl>
      <w:tblPr>
        <w:tblLayout w:type="fixed"/>
        <w:tblInd w:w="520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Peter L. Hoang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President</w:t>
            </w:r>
          </w:p>
        </w:tc>
      </w:tr>
    </w:tbl>
    <w:p>
      <w:pPr>
        <w:spacing w:after="0" w:line="19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Warrant 2018 PIPE</w:t>
      </w: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447675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760" w:top="904" w:right="23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TapImmune Inc.</w:t>
      </w:r>
    </w:p>
    <w:p>
      <w:pPr>
        <w:spacing w:after="0" w:line="225" w:lineRule="exact"/>
        <w:rPr>
          <w:sz w:val="20"/>
          <w:szCs w:val="20"/>
          <w:color w:val="auto"/>
        </w:rPr>
      </w:pPr>
    </w:p>
    <w:p>
      <w:pPr>
        <w:jc w:val="both"/>
        <w:ind w:firstLine="519"/>
        <w:spacing w:after="0" w:line="282" w:lineRule="auto"/>
        <w:rPr>
          <w:sz w:val="20"/>
          <w:szCs w:val="20"/>
          <w:color w:val="auto"/>
        </w:rPr>
      </w:pPr>
      <w:r>
        <w:rPr>
          <w:rFonts w:ascii="Times New Roman" w:cs="Times New Roman" w:eastAsia="Times New Roman" w:hAnsi="Times New Roman"/>
          <w:sz w:val="18"/>
          <w:szCs w:val="18"/>
          <w:color w:val="auto"/>
        </w:rPr>
        <w:t>The undersigned, the Warrantholder of the attached Warrant, hereby irrevocably elects to exercise the purchase right represented by such Warrant for, and to purchase thereunder, __________________________ (________) shares of Common Stock of TapImmune Inc. and (choose one)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 herewith makes payment of ___________________________ Dollars ($_________) thereof</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__________ elects to Net Exercise the Warrant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thereof.</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undersigned requests that the certificates or book entry position evidencing the shares to be acquired pursuant to such exercise be issued in the</w:t>
      </w:r>
    </w:p>
    <w:p>
      <w:pPr>
        <w:spacing w:after="0" w:line="27" w:lineRule="exact"/>
        <w:rPr>
          <w:sz w:val="20"/>
          <w:szCs w:val="20"/>
          <w:color w:val="auto"/>
        </w:rPr>
      </w:pPr>
    </w:p>
    <w:p>
      <w:pPr>
        <w:spacing w:after="0"/>
        <w:tabs>
          <w:tab w:leader="none" w:pos="980" w:val="left"/>
          <w:tab w:leader="none" w:pos="1780" w:val="left"/>
          <w:tab w:leader="none" w:pos="2640" w:val="left"/>
          <w:tab w:leader="none" w:pos="3900" w:val="left"/>
          <w:tab w:leader="none" w:pos="4640" w:val="left"/>
          <w:tab w:leader="none" w:pos="9060" w:val="left"/>
          <w:tab w:leader="none" w:pos="10140" w:val="left"/>
          <w:tab w:leader="none" w:pos="11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and</w:t>
      </w:r>
      <w:r>
        <w:rPr>
          <w:sz w:val="20"/>
          <w:szCs w:val="20"/>
          <w:color w:val="auto"/>
        </w:rPr>
        <w:tab/>
      </w:r>
      <w:r>
        <w:rPr>
          <w:rFonts w:ascii="Times New Roman" w:cs="Times New Roman" w:eastAsia="Times New Roman" w:hAnsi="Times New Roman"/>
          <w:sz w:val="18"/>
          <w:szCs w:val="18"/>
          <w:color w:val="auto"/>
        </w:rPr>
        <w:t>delivered</w:t>
      </w:r>
      <w:r>
        <w:rPr>
          <w:sz w:val="20"/>
          <w:szCs w:val="20"/>
          <w:color w:val="auto"/>
        </w:rPr>
        <w:tab/>
      </w: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__________________________________________,</w:t>
      </w:r>
      <w:r>
        <w:rPr>
          <w:sz w:val="20"/>
          <w:szCs w:val="20"/>
          <w:color w:val="auto"/>
        </w:rPr>
        <w:tab/>
      </w:r>
      <w:r>
        <w:rPr>
          <w:rFonts w:ascii="Times New Roman" w:cs="Times New Roman" w:eastAsia="Times New Roman" w:hAnsi="Times New Roman"/>
          <w:sz w:val="18"/>
          <w:szCs w:val="18"/>
          <w:color w:val="auto"/>
        </w:rPr>
        <w:t>whose</w:t>
      </w:r>
      <w:r>
        <w:rPr>
          <w:sz w:val="20"/>
          <w:szCs w:val="20"/>
          <w:color w:val="auto"/>
        </w:rPr>
        <w:tab/>
      </w: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07" w:lineRule="exact"/>
        <w:rPr>
          <w:sz w:val="20"/>
          <w:szCs w:val="20"/>
          <w:color w:val="auto"/>
        </w:rPr>
      </w:pPr>
    </w:p>
    <w:p>
      <w:pPr>
        <w:jc w:val="both"/>
        <w:ind w:firstLine="519"/>
        <w:spacing w:after="0" w:line="266" w:lineRule="auto"/>
        <w:rPr>
          <w:sz w:val="20"/>
          <w:szCs w:val="20"/>
          <w:color w:val="auto"/>
        </w:rPr>
      </w:pPr>
      <w:r>
        <w:rPr>
          <w:rFonts w:ascii="Times New Roman" w:cs="Times New Roman" w:eastAsia="Times New Roman" w:hAnsi="Times New Roman"/>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17145</wp:posOffset>
            </wp:positionV>
            <wp:extent cx="23926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must conform in all respects to name of the Warrantholder as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specified on the face of the Warrant)</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297180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151765</wp:posOffset>
            </wp:positionV>
            <wp:extent cx="36188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734695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ASSIGNMENT FORM</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VALUE RECEIVED, [_________]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hereby sells, assigns and transfers all of the rights of the undersigned Assignor under the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attached Warrant with respect to the number of shares of common stock of TapImmune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covered thereby set forth below, to the following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and, in connection with such transfer, represents and warrants to the Company that the transfer is in compliance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 and applicable federal and state securities laws:</w:t>
            </w:r>
          </w:p>
        </w:tc>
        <w:tc>
          <w:tcPr>
            <w:tcW w:w="13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414"/>
        </w:trPr>
        <w:tc>
          <w:tcPr>
            <w:tcW w:w="1620" w:type="dxa"/>
            <w:vAlign w:val="bottom"/>
          </w:tcPr>
          <w:p>
            <w:pPr>
              <w:spacing w:after="0"/>
              <w:rPr>
                <w:sz w:val="24"/>
                <w:szCs w:val="24"/>
                <w:color w:val="auto"/>
              </w:rPr>
            </w:pPr>
          </w:p>
        </w:tc>
        <w:tc>
          <w:tcPr>
            <w:tcW w:w="2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NAME OF ASSIGNEE</w:t>
            </w:r>
          </w:p>
        </w:tc>
        <w:tc>
          <w:tcPr>
            <w:tcW w:w="1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ADDRESS/FAX NUMBER</w:t>
            </w:r>
          </w:p>
        </w:tc>
      </w:tr>
      <w:tr>
        <w:trPr>
          <w:trHeight w:val="432"/>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2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25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Signature:</w:t>
            </w:r>
          </w:p>
        </w:tc>
        <w:tc>
          <w:tcPr>
            <w:tcW w:w="4560" w:type="dxa"/>
            <w:vAlign w:val="bottom"/>
            <w:tcBorders>
              <w:bottom w:val="single" w:sz="8" w:color="auto"/>
            </w:tcBorders>
          </w:tcPr>
          <w:p>
            <w:pPr>
              <w:spacing w:after="0"/>
              <w:rPr>
                <w:sz w:val="24"/>
                <w:szCs w:val="24"/>
                <w:color w:val="auto"/>
              </w:rPr>
            </w:pPr>
          </w:p>
        </w:tc>
      </w:tr>
      <w:tr>
        <w:trPr>
          <w:trHeight w:val="426"/>
        </w:trPr>
        <w:tc>
          <w:tcPr>
            <w:tcW w:w="1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Witness:</w:t>
            </w:r>
          </w:p>
        </w:tc>
        <w:tc>
          <w:tcPr>
            <w:tcW w:w="4560" w:type="dxa"/>
            <w:vAlign w:val="bottom"/>
            <w:tcBorders>
              <w:bottom w:val="single" w:sz="8" w:color="auto"/>
            </w:tcBorders>
          </w:tcPr>
          <w:p>
            <w:pPr>
              <w:spacing w:after="0"/>
              <w:rPr>
                <w:sz w:val="24"/>
                <w:szCs w:val="24"/>
                <w:color w:val="auto"/>
              </w:rPr>
            </w:pPr>
          </w:p>
        </w:tc>
      </w:tr>
      <w:tr>
        <w:trPr>
          <w:trHeight w:val="426"/>
        </w:trPr>
        <w:tc>
          <w:tcPr>
            <w:tcW w:w="16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ASSIGNEE ACKNOWLEDGMENT</w:t>
            </w:r>
          </w:p>
        </w:tc>
      </w:tr>
    </w:tbl>
    <w:p>
      <w:pPr>
        <w:spacing w:after="0" w:line="198" w:lineRule="exact"/>
        <w:rPr>
          <w:sz w:val="20"/>
          <w:szCs w:val="20"/>
          <w:color w:val="auto"/>
        </w:rPr>
      </w:pPr>
    </w:p>
    <w:p>
      <w:pPr>
        <w:jc w:val="both"/>
        <w:ind w:firstLine="519"/>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thereof.</w:t>
      </w:r>
    </w:p>
    <w:p>
      <w:pPr>
        <w:spacing w:after="0" w:line="17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jc w:val="center"/>
        <w:ind w:left="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36277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36277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36277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883285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4.2</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WARRANT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WARRANT AND THE SECURITIES ISSUABLE UPON THE EXERCISE HEREOF HAVE NOT BEEN REGISTERED UNDER THE SECURITIES ACT OF 1933, AS AMENDED. THEY MAY NOT BE SOLD, OFFERED FOR SALE, PLEDGED, HYPOTHECATED OR OTHERWISE TRANSFERRED EXCEPT PURSUANT TO AN EFFECTIVE REGISTRATION STATEMENT UNDER THE SECURITIES ACT OF 1933, AS AMENDED, OR AN OPINION OF COUNSEL SATISFACTORY TO THE COMPANY THAT REGISTRATION IS NOT REQUIRED UNDER SUCH ACT OR UNLESS SOLD IN ACCORDANCE WITH RULE 144 UNDER SUCH ACT.</w:t>
      </w:r>
    </w:p>
    <w:p>
      <w:pPr>
        <w:sectPr>
          <w:pgSz w:w="11900" w:h="16838" w:orient="portrait"/>
          <w:cols w:equalWidth="0" w:num="1">
            <w:col w:w="11420"/>
          </w:cols>
          <w:pgMar w:left="240" w:top="351" w:right="239" w:bottom="1440" w:gutter="0" w:footer="0" w:header="0"/>
        </w:sectPr>
      </w:pP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NO.:______________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ISSUANCE: [_________], 2018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[_________], 2023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NUMBER OF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adjustment hereunder)</w:t>
      </w:r>
    </w:p>
    <w:p>
      <w:pPr>
        <w:spacing w:after="0" w:line="416" w:lineRule="exact"/>
        <w:rPr>
          <w:sz w:val="20"/>
          <w:szCs w:val="20"/>
          <w:color w:val="auto"/>
        </w:rPr>
      </w:pPr>
    </w:p>
    <w:p>
      <w:pPr>
        <w:sectPr>
          <w:pgSz w:w="11900" w:h="16838" w:orient="portrait"/>
          <w:cols w:equalWidth="0" w:num="2">
            <w:col w:w="8280" w:space="720"/>
            <w:col w:w="2420"/>
          </w:cols>
          <w:pgMar w:left="240" w:top="351" w:right="239" w:bottom="1440" w:gutter="0" w:footer="0" w:header="0"/>
          <w:type w:val="continuous"/>
        </w:sectPr>
      </w:pP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TO PURCHASE SHARES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COMMON STOCK 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TAPIMMUNE INC.</w:t>
      </w:r>
    </w:p>
    <w:p>
      <w:pPr>
        <w:sectPr>
          <w:pgSz w:w="11900" w:h="16838" w:orient="portrait"/>
          <w:cols w:equalWidth="0" w:num="1">
            <w:col w:w="11420"/>
          </w:cols>
          <w:pgMar w:left="240" w:top="351" w:right="239" w:bottom="1440" w:gutter="0" w:footer="0" w:header="0"/>
          <w:type w:val="continuous"/>
        </w:sectPr>
      </w:pP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This Warrant is issued to__________________, or its registered assigns (including any successors or assigns, the “</w:t>
      </w:r>
      <w:r>
        <w:rPr>
          <w:rFonts w:ascii="Times New Roman" w:cs="Times New Roman" w:eastAsia="Times New Roman" w:hAnsi="Times New Roman"/>
          <w:sz w:val="18"/>
          <w:szCs w:val="18"/>
          <w:b w:val="1"/>
          <w:bCs w:val="1"/>
          <w:color w:val="auto"/>
        </w:rPr>
        <w:t>Warrantholder</w:t>
      </w:r>
      <w:r>
        <w:rPr>
          <w:rFonts w:ascii="Times New Roman" w:cs="Times New Roman" w:eastAsia="Times New Roman" w:hAnsi="Times New Roman"/>
          <w:sz w:val="18"/>
          <w:szCs w:val="18"/>
          <w:color w:val="auto"/>
        </w:rPr>
        <w:t>”), which is hereby</w:t>
      </w:r>
    </w:p>
    <w:p>
      <w:pPr>
        <w:spacing w:after="0" w:line="3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acknowledged in connection with that certain Securities Purchase Agreement, dated as of June [_], 2018, by and among TapImmune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each of the those persons and entities listed as a Purchaser on Annex A thereto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80" w:hanging="453"/>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w:t>
      </w:r>
    </w:p>
    <w:p>
      <w:pPr>
        <w:spacing w:after="0" w:line="225" w:lineRule="exact"/>
        <w:rPr>
          <w:rFonts w:ascii="Times New Roman" w:cs="Times New Roman" w:eastAsia="Times New Roman" w:hAnsi="Times New Roman"/>
          <w:sz w:val="18"/>
          <w:szCs w:val="18"/>
          <w:color w:val="auto"/>
        </w:rPr>
      </w:pPr>
    </w:p>
    <w:p>
      <w:pPr>
        <w:jc w:val="both"/>
        <w:ind w:firstLine="1045"/>
        <w:spacing w:after="0" w:line="258" w:lineRule="auto"/>
        <w:tabs>
          <w:tab w:leader="none" w:pos="157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and Exercise Price of Warrant Shares; Expiration Date</w:t>
      </w:r>
      <w:r>
        <w:rPr>
          <w:rFonts w:ascii="Times New Roman" w:cs="Times New Roman" w:eastAsia="Times New Roman" w:hAnsi="Times New Roman"/>
          <w:sz w:val="18"/>
          <w:szCs w:val="18"/>
          <w:color w:val="auto"/>
        </w:rPr>
        <w:t>. Subject to the terms and conditions set forth herein and set forth in the Purchase Agreement, the Warrantholder is entitled to purchase from the Company up to [_________] shares of the Company’s 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adjusted from time to time pursuant to the provisions of this Warrant)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 purchase price of $[____] per share (the “</w:t>
      </w: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on or before 5:00 p.m. New York City time on the fifth anniversary of the Date of Issuance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(subject to earlier termination of this Warrant as set forth herein).</w:t>
      </w:r>
    </w:p>
    <w:p>
      <w:pPr>
        <w:spacing w:after="0" w:line="183" w:lineRule="exact"/>
        <w:rPr>
          <w:rFonts w:ascii="Times New Roman" w:cs="Times New Roman" w:eastAsia="Times New Roman" w:hAnsi="Times New Roman"/>
          <w:sz w:val="18"/>
          <w:szCs w:val="18"/>
          <w:color w:val="auto"/>
        </w:rPr>
      </w:pPr>
    </w:p>
    <w:p>
      <w:pPr>
        <w:ind w:firstLine="1045"/>
        <w:spacing w:after="0" w:line="282" w:lineRule="auto"/>
        <w:tabs>
          <w:tab w:leader="none" w:pos="15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While this Warrant remains outstanding and exercisable in accordance with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 xml:space="preserve"> above, the Warrantholder may exercise this Warrant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herein, by either:</w:t>
      </w:r>
    </w:p>
    <w:p>
      <w:pPr>
        <w:spacing w:after="0" w:line="161" w:lineRule="exact"/>
        <w:rPr>
          <w:rFonts w:ascii="Times New Roman" w:cs="Times New Roman" w:eastAsia="Times New Roman" w:hAnsi="Times New Roman"/>
          <w:sz w:val="18"/>
          <w:szCs w:val="18"/>
          <w:color w:val="auto"/>
        </w:rPr>
      </w:pPr>
    </w:p>
    <w:p>
      <w:pPr>
        <w:ind w:left="2080" w:hanging="516"/>
        <w:spacing w:after="0"/>
        <w:tabs>
          <w:tab w:leader="none" w:pos="208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to the Company or cashier’s check drawn on a United States bank made payable to the order of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8" w:name="page19"/>
    <w:bookmarkEnd w:id="18"/>
    <w:p>
      <w:pPr>
        <w:ind w:right="20" w:firstLine="1564"/>
        <w:spacing w:after="0" w:line="282" w:lineRule="auto"/>
        <w:tabs>
          <w:tab w:leader="none" w:pos="211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of the right to credit the Exercise Price against the Fair Market Value of the Warrant Shares (as defined below) at the time of exercise (the “</w:t>
      </w:r>
      <w:r>
        <w:rPr>
          <w:rFonts w:ascii="Times New Roman" w:cs="Times New Roman" w:eastAsia="Times New Roman" w:hAnsi="Times New Roman"/>
          <w:sz w:val="18"/>
          <w:szCs w:val="18"/>
          <w:b w:val="1"/>
          <w:bCs w:val="1"/>
          <w:color w:val="auto"/>
        </w:rPr>
        <w:t>Net Exercise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anything herein to the contrary, the Warrantholder shall not be required to physically surrender this Warrant to the Company until the Warrantholder has purchased all of the Warrant Shares available hereunder and the Warrant has been exercised in full, in which case, the Warrantholder shall surrender this Warrant to the Company for cancellation within three (3) trading days of the date the final Notice of Exercise (as defined below)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Warrantholder and the Company shall maintain records showing the number of Warrant Shares purchased and the date of such purchases.</w:t>
      </w:r>
    </w:p>
    <w:p>
      <w:pPr>
        <w:spacing w:after="0" w:line="188" w:lineRule="exact"/>
        <w:rPr>
          <w:sz w:val="20"/>
          <w:szCs w:val="20"/>
          <w:color w:val="auto"/>
        </w:rPr>
      </w:pPr>
    </w:p>
    <w:p>
      <w:pPr>
        <w:jc w:val="both"/>
        <w:ind w:firstLine="1045"/>
        <w:spacing w:after="0" w:line="266" w:lineRule="auto"/>
        <w:tabs>
          <w:tab w:leader="none" w:pos="17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Exercise</w:t>
      </w:r>
      <w:r>
        <w:rPr>
          <w:rFonts w:ascii="Times New Roman" w:cs="Times New Roman" w:eastAsia="Times New Roman" w:hAnsi="Times New Roman"/>
          <w:sz w:val="18"/>
          <w:szCs w:val="18"/>
          <w:color w:val="auto"/>
        </w:rPr>
        <w:t>. If the Company shall receive written notice from the Warrantholder at the time of exercise of this Warrant that the Warrantholder elects to Net Exercise the Warrant, the Company shall deliver to such Warrantholder (without payment by the Warrantholder of any exercise price in cash) that number of Warrant Shares computed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3229610</wp:posOffset>
            </wp:positionH>
            <wp:positionV relativeFrom="paragraph">
              <wp:posOffset>123190</wp:posOffset>
            </wp:positionV>
            <wp:extent cx="797560" cy="351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756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X =</w:t>
      </w:r>
      <w:r>
        <w:rPr>
          <w:sz w:val="20"/>
          <w:szCs w:val="20"/>
          <w:color w:val="auto"/>
        </w:rPr>
        <w:tab/>
      </w:r>
      <w:r>
        <w:rPr>
          <w:rFonts w:ascii="Times New Roman" w:cs="Times New Roman" w:eastAsia="Times New Roman" w:hAnsi="Times New Roman"/>
          <w:sz w:val="17"/>
          <w:szCs w:val="17"/>
          <w:color w:val="auto"/>
        </w:rPr>
        <w:t>The number of Warrant Shares to be issued to the Warrantholder.</w:t>
      </w:r>
    </w:p>
    <w:p>
      <w:pPr>
        <w:spacing w:after="0" w:line="225"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Y =</w:t>
      </w:r>
      <w:r>
        <w:rPr>
          <w:sz w:val="20"/>
          <w:szCs w:val="20"/>
          <w:color w:val="auto"/>
        </w:rPr>
        <w:tab/>
      </w:r>
      <w:r>
        <w:rPr>
          <w:rFonts w:ascii="Times New Roman" w:cs="Times New Roman" w:eastAsia="Times New Roman" w:hAnsi="Times New Roman"/>
          <w:sz w:val="18"/>
          <w:szCs w:val="18"/>
          <w:color w:val="auto"/>
        </w:rPr>
        <w:t>The number of Warrant Shares purchasable under this Warrant or, if only a portion of the Warrant is being exercised, the portion of the Warrant being cancelled (at the date of such calculation).</w:t>
      </w:r>
    </w:p>
    <w:p>
      <w:pPr>
        <w:spacing w:after="0" w:line="162" w:lineRule="exact"/>
        <w:rPr>
          <w:sz w:val="20"/>
          <w:szCs w:val="20"/>
          <w:color w:val="auto"/>
        </w:rPr>
      </w:pPr>
    </w:p>
    <w:p>
      <w:pPr>
        <w:ind w:left="1960" w:hanging="647"/>
        <w:spacing w:after="0" w:line="282" w:lineRule="auto"/>
        <w:tabs>
          <w:tab w:leader="none" w:pos="19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8"/>
          <w:szCs w:val="18"/>
          <w:color w:val="auto"/>
        </w:rPr>
        <w:t>The Fair Market Value of one (1) share of Common Stock on the trading date immediately preceding the date on which Warrantholder elects to exercise this Warrant.</w:t>
      </w:r>
    </w:p>
    <w:p>
      <w:pPr>
        <w:spacing w:after="0" w:line="162"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B =</w:t>
      </w:r>
      <w:r>
        <w:rPr>
          <w:sz w:val="20"/>
          <w:szCs w:val="20"/>
          <w:color w:val="auto"/>
        </w:rPr>
        <w:tab/>
      </w:r>
      <w:r>
        <w:rPr>
          <w:rFonts w:ascii="Times New Roman" w:cs="Times New Roman" w:eastAsia="Times New Roman" w:hAnsi="Times New Roman"/>
          <w:sz w:val="17"/>
          <w:szCs w:val="17"/>
          <w:color w:val="auto"/>
        </w:rPr>
        <w:t>The Exercise Price (as adjusted hereunder).</w:t>
      </w:r>
    </w:p>
    <w:p>
      <w:pPr>
        <w:spacing w:after="0" w:line="221" w:lineRule="exact"/>
        <w:rPr>
          <w:sz w:val="20"/>
          <w:szCs w:val="20"/>
          <w:color w:val="auto"/>
        </w:rPr>
      </w:pPr>
    </w:p>
    <w:p>
      <w:pPr>
        <w:jc w:val="both"/>
        <w:ind w:firstLine="1037"/>
        <w:spacing w:after="0" w:line="25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of one share of Common Stock shall mean (x) the last reported sale price and, if there are no sales, the last reported bid price, of the Common Stock on the business day prior to the date of exercise on the Trading Market on which the Common Stock is then listed or quoted as reported by Bloomberg Financial Markets (or a comparable reporting service of national reputation selected by the Company and reasonably acceptable to the holder if Bloomberg Financial Markets is not then reporting sales prices of the Common Stock) (collectively,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(y) if the foregoing does not apply, the last sales price of the Common Stock in the over-the-counter market on the pink sheets or bulletin board for such security as reported by Bloomberg, and, if there are no sales, the last reported bid price of the Common Stock as reported by Bloomberg or, (z) if fair market value cannot be calculated as of such date on either of the foregoing bases, the price determined in good faith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OTC Markets</w:t>
      </w:r>
      <w:r>
        <w:rPr>
          <w:rFonts w:ascii="Times New Roman" w:cs="Times New Roman" w:eastAsia="Times New Roman" w:hAnsi="Times New Roman"/>
          <w:sz w:val="18"/>
          <w:szCs w:val="18"/>
          <w:color w:val="auto"/>
        </w:rPr>
        <w:t>” shall mean either OTC QX or OTC QB of the OTC Markets Group, Inc.</w:t>
      </w:r>
    </w:p>
    <w:p>
      <w:pPr>
        <w:spacing w:after="0" w:line="225" w:lineRule="exact"/>
        <w:rPr>
          <w:sz w:val="20"/>
          <w:szCs w:val="20"/>
          <w:color w:val="auto"/>
        </w:rPr>
      </w:pPr>
    </w:p>
    <w:p>
      <w:pPr>
        <w:jc w:val="both"/>
        <w:ind w:firstLine="519"/>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Market</w:t>
      </w:r>
      <w:r>
        <w:rPr>
          <w:rFonts w:ascii="Times New Roman" w:cs="Times New Roman" w:eastAsia="Times New Roman" w:hAnsi="Times New Roman"/>
          <w:sz w:val="18"/>
          <w:szCs w:val="18"/>
          <w:color w:val="auto"/>
        </w:rPr>
        <w:t>” shall mean any of the following markets or exchanges on which the Common Stock is listed or quoted for trading on the date in question: the NYSE MKT, the NASDAQ Capital Market, the NASDAQ Global Market, the NASDAQ Global Select Market, the New York Stock Exchange or the OTC Markets (or any successors to any of the foregoing).</w:t>
      </w:r>
    </w:p>
    <w:p>
      <w:pPr>
        <w:spacing w:after="0" w:line="175" w:lineRule="exact"/>
        <w:rPr>
          <w:sz w:val="20"/>
          <w:szCs w:val="20"/>
          <w:color w:val="auto"/>
        </w:rPr>
      </w:pPr>
    </w:p>
    <w:p>
      <w:pPr>
        <w:jc w:val="both"/>
        <w:ind w:firstLine="1045"/>
        <w:spacing w:after="0" w:line="261" w:lineRule="auto"/>
        <w:tabs>
          <w:tab w:leader="none" w:pos="1562"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Deemed Exercise</w:t>
      </w:r>
      <w:r>
        <w:rPr>
          <w:rFonts w:ascii="Times New Roman" w:cs="Times New Roman" w:eastAsia="Times New Roman" w:hAnsi="Times New Roman"/>
          <w:sz w:val="18"/>
          <w:szCs w:val="18"/>
          <w:color w:val="auto"/>
        </w:rPr>
        <w:t xml:space="preserve">. In the event that immediately prior to the close of business on the Expiration Date, the Fair Market Value of one share of Common Stock (as determined in accordance with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is greater than the then applicable Exercise Price, this Warrant shall be deemed to be automatically exercised on a net exercise issue basis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and the Company shall deliver the applicable number of Warrant Shares to the Warrantholder pursuant to the provisions of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xml:space="preserve"> above and this </w:t>
      </w:r>
      <w:r>
        <w:rPr>
          <w:rFonts w:ascii="Times New Roman" w:cs="Times New Roman" w:eastAsia="Times New Roman" w:hAnsi="Times New Roman"/>
          <w:sz w:val="18"/>
          <w:szCs w:val="18"/>
          <w:u w:val="single" w:color="auto"/>
          <w:color w:val="auto"/>
        </w:rPr>
        <w:t>Section 1(d)</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980" w:hanging="453"/>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ADJUSTMENTS.</w:t>
      </w:r>
    </w:p>
    <w:p>
      <w:pPr>
        <w:spacing w:after="0" w:line="225" w:lineRule="exact"/>
        <w:rPr>
          <w:rFonts w:ascii="Times New Roman" w:cs="Times New Roman" w:eastAsia="Times New Roman" w:hAnsi="Times New Roman"/>
          <w:sz w:val="18"/>
          <w:szCs w:val="18"/>
          <w:color w:val="auto"/>
        </w:rPr>
      </w:pPr>
    </w:p>
    <w:p>
      <w:pPr>
        <w:ind w:firstLine="1045"/>
        <w:spacing w:after="0" w:line="282" w:lineRule="auto"/>
        <w:tabs>
          <w:tab w:leader="none" w:pos="155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 of Number of Warrant Shares and Exercise Price</w:t>
      </w:r>
      <w:r>
        <w:rPr>
          <w:rFonts w:ascii="Times New Roman" w:cs="Times New Roman" w:eastAsia="Times New Roman" w:hAnsi="Times New Roman"/>
          <w:sz w:val="18"/>
          <w:szCs w:val="18"/>
          <w:color w:val="auto"/>
        </w:rPr>
        <w:t>. The number and kind of Warrant Shares purchasable upon exercise of this Warrant and the Exercise Price shall be subject to adjustment from time to time as follows:</w:t>
      </w:r>
    </w:p>
    <w:p>
      <w:pPr>
        <w:spacing w:after="0" w:line="161" w:lineRule="exact"/>
        <w:rPr>
          <w:rFonts w:ascii="Times New Roman" w:cs="Times New Roman" w:eastAsia="Times New Roman" w:hAnsi="Times New Roman"/>
          <w:sz w:val="18"/>
          <w:szCs w:val="18"/>
          <w:color w:val="auto"/>
        </w:rPr>
      </w:pPr>
    </w:p>
    <w:p>
      <w:pPr>
        <w:jc w:val="both"/>
        <w:ind w:firstLine="1564"/>
        <w:spacing w:after="0" w:line="255" w:lineRule="auto"/>
        <w:tabs>
          <w:tab w:leader="none" w:pos="2175"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Subdivisions, Combinations and Other Issuances</w:t>
      </w:r>
      <w:r>
        <w:rPr>
          <w:rFonts w:ascii="Times New Roman" w:cs="Times New Roman" w:eastAsia="Times New Roman" w:hAnsi="Times New Roman"/>
          <w:sz w:val="18"/>
          <w:szCs w:val="18"/>
          <w:color w:val="auto"/>
        </w:rPr>
        <w:t xml:space="preserve">. If the Company shall at any time after the Date of Issuance but prior to the Expiration Date subdivide its shares of capital stock of the same class as the Warrant Shares, by split-up or otherwise, or combine such shares of capital stock, pay a dividend or issue additional shares of capital stock as a dividend with respect to any shares of such capital stock, the number of Warrant Shares issuable on the exercise of this Warrant shall forthwith be proportionately increased in the case of a subdivision, dividend or stock dividend, or proportionately decreased in the case of a combination. Appropriate adjustments shall also be made to the Exercise Price payable per share, but the aggregate Exercise Price payable for the total number of Warrant Shares purchasable under this Warrant (as adjusted) shall remain the same. Any adjustment under this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shall become effective at the close of business on the date the subdivision or combination becomes effective, or as of the record date of such dividend, or in the event that no record date is fixed, upon the making of such dividend.</w:t>
      </w:r>
    </w:p>
    <w:p>
      <w:pPr>
        <w:spacing w:after="0" w:line="185" w:lineRule="exact"/>
        <w:rPr>
          <w:rFonts w:ascii="Times New Roman" w:cs="Times New Roman" w:eastAsia="Times New Roman" w:hAnsi="Times New Roman"/>
          <w:sz w:val="18"/>
          <w:szCs w:val="18"/>
          <w:color w:val="auto"/>
        </w:rPr>
      </w:pPr>
    </w:p>
    <w:p>
      <w:pPr>
        <w:jc w:val="both"/>
        <w:ind w:firstLine="1564"/>
        <w:spacing w:after="0" w:line="253" w:lineRule="auto"/>
        <w:tabs>
          <w:tab w:leader="none" w:pos="2243"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Reclassification, Reorganizations and Consolidation</w:t>
      </w:r>
      <w:r>
        <w:rPr>
          <w:rFonts w:ascii="Times New Roman" w:cs="Times New Roman" w:eastAsia="Times New Roman" w:hAnsi="Times New Roman"/>
          <w:sz w:val="18"/>
          <w:szCs w:val="18"/>
          <w:color w:val="auto"/>
        </w:rPr>
        <w:t xml:space="preserve">. In case of any reclassification, capital reorganization or change in the capital stock of the Company (other than as a result of a subdivision, combination or stock dividend provided for in </w:t>
      </w:r>
      <w:r>
        <w:rPr>
          <w:rFonts w:ascii="Times New Roman" w:cs="Times New Roman" w:eastAsia="Times New Roman" w:hAnsi="Times New Roman"/>
          <w:sz w:val="18"/>
          <w:szCs w:val="18"/>
          <w:u w:val="single" w:color="auto"/>
          <w:color w:val="auto"/>
        </w:rPr>
        <w:t>Section 2(a)(1)</w:t>
      </w:r>
      <w:r>
        <w:rPr>
          <w:rFonts w:ascii="Times New Roman" w:cs="Times New Roman" w:eastAsia="Times New Roman" w:hAnsi="Times New Roman"/>
          <w:sz w:val="18"/>
          <w:szCs w:val="18"/>
          <w:color w:val="auto"/>
        </w:rPr>
        <w:t xml:space="preserve"> above) that occurs after the Date of Issuance, then, as a condition of such reclassification, reorganization or change, lawful provision shall be made, and duly executed documents evidencing the same from the Company or its successor shall be delivered to the Warrantholder, so that the Warrantholder shall thereafter have the right at any time prior to the expiration of this Warrant to purchase, at a total price equal to that payable upon the exercise of this Warrant, the kind and amount of shares of stock and/or other securities or property (including, if applicable, cash) receivable in connection with such reclassification, reorganization or change by a holder of the same number and type of securities as were purchasable as Warrant Shares by the Warrantholders immediately prior to such reclassification, reorganization or change. In any such case appropriate provisions shall be made with respect to the rights and interest of the Warrantholder so that the provisions hereof shall thereafter be applicable with respect to any shares of stock or other securities or property deliverable upon exercise hereof, and appropriate adjustments shall be made to the Exercise Price payable hereunder, provided the aggregate Exercise Price shall remain the same (and, for the avoidance of doubt, this Warrant shall be exclusively exercisable for such shares of stock and/or other securities or property from and after the consummation of such reclassification or other change in the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both"/>
        <w:ind w:left="-8" w:firstLine="1045"/>
        <w:spacing w:after="0" w:line="255" w:lineRule="auto"/>
        <w:tabs>
          <w:tab w:leader="none" w:pos="163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Warrantholder</w:t>
      </w:r>
      <w:r>
        <w:rPr>
          <w:rFonts w:ascii="Times New Roman" w:cs="Times New Roman" w:eastAsia="Times New Roman" w:hAnsi="Times New Roman"/>
          <w:sz w:val="18"/>
          <w:szCs w:val="18"/>
          <w:color w:val="auto"/>
        </w:rPr>
        <w:t>. If, while this Warrant is outstanding, the Company (i) declares a dividend or any other distribution of cash, securities or other property in respect of its Common Stock, including, without limitation, any granting of rights or warrants to subscribe for or purchase any capital stock of the Company or any subsidiary, (ii) authorizes or approves, enters into any agreement contemplating or solicits stockholder approval for any Change of Control or (iii) authorizes the voluntary dissolution, liquidation or winding up of the affairs of the Company, then the Company shall deliver to the Warrantholder a notice of such transaction at least ten (10) business days prior to the applicable record or effective date on which a person would need to hold Common Stock in order to participate in or vote with respect to such transaction; provided, however, that the failure to deliver such notice or any defect therein shall not affect the validity of the corporate action required to be described in such notice.</w:t>
      </w:r>
    </w:p>
    <w:p>
      <w:pPr>
        <w:spacing w:after="0" w:line="189" w:lineRule="exact"/>
        <w:rPr>
          <w:rFonts w:ascii="Times New Roman" w:cs="Times New Roman" w:eastAsia="Times New Roman" w:hAnsi="Times New Roman"/>
          <w:sz w:val="18"/>
          <w:szCs w:val="18"/>
          <w:color w:val="auto"/>
        </w:rPr>
      </w:pPr>
    </w:p>
    <w:p>
      <w:pPr>
        <w:jc w:val="both"/>
        <w:ind w:left="-8" w:firstLine="1045"/>
        <w:spacing w:after="0" w:line="266" w:lineRule="auto"/>
        <w:tabs>
          <w:tab w:leader="none" w:pos="158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xml:space="preserve">. All calculations under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shall be made to the nearest cent or the nearest whole share, as the case may be. For purposes of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number of shares of Common Stock deemed to be issued and outstanding as of a given date shall be the sum of the number of shares of Common Stock (excluding treasury shares, if any) issued and outstanding.</w:t>
      </w:r>
    </w:p>
    <w:p>
      <w:pPr>
        <w:spacing w:after="0" w:line="176" w:lineRule="exact"/>
        <w:rPr>
          <w:rFonts w:ascii="Times New Roman" w:cs="Times New Roman" w:eastAsia="Times New Roman" w:hAnsi="Times New Roman"/>
          <w:sz w:val="18"/>
          <w:szCs w:val="18"/>
          <w:color w:val="auto"/>
        </w:rPr>
      </w:pPr>
    </w:p>
    <w:p>
      <w:pPr>
        <w:ind w:left="1572" w:hanging="535"/>
        <w:spacing w:after="0"/>
        <w:tabs>
          <w:tab w:leader="none" w:pos="1572"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Warrant upon a Change of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 w:firstLine="1564"/>
        <w:spacing w:after="0" w:line="255" w:lineRule="auto"/>
        <w:tabs>
          <w:tab w:leader="none" w:pos="2133"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while this Warrant is outstanding, the Company consummates a Change of Control, then a holder shall have the right thereafter to receive, upon exercise of this Warrant, the same amount and kind of securities, cash or property as it would have been entitled to receive upon the occurrence of such Change of Control if it had been, immediately prior to such Change of Control, a holder of the number of Warrant Shares then issuable upon exercise in full of this Warrant (the “</w:t>
      </w:r>
      <w:r>
        <w:rPr>
          <w:rFonts w:ascii="Times New Roman" w:cs="Times New Roman" w:eastAsia="Times New Roman" w:hAnsi="Times New Roman"/>
          <w:sz w:val="18"/>
          <w:szCs w:val="18"/>
          <w:b w:val="1"/>
          <w:bCs w:val="1"/>
          <w:color w:val="auto"/>
        </w:rPr>
        <w:t>Alternate Consideration</w:t>
      </w:r>
      <w:r>
        <w:rPr>
          <w:rFonts w:ascii="Times New Roman" w:cs="Times New Roman" w:eastAsia="Times New Roman" w:hAnsi="Times New Roman"/>
          <w:sz w:val="18"/>
          <w:szCs w:val="18"/>
          <w:color w:val="auto"/>
        </w:rPr>
        <w:t>”). The Company shall not effect any such Change of Control unless prior to or simultaneously with the consummation thereof, any successor to the Company, surviving entity or the corporation purchasing or otherwise acquiring such assets or other appropriate corporation or entity (the “</w:t>
      </w:r>
      <w:r>
        <w:rPr>
          <w:rFonts w:ascii="Times New Roman" w:cs="Times New Roman" w:eastAsia="Times New Roman" w:hAnsi="Times New Roman"/>
          <w:sz w:val="18"/>
          <w:szCs w:val="18"/>
          <w:b w:val="1"/>
          <w:bCs w:val="1"/>
          <w:color w:val="auto"/>
        </w:rPr>
        <w:t>Successor Entity</w:t>
      </w:r>
      <w:r>
        <w:rPr>
          <w:rFonts w:ascii="Times New Roman" w:cs="Times New Roman" w:eastAsia="Times New Roman" w:hAnsi="Times New Roman"/>
          <w:sz w:val="18"/>
          <w:szCs w:val="18"/>
          <w:color w:val="auto"/>
        </w:rPr>
        <w:t>”) shall assume the obligation to deliver to the holder, such Alternate Consideration as, in accordance with the foregoing provisions, the holder may be entitled to purchase, and the other obligations under this Warrant.</w:t>
      </w:r>
    </w:p>
    <w:p>
      <w:pPr>
        <w:spacing w:after="0" w:line="185" w:lineRule="exact"/>
        <w:rPr>
          <w:rFonts w:ascii="Times New Roman" w:cs="Times New Roman" w:eastAsia="Times New Roman" w:hAnsi="Times New Roman"/>
          <w:sz w:val="18"/>
          <w:szCs w:val="18"/>
          <w:color w:val="auto"/>
        </w:rPr>
      </w:pPr>
    </w:p>
    <w:p>
      <w:pPr>
        <w:jc w:val="both"/>
        <w:ind w:left="-8" w:firstLine="1564"/>
        <w:spacing w:after="0" w:line="257" w:lineRule="auto"/>
        <w:tabs>
          <w:tab w:leader="none" w:pos="2259"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Warrant, 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mean (i) a merger or consolidation of the Company with another corporation (other than a merger effected exclusively for the purpose of changing the domicile of the Company), (ii) the sale, assignment, transfer, conveyance or other disposal of all or substantially all of the properties or assets or all or a majority of the outstanding voting shares of capital stock of the Company, (iii) a purchase, tender or exchange offer accepted by the holders of a majority of the outstanding voting shares of capital stock of the Company, or</w:t>
      </w:r>
    </w:p>
    <w:p>
      <w:pPr>
        <w:jc w:val="both"/>
        <w:ind w:left="-8" w:firstLine="8"/>
        <w:spacing w:after="0" w:line="255" w:lineRule="auto"/>
        <w:tabs>
          <w:tab w:leader="none" w:pos="32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“group” (as these terms are used for purposes of Section 13(d) and 14(d)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or shall become the “beneficial owner” (as defined in Rule 13d-3 under the Exchange Act), directly or indirectly at least a majority of the voting power of the capital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1" w:name="page22"/>
    <w:bookmarkEnd w:id="21"/>
    <w:p>
      <w:pPr>
        <w:jc w:val="both"/>
        <w:ind w:left="-8" w:firstLine="1564"/>
        <w:spacing w:after="0" w:line="253" w:lineRule="auto"/>
        <w:tabs>
          <w:tab w:leader="none" w:pos="2129"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a Change of Control that is required to be and is approved by the board of directors of the Company (which is not controlled by Warrantholder and holders of other warrants issued as of the date hereof, or otherwise is approved by the disinterested members of the board of directors of the Company who do not hold any warrants issued as of the date hereof), the Company or any Successor Entity (as defined above) shall, at the Holder’s option, exercisable at any time concurrently with, or within 30 days after, the consummation of the Change of Control (or, if later, the date of the public announcement of the applicable Change of Control), purchase this Warrant from the Holder by paying to the Holder an amount of cash equal to the Black Scholes Value of the remaining unexercised portion of this Warrant on the date of the consummation of such Change of Control. Notwithstanding anything herein to the contrary, the Holder may not require the Company or any Successor Entity to repurchase the Warrants for the Black Scholes Value in connection with a Change of Control that (i) is not approved by, or is not required to be approved by, the Company’s board of directors or</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within the Company’s control. “</w:t>
      </w:r>
      <w:r>
        <w:rPr>
          <w:rFonts w:ascii="Times New Roman" w:cs="Times New Roman" w:eastAsia="Times New Roman" w:hAnsi="Times New Roman"/>
          <w:sz w:val="18"/>
          <w:szCs w:val="18"/>
          <w:b w:val="1"/>
          <w:bCs w:val="1"/>
          <w:color w:val="auto"/>
        </w:rPr>
        <w:t>Black Scholes Value</w:t>
      </w:r>
      <w:r>
        <w:rPr>
          <w:rFonts w:ascii="Times New Roman" w:cs="Times New Roman" w:eastAsia="Times New Roman" w:hAnsi="Times New Roman"/>
          <w:sz w:val="18"/>
          <w:szCs w:val="18"/>
          <w:color w:val="auto"/>
        </w:rPr>
        <w:t>” means the value of this Warrant based on the Black and Scholes Option Pricing Model obtained from the “OV” function on Bloomberg, L.P. (“</w:t>
      </w:r>
      <w:r>
        <w:rPr>
          <w:rFonts w:ascii="Times New Roman" w:cs="Times New Roman" w:eastAsia="Times New Roman" w:hAnsi="Times New Roman"/>
          <w:sz w:val="18"/>
          <w:szCs w:val="18"/>
          <w:b w:val="1"/>
          <w:bCs w:val="1"/>
          <w:color w:val="auto"/>
        </w:rPr>
        <w:t>Bloomberg</w:t>
      </w:r>
      <w:r>
        <w:rPr>
          <w:rFonts w:ascii="Times New Roman" w:cs="Times New Roman" w:eastAsia="Times New Roman" w:hAnsi="Times New Roman"/>
          <w:sz w:val="18"/>
          <w:szCs w:val="18"/>
          <w:color w:val="auto"/>
        </w:rPr>
        <w:t>”) determined as of the day of consummation of the applicable Change of Control for pricing purposes and reflecting (A) a risk-free interest rate corresponding to the U.S. Treasury rate for a period equal to the time between the date of the public announcement of the applicable Change of Control and the Termination Date, (B) an expected volatility equal to the 100 day volatility obtained from the HVT function on Bloomberg as of the Trading Day immediately following the public announcement of the applicable Fundamental Transaction, (C) the underlying price per share used in such calculation shall be the sum of the price per share being offered in cash, if any, plus the value of any non-cash consideration, if any, being offered in such Change of Control and (C) a remaining option time equal to the time between the date of the public announcement of the applicable Change of Control and the Termination Date. The payment of the Black Scholes Value will be made by wire transfer of immediately available funds (or by delivery of such other consideration, as applicable) within five Business Days of the Holder’s election (or, if later, on the effective date of the Change of Control).</w:t>
      </w:r>
    </w:p>
    <w:p>
      <w:pPr>
        <w:spacing w:after="0" w:line="193" w:lineRule="exact"/>
        <w:rPr>
          <w:rFonts w:ascii="Times New Roman" w:cs="Times New Roman" w:eastAsia="Times New Roman" w:hAnsi="Times New Roman"/>
          <w:sz w:val="18"/>
          <w:szCs w:val="18"/>
          <w:color w:val="auto"/>
        </w:rPr>
      </w:pPr>
    </w:p>
    <w:p>
      <w:pPr>
        <w:jc w:val="both"/>
        <w:ind w:left="-8" w:firstLine="527"/>
        <w:spacing w:after="0" w:line="254" w:lineRule="auto"/>
        <w:tabs>
          <w:tab w:leader="none" w:pos="9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SHARES; CHARGES, TAXES AND EXPENSES. No fractional Warrant Shares or scrip representing fractional shares will be issued upon exercise of this Warrant. In lieu of any fractional shares which would otherwise be issuable, the Company shall pay cash equal to the product of such fraction multiplied by the Fair Market Value of one Warrant Share. Issuance of Warrant Shares shall be made without charge to the Warrantholder for any issue or transfer tax or other incidental expense in respect of the issuance of such Warrant Shares, all of which taxes and expenses shall be paid by the Company, and such Warrant Shares shall be issued in the name of the Warrantholder or in such name or names as may be directed by the Warrantholder;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Warrantholder, this Warrant when surrendered for exercise shall be accompanied by the Assignment Form attached hereto duly executed by the Warrantholder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421640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22" w:name="page23"/>
    <w:bookmarkEnd w:id="22"/>
    <w:p>
      <w:pPr>
        <w:jc w:val="both"/>
        <w:ind w:left="-527" w:firstLine="527"/>
        <w:spacing w:after="0" w:line="266" w:lineRule="auto"/>
        <w:tabs>
          <w:tab w:leader="none" w:pos="44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STOCKHOLDER RIGHTS. Until the exercise of this Warrant or any portion of this Warrant, the Warrantholder shall not have, nor exercise, any rights as a stockholder of the Company (including without limitation the right to notification of stockholder meetings or the right to receive any notice or other communication concerning the business and affairs of the Company) except as provided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below.</w:t>
      </w:r>
    </w:p>
    <w:p>
      <w:pPr>
        <w:spacing w:after="0" w:line="176"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MECHANICS OF EXERCISE.</w:t>
      </w:r>
    </w:p>
    <w:p>
      <w:pPr>
        <w:spacing w:after="0" w:line="225" w:lineRule="exact"/>
        <w:rPr>
          <w:rFonts w:ascii="Times New Roman" w:cs="Times New Roman" w:eastAsia="Times New Roman" w:hAnsi="Times New Roman"/>
          <w:sz w:val="18"/>
          <w:szCs w:val="18"/>
          <w:color w:val="auto"/>
        </w:rPr>
      </w:pPr>
    </w:p>
    <w:p>
      <w:pPr>
        <w:jc w:val="both"/>
        <w:ind w:left="-527" w:firstLine="1045"/>
        <w:spacing w:after="0" w:line="252" w:lineRule="auto"/>
        <w:tabs>
          <w:tab w:leader="none" w:pos="102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xml:space="preserve">. This Warrant may be exercised by the holder hereof, in whole or in part, by delivering to the Company (or such other office or agency of the Company as it may designate by notice in writing to the registered Warrantholder at the address of the Warrantholder appearing on the books of the Company) of a duly executed copy of the Notice of Exercise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Notice of Exercise</w:t>
      </w:r>
      <w:r>
        <w:rPr>
          <w:rFonts w:ascii="Times New Roman" w:cs="Times New Roman" w:eastAsia="Times New Roman" w:hAnsi="Times New Roman"/>
          <w:sz w:val="18"/>
          <w:szCs w:val="18"/>
          <w:color w:val="auto"/>
        </w:rPr>
        <w:t>") by facsimile or e-mail attachment and paying the Exercise Price (unless the Warrantholder has elected to Net Exercise) then in effect with respect to the number of Warrant Shares as to which the Warrant is being exercised. No ink-original Notice of Exercise shall be required, nor any medallion guarantee (or other type of guarantee or notarization) of any Notice of Exercise shall be required This Warrant shall be deemed to have been exercised immediately prior to the close of business on the date of the delivery to the Company of the Notice of Exercise and payment of the Exercise Price (unless the Warrantholder has elected to Net Exercise) as provided above, and the person entitled to receive the Warrant Shares issuable upon such exercise shall be treated for all purposes as the holder of such shares of record as of the close of business on such date. Warrant Shares purchased hereunder shall be transmitted by the Company’s transfer agent to the Warrantholder by crediting the account of the holder’s prime broker with The Depository Trust Company through its Deposit or Withdrawal at Custodian system (“</w:t>
      </w:r>
      <w:r>
        <w:rPr>
          <w:rFonts w:ascii="Times New Roman" w:cs="Times New Roman" w:eastAsia="Times New Roman" w:hAnsi="Times New Roman"/>
          <w:sz w:val="18"/>
          <w:szCs w:val="18"/>
          <w:b w:val="1"/>
          <w:bCs w:val="1"/>
          <w:color w:val="auto"/>
        </w:rPr>
        <w:t>DWAC</w:t>
      </w:r>
      <w:r>
        <w:rPr>
          <w:rFonts w:ascii="Times New Roman" w:cs="Times New Roman" w:eastAsia="Times New Roman" w:hAnsi="Times New Roman"/>
          <w:sz w:val="18"/>
          <w:szCs w:val="18"/>
          <w:color w:val="auto"/>
        </w:rPr>
        <w:t xml:space="preserve">”) if the Company is then a participant in such system and either (A) there is an effective registration statement permitting the issuance of the Warrant Shares to or resale of the Warrant Shares by the holder or (B) the shares are eligible for resale by the holder without volume or manner-of-sale limitations pursuant to Rule 144, and otherwise by physical delivery to the address specified by the holder in the Notice of Exercise by the end of the day on the date that is two (2) trading days from the delivery to the Company of the Notice of Exercise and payment of the aggregate Exercise Price (unless exercised by means of a cashless exercise pursuant to </w:t>
      </w:r>
      <w:r>
        <w:rPr>
          <w:rFonts w:ascii="Times New Roman" w:cs="Times New Roman" w:eastAsia="Times New Roman" w:hAnsi="Times New Roman"/>
          <w:sz w:val="18"/>
          <w:szCs w:val="18"/>
          <w:u w:val="single" w:color="auto"/>
          <w:color w:val="auto"/>
        </w:rPr>
        <w:t>Section 1(c)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Warrant Share Delivery Date</w:t>
      </w:r>
      <w:r>
        <w:rPr>
          <w:rFonts w:ascii="Times New Roman" w:cs="Times New Roman" w:eastAsia="Times New Roman" w:hAnsi="Times New Roman"/>
          <w:sz w:val="18"/>
          <w:szCs w:val="18"/>
          <w:color w:val="auto"/>
        </w:rPr>
        <w:t>”). The Warrant Shares shall be deemed to have been issued, and the holder or any other person so designated to be named therein shall be deemed to have become a holder of record of such shares for all purposes, as of the date the Warrant has been exercised, with payment to the Company of the Exercise Price (or by Net Exercise) and all taxes required to be paid by the holder, if any, prior to the issuance of such shares, having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426085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93"/>
          </w:cols>
          <w:pgMar w:left="767" w:top="904" w:right="239" w:bottom="1440" w:gutter="0" w:footer="0" w:header="0"/>
        </w:sectPr>
      </w:pPr>
    </w:p>
    <w:bookmarkStart w:id="23" w:name="page24"/>
    <w:bookmarkEnd w:id="23"/>
    <w:p>
      <w:pPr>
        <w:ind w:left="-527" w:right="20" w:firstLine="1045"/>
        <w:spacing w:after="0" w:line="282" w:lineRule="auto"/>
        <w:tabs>
          <w:tab w:leader="none" w:pos="1143"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Warrantholder the Warrant Shares pursuant to Section 5(a) by the Warrant Share Delivery Date, then the Warrantholder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527" w:firstLine="527"/>
        <w:spacing w:after="0" w:line="266" w:lineRule="auto"/>
        <w:tabs>
          <w:tab w:leader="none" w:pos="56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OF ADJUSTMENT. Whenever the Exercise Price or number or type of securities issuable upon exercise of this Warrant is adjusted, as herein provided, the Company shall, at its expense, promptly deliver to the Warrantholder a certificate of an officer of the Company setting forth the nature of such adjustment and showing in detail the facts upon which such adjustment is based.</w:t>
      </w:r>
    </w:p>
    <w:p>
      <w:pPr>
        <w:spacing w:after="0" w:line="176"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SECURITIES LAWS.</w:t>
      </w:r>
    </w:p>
    <w:p>
      <w:pPr>
        <w:spacing w:after="0" w:line="225" w:lineRule="exact"/>
        <w:rPr>
          <w:rFonts w:ascii="Times New Roman" w:cs="Times New Roman" w:eastAsia="Times New Roman" w:hAnsi="Times New Roman"/>
          <w:sz w:val="18"/>
          <w:szCs w:val="18"/>
          <w:color w:val="auto"/>
        </w:rPr>
      </w:pPr>
    </w:p>
    <w:p>
      <w:pPr>
        <w:jc w:val="both"/>
        <w:ind w:left="-527" w:firstLine="1045"/>
        <w:spacing w:after="0" w:line="258" w:lineRule="auto"/>
        <w:tabs>
          <w:tab w:leader="none" w:pos="111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understands that this Warrant and the Warrant Shares are characterized as “restricted securities” under the federal securities laws inasmuch as they are being acquired from the Company in a transaction not involving a public offering and that under such laws and applicable regulations this Warrant and the Warrant Shares may be resold without registration under the Securities Act only in certain limited circumstances. In this connection, the Warrantholder represents that it is familiar with Rule 144 under the Securities Act, as presently in effect, and understands the resale limitations imposed thereby and by the Securities Act.</w:t>
      </w:r>
    </w:p>
    <w:p>
      <w:pPr>
        <w:spacing w:after="0" w:line="183" w:lineRule="exact"/>
        <w:rPr>
          <w:rFonts w:ascii="Times New Roman" w:cs="Times New Roman" w:eastAsia="Times New Roman" w:hAnsi="Times New Roman"/>
          <w:sz w:val="18"/>
          <w:szCs w:val="18"/>
          <w:color w:val="auto"/>
        </w:rPr>
      </w:pPr>
    </w:p>
    <w:p>
      <w:pPr>
        <w:jc w:val="both"/>
        <w:ind w:left="-527" w:firstLine="1045"/>
        <w:spacing w:after="0" w:line="261" w:lineRule="auto"/>
        <w:tabs>
          <w:tab w:leader="none" w:pos="113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and as a condition to the sale or transfer of the Warrant Shares issuable upon exercise of this Warrant, the Warrantholder shall furnish to the Company such certificates, representations, agreements and other information, as the Company or the Company’s transfer agent reasonably may require to confirm that such sale or transfer is being made pursuant to an exemption from, or in a transaction not subject to, the registration requirements of the Securities Act, unless such Warrant Shares are being sold or transferred pursuant to an effective registration statement.</w:t>
      </w:r>
    </w:p>
    <w:p>
      <w:pPr>
        <w:spacing w:after="0" w:line="180" w:lineRule="exact"/>
        <w:rPr>
          <w:rFonts w:ascii="Times New Roman" w:cs="Times New Roman" w:eastAsia="Times New Roman" w:hAnsi="Times New Roman"/>
          <w:sz w:val="18"/>
          <w:szCs w:val="18"/>
          <w:color w:val="auto"/>
        </w:rPr>
      </w:pPr>
    </w:p>
    <w:p>
      <w:pPr>
        <w:jc w:val="both"/>
        <w:ind w:left="-527" w:firstLine="1045"/>
        <w:spacing w:after="0" w:line="266" w:lineRule="auto"/>
        <w:tabs>
          <w:tab w:leader="none" w:pos="105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Warrantholder acknowledges that the Company may place a restrictive legend on the Warrant Shares issuable upon exercise of this Warrant in order to comply with applicable securities laws, in substantially the following form and substance, unless such Warrant Shares are otherwise freely tradable under Rule 144 of the Securities Act:</w:t>
      </w:r>
    </w:p>
    <w:p>
      <w:pPr>
        <w:spacing w:after="0" w:line="176" w:lineRule="exact"/>
        <w:rPr>
          <w:sz w:val="20"/>
          <w:szCs w:val="20"/>
          <w:color w:val="auto"/>
        </w:rPr>
      </w:pPr>
    </w:p>
    <w:p>
      <w:pPr>
        <w:jc w:val="both"/>
        <w:ind w:left="533" w:right="900"/>
        <w:spacing w:after="0" w:line="253" w:lineRule="auto"/>
        <w:rPr>
          <w:sz w:val="20"/>
          <w:szCs w:val="20"/>
          <w:color w:val="auto"/>
        </w:rPr>
      </w:pPr>
      <w:r>
        <w:rPr>
          <w:rFonts w:ascii="Times New Roman" w:cs="Times New Roman" w:eastAsia="Times New Roman" w:hAnsi="Times New Roman"/>
          <w:sz w:val="18"/>
          <w:szCs w:val="18"/>
          <w:color w:val="auto"/>
        </w:rPr>
        <w:t>“THE SECURITIES EVIDENCED BY THIS CERTIFICATE HAVE NOT BEEN REGISTERED UNDER THE U.S. SECURITIES ACT OF 1933, AS AMENDED (THE “SECURITIES ACT”), OR ANY OTHER APPLICABLE SECURITIES LAWS AND HAVE BEEN ISSUED IN RELIANCE UPON AN EXEMPTION FROM THE REGISTRATION REQUIREMENTS OF THE SECURITIES ACT AND SUCH OTHER SECURITIES LAWS. NEITHER THIS SECURITY NOR ANY INTEREST OR PARTICIPATION HEREIN MAY BE REOFFERED, SOLD, ASSIGNED, TRANSFERRED, PLEDGED, ENCUMBERED, HYPOTHECATED OR OTHERWISE DISPOSED OF, EXCEPT PURSUANT TO AN EFFECTIVE REGISTRATION STATEMENT UNDER THE SECURITIES ACT OR PURSUANT TO A TRANSACTION WHICH IS EXEMPT FROM, OR NOT SUBJECT TO, SUCH REGISTRATION, IN EACH CASE IN ACCORDANCE WITH ALL APPLICABLE SECURITIES LAWS, AND IN THE CASE OF A TRANSACTION EXEMPT FROM, OR NOT SUBJECT TO, SUCH REGISTRATION, UNLESS THE COMPANY HAS RECEIVED AN OPINION OF COUNSEL REASONABLY SATISFACTORY TO IT THAT SUCH TRANSACTION DOES NOT REQUIRE REGISTRATION UNDER THE SECURITIES ACT AND SUCH OTHER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424180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93"/>
          </w:cols>
          <w:pgMar w:left="767" w:top="904" w:right="239" w:bottom="1440" w:gutter="0" w:footer="0" w:header="0"/>
        </w:sectPr>
      </w:pPr>
    </w:p>
    <w:bookmarkStart w:id="24" w:name="page25"/>
    <w:bookmarkEnd w:id="24"/>
    <w:p>
      <w:pPr>
        <w:jc w:val="both"/>
        <w:ind w:left="-527" w:firstLine="527"/>
        <w:spacing w:after="0" w:line="261" w:lineRule="auto"/>
        <w:tabs>
          <w:tab w:leader="none" w:pos="4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WARRANTS. On receipt of evidence reasonably satisfactory to the Company of the loss, theft, destruction or mutilation of this Warrant and, in the case of any such loss, theft or destruction of this Warrant, on delivery of an indemnity agreement reasonably satisfactory in form and amount to the Company (but not the posting of any surety or other bond) or, in the case of any such mutilation, on surrender and cancellation of such Warrant, the Company at its expense will execute and deliver, in lieu thereof, a new Warrant of like tenor.</w:t>
      </w:r>
    </w:p>
    <w:p>
      <w:pPr>
        <w:spacing w:after="0" w:line="180" w:lineRule="exact"/>
        <w:rPr>
          <w:rFonts w:ascii="Times New Roman" w:cs="Times New Roman" w:eastAsia="Times New Roman" w:hAnsi="Times New Roman"/>
          <w:sz w:val="18"/>
          <w:szCs w:val="18"/>
          <w:color w:val="auto"/>
        </w:rPr>
      </w:pPr>
    </w:p>
    <w:p>
      <w:pPr>
        <w:jc w:val="both"/>
        <w:ind w:left="-527" w:firstLine="527"/>
        <w:spacing w:after="0" w:line="261" w:lineRule="auto"/>
        <w:tabs>
          <w:tab w:leader="none" w:pos="44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IMPAIRMENT. Except to the extent as may be waived by the Warrantholder, the Company will not, by amendment of its charter or through a Change of Control, dissolution, sale of assets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Warrantholder against impairment.</w:t>
      </w:r>
    </w:p>
    <w:p>
      <w:pPr>
        <w:spacing w:after="0" w:line="180" w:lineRule="exact"/>
        <w:rPr>
          <w:rFonts w:ascii="Times New Roman" w:cs="Times New Roman" w:eastAsia="Times New Roman" w:hAnsi="Times New Roman"/>
          <w:sz w:val="18"/>
          <w:szCs w:val="18"/>
          <w:color w:val="auto"/>
        </w:rPr>
      </w:pPr>
    </w:p>
    <w:p>
      <w:pPr>
        <w:jc w:val="both"/>
        <w:ind w:left="-527" w:right="20" w:firstLine="527"/>
        <w:spacing w:after="0" w:line="266" w:lineRule="auto"/>
        <w:tabs>
          <w:tab w:leader="none" w:pos="59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If the last or appointed day for the taking of any action or the expiration of any right required or granted herein shall be other than a day on which the Common Stock is traded on the Trading Market, then such action may be taken or such right may be exercised on the next succeeding day on which the Common Stock is so traded.</w:t>
      </w:r>
    </w:p>
    <w:p>
      <w:pPr>
        <w:spacing w:after="0" w:line="176" w:lineRule="exact"/>
        <w:rPr>
          <w:rFonts w:ascii="Times New Roman" w:cs="Times New Roman" w:eastAsia="Times New Roman" w:hAnsi="Times New Roman"/>
          <w:sz w:val="18"/>
          <w:szCs w:val="18"/>
          <w:color w:val="auto"/>
        </w:rPr>
      </w:pPr>
    </w:p>
    <w:p>
      <w:pPr>
        <w:ind w:left="533" w:hanging="533"/>
        <w:spacing w:after="0"/>
        <w:tabs>
          <w:tab w:leader="none" w:pos="5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EXCHANGES.</w:t>
      </w:r>
    </w:p>
    <w:p>
      <w:pPr>
        <w:spacing w:after="0" w:line="225" w:lineRule="exact"/>
        <w:rPr>
          <w:rFonts w:ascii="Times New Roman" w:cs="Times New Roman" w:eastAsia="Times New Roman" w:hAnsi="Times New Roman"/>
          <w:sz w:val="18"/>
          <w:szCs w:val="18"/>
          <w:color w:val="auto"/>
        </w:rPr>
      </w:pPr>
    </w:p>
    <w:p>
      <w:pPr>
        <w:jc w:val="both"/>
        <w:ind w:left="-527" w:firstLine="1045"/>
        <w:spacing w:after="0" w:line="254" w:lineRule="auto"/>
        <w:tabs>
          <w:tab w:leader="none" w:pos="1125"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applicable federal and state securities laws and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hereof, this Warrant may be transferred by the Warrantholder to any Affiliate (as defined below) with respect to any or all of the Warrant Shares purchasable hereunder (a “</w:t>
      </w:r>
      <w:r>
        <w:rPr>
          <w:rFonts w:ascii="Times New Roman" w:cs="Times New Roman" w:eastAsia="Times New Roman" w:hAnsi="Times New Roman"/>
          <w:sz w:val="18"/>
          <w:szCs w:val="18"/>
          <w:b w:val="1"/>
          <w:bCs w:val="1"/>
          <w:color w:val="auto"/>
        </w:rPr>
        <w:t>Permitted Transfer</w:t>
      </w:r>
      <w:r>
        <w:rPr>
          <w:rFonts w:ascii="Times New Roman" w:cs="Times New Roman" w:eastAsia="Times New Roman" w:hAnsi="Times New Roman"/>
          <w:sz w:val="18"/>
          <w:szCs w:val="18"/>
          <w:color w:val="auto"/>
        </w:rPr>
        <w:t xml:space="preserve">”). For a transfer of this Warrant as an entirety by the Warrantholder, upon surrender of this Warrant to the Company, together with the Notice of Assignment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Warrantholder, the Company shall issue a new Warrant of the same denomination to the assignee. For a transfer of this Warrant with respect to a portion of the Warrant Shares purchasable hereunder, upon surrender of this Warrant to the Company, together with the Notice of Assignment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duly completed and executed on behalf of the Warrantholder, the Company shall issue a new Warrant to the assignee, in such denomination as shall be requested by the Warrantholder, and shall issue to the Warrantholder a new Warrant covering the number of shares in respect of which this Warrant shall not have been transferred. The term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as used herein means, with respect to any person, any other person that, directly or indirectly through one or more intermediaries, controls, is controlled by or is under common control with such person, and any officers, employees or partners of the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421640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93"/>
          </w:cols>
          <w:pgMar w:left="767" w:top="904" w:right="239" w:bottom="1440" w:gutter="0" w:footer="0" w:header="0"/>
        </w:sectPr>
      </w:pPr>
    </w:p>
    <w:bookmarkStart w:id="25" w:name="page26"/>
    <w:bookmarkEnd w:id="25"/>
    <w:p>
      <w:pPr>
        <w:jc w:val="both"/>
        <w:ind w:firstLine="1045"/>
        <w:spacing w:after="0" w:line="256" w:lineRule="auto"/>
        <w:tabs>
          <w:tab w:leader="none" w:pos="15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Permitted Transfer, this Warrant is exchangeable, without expense, at the option of the Warrantholder, upon presentation and surrender hereof to the Company for other warrants of different denominations entitling the holder thereof to purchase in the aggregate the same number of shares of Common Stock purchasable hereunder. This Warrant may be divided or combined with other warrants that carry the same rights upon presentation hereof at the principal office of the Company together with a written notice specifying the denominations in which new warrants are to be issued to the Warrantholder and signed by the Warrantholder hereof. The term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as used herein includes any warrants into which this Warrant may be divided or exchanged.</w:t>
      </w:r>
    </w:p>
    <w:p>
      <w:pPr>
        <w:spacing w:after="0" w:line="187" w:lineRule="exact"/>
        <w:rPr>
          <w:rFonts w:ascii="Times New Roman" w:cs="Times New Roman" w:eastAsia="Times New Roman" w:hAnsi="Times New Roman"/>
          <w:sz w:val="18"/>
          <w:szCs w:val="18"/>
          <w:color w:val="auto"/>
        </w:rPr>
      </w:pPr>
    </w:p>
    <w:p>
      <w:pPr>
        <w:jc w:val="both"/>
        <w:ind w:firstLine="527"/>
        <w:spacing w:after="0" w:line="254" w:lineRule="auto"/>
        <w:tabs>
          <w:tab w:leader="none" w:pos="109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SHARES. 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quoted or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89" w:lineRule="exact"/>
        <w:rPr>
          <w:rFonts w:ascii="Times New Roman" w:cs="Times New Roman" w:eastAsia="Times New Roman" w:hAnsi="Times New Roman"/>
          <w:sz w:val="18"/>
          <w:szCs w:val="18"/>
          <w:color w:val="auto"/>
        </w:rPr>
      </w:pPr>
    </w:p>
    <w:p>
      <w:pPr>
        <w:ind w:left="1060" w:hanging="533"/>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rFonts w:ascii="Times New Roman" w:cs="Times New Roman" w:eastAsia="Times New Roman" w:hAnsi="Times New Roman"/>
          <w:sz w:val="18"/>
          <w:szCs w:val="18"/>
          <w:color w:val="auto"/>
        </w:rPr>
      </w:pPr>
    </w:p>
    <w:p>
      <w:pPr>
        <w:jc w:val="both"/>
        <w:ind w:firstLine="1045"/>
        <w:spacing w:after="0" w:line="261" w:lineRule="auto"/>
        <w:tabs>
          <w:tab w:leader="none" w:pos="159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laws of the United States of America and the State of New York, both substantive and remedial, without regard to New York conflicts of law principles. Any judicial proceeding brought under this Agreement or any dispute arising out of this Agreement or any matter related hereto shall be brought in the courts of the State of New York, New York County, or in the United States District Court for the Southern District of New York.</w:t>
      </w:r>
    </w:p>
    <w:p>
      <w:pPr>
        <w:spacing w:after="0" w:line="180" w:lineRule="exact"/>
        <w:rPr>
          <w:rFonts w:ascii="Times New Roman" w:cs="Times New Roman" w:eastAsia="Times New Roman" w:hAnsi="Times New Roman"/>
          <w:sz w:val="18"/>
          <w:szCs w:val="18"/>
          <w:color w:val="auto"/>
        </w:rPr>
      </w:pPr>
    </w:p>
    <w:p>
      <w:pPr>
        <w:jc w:val="both"/>
        <w:ind w:firstLine="1045"/>
        <w:spacing w:after="0" w:line="254" w:lineRule="auto"/>
        <w:tabs>
          <w:tab w:leader="none" w:pos="175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requests, consents and other communications hereunder shall be in writing, shall be sent by confirmed facsimile or electronic mail, or mailed by first-class registered or certified airmail, or nationally recognized overnight express courier, postage prepaid, and shall be deemed given when so sent in the case of facsimile or electronic mail transmission, or when so received in the case of mail or courier, and addressed as follows: (a) if to the Company, at TapImmune Inc., 5 W. Forsyth Street, Suite 200, Jacksonville, FL 32202 Attn: Mr. Peter L. Hoang, e-mail: phoang@tapimmune.com; with a copy to (which shall not constitute notice) Shumaker, Loop &amp; Kendrick, LLP, 101 East Kennedy Blvd., Ste 2800, Tampa, FL 33602, Attn: Mark A. Catchur, Esq., e-Mail: mcatchur@slk-law.com, and (b) if to the Warrantholder, at such address or addresses (including copies to counsel) as may have been furnished by the Warrantholder to the Company in writing. To the extent that any notice provided in this Warrant constitutes, or contains, material, non-public information regarding the Company or any of the Subsidiaries, the Company shall simultaneously file such notice with the Commission pursuant to a Current Report on Form 8-K.</w:t>
      </w:r>
    </w:p>
    <w:p>
      <w:pPr>
        <w:spacing w:after="0" w:line="189" w:lineRule="exact"/>
        <w:rPr>
          <w:rFonts w:ascii="Times New Roman" w:cs="Times New Roman" w:eastAsia="Times New Roman" w:hAnsi="Times New Roman"/>
          <w:sz w:val="18"/>
          <w:szCs w:val="18"/>
          <w:color w:val="auto"/>
        </w:rPr>
      </w:pPr>
    </w:p>
    <w:p>
      <w:pPr>
        <w:ind w:left="1560" w:hanging="515"/>
        <w:spacing w:after="0"/>
        <w:tabs>
          <w:tab w:leader="none" w:pos="15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or unenforceability of any provision hereof shall in no way affect the validity or enforceability of any other provisions.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447675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color w:val="auto"/>
        </w:rPr>
        <w:t>IN WITNESS WHEREOF, this Common Stock Purchase Warrant is issued effective as of the date first set forth above.</w:t>
      </w: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TAPIMMUNE INC.</w:t>
      </w:r>
    </w:p>
    <w:p>
      <w:pPr>
        <w:spacing w:after="0" w:line="200" w:lineRule="exact"/>
        <w:rPr>
          <w:sz w:val="20"/>
          <w:szCs w:val="20"/>
          <w:color w:val="auto"/>
        </w:rPr>
      </w:pPr>
    </w:p>
    <w:p>
      <w:pPr>
        <w:spacing w:after="0" w:line="2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3662680</wp:posOffset>
            </wp:positionH>
            <wp:positionV relativeFrom="paragraph">
              <wp:posOffset>-130810</wp:posOffset>
            </wp:positionV>
            <wp:extent cx="32588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20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434340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99"/>
          </w:cols>
          <w:pgMar w:left="760" w:top="904" w:right="1440"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NOTICE OF EXERCISE</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be signed only upon exercise of Warrant)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TapImmune Inc.</w:t>
      </w:r>
    </w:p>
    <w:p>
      <w:pPr>
        <w:spacing w:after="0" w:line="225" w:lineRule="exact"/>
        <w:rPr>
          <w:sz w:val="20"/>
          <w:szCs w:val="20"/>
          <w:color w:val="auto"/>
        </w:rPr>
      </w:pPr>
    </w:p>
    <w:p>
      <w:pPr>
        <w:jc w:val="both"/>
        <w:ind w:firstLine="519"/>
        <w:spacing w:after="0" w:line="282" w:lineRule="auto"/>
        <w:rPr>
          <w:sz w:val="20"/>
          <w:szCs w:val="20"/>
          <w:color w:val="auto"/>
        </w:rPr>
      </w:pPr>
      <w:r>
        <w:rPr>
          <w:rFonts w:ascii="Times New Roman" w:cs="Times New Roman" w:eastAsia="Times New Roman" w:hAnsi="Times New Roman"/>
          <w:sz w:val="18"/>
          <w:szCs w:val="18"/>
          <w:color w:val="auto"/>
        </w:rPr>
        <w:t>The undersigned, the Warrantholder of the attached Warrant, hereby irrevocably elects to exercise the purchase right represented by such Warrant for, and to purchase thereunder, __________________________ (________) shares of Common Stock of TapImmune Inc. and (choose one)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__________ herewith makes payment of ___________________________ Dollars ($_________) thereof</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__________ elects to Net Exercise the Warrant pursuant to </w:t>
      </w:r>
      <w:r>
        <w:rPr>
          <w:rFonts w:ascii="Times New Roman" w:cs="Times New Roman" w:eastAsia="Times New Roman" w:hAnsi="Times New Roman"/>
          <w:sz w:val="18"/>
          <w:szCs w:val="18"/>
          <w:u w:val="single" w:color="auto"/>
          <w:color w:val="auto"/>
        </w:rPr>
        <w:t>Section 1(b)(2)</w:t>
      </w:r>
      <w:r>
        <w:rPr>
          <w:rFonts w:ascii="Times New Roman" w:cs="Times New Roman" w:eastAsia="Times New Roman" w:hAnsi="Times New Roman"/>
          <w:sz w:val="18"/>
          <w:szCs w:val="18"/>
          <w:color w:val="auto"/>
        </w:rPr>
        <w:t xml:space="preserve"> thereof.</w:t>
      </w:r>
    </w:p>
    <w:p>
      <w:pPr>
        <w:spacing w:after="0" w:line="225" w:lineRule="exact"/>
        <w:rPr>
          <w:sz w:val="20"/>
          <w:szCs w:val="20"/>
          <w:color w:val="auto"/>
        </w:rPr>
      </w:pPr>
    </w:p>
    <w:p>
      <w:pPr>
        <w:ind w:right="320" w:firstLine="519"/>
        <w:spacing w:after="0" w:line="261" w:lineRule="auto"/>
        <w:rPr>
          <w:sz w:val="20"/>
          <w:szCs w:val="20"/>
          <w:color w:val="auto"/>
        </w:rPr>
      </w:pPr>
      <w:r>
        <w:rPr>
          <w:rFonts w:ascii="Times New Roman" w:cs="Times New Roman" w:eastAsia="Times New Roman" w:hAnsi="Times New Roman"/>
          <w:sz w:val="18"/>
          <w:szCs w:val="18"/>
          <w:color w:val="auto"/>
        </w:rPr>
        <w:t>The undersigned requests that the certificates or book entry position evidencing the shares to be acquired pursuant to such exercise be issued in the name of, and delivered to __________________________________________, whose address is</w:t>
      </w: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____________________________________________________________________________________________________.</w:t>
      </w:r>
    </w:p>
    <w:p>
      <w:pPr>
        <w:spacing w:after="0" w:line="207" w:lineRule="exact"/>
        <w:rPr>
          <w:sz w:val="20"/>
          <w:szCs w:val="20"/>
          <w:color w:val="auto"/>
        </w:rPr>
      </w:pPr>
    </w:p>
    <w:p>
      <w:pPr>
        <w:jc w:val="both"/>
        <w:ind w:firstLine="519"/>
        <w:spacing w:after="0" w:line="266" w:lineRule="auto"/>
        <w:rPr>
          <w:sz w:val="20"/>
          <w:szCs w:val="20"/>
          <w:color w:val="auto"/>
        </w:rPr>
      </w:pPr>
      <w:r>
        <w:rPr>
          <w:rFonts w:ascii="Times New Roman" w:cs="Times New Roman" w:eastAsia="Times New Roman" w:hAnsi="Times New Roman"/>
          <w:sz w:val="18"/>
          <w:szCs w:val="18"/>
          <w:color w:val="auto"/>
        </w:rPr>
        <w:t xml:space="preserve">By its signature below the undersigned hereby represents and warrants that it is an “accredited investor” as defined in Rule 501(a) of Regulation D promulgated under the Securities Act of 1933, as amended, and agrees to be bound by the terms and conditions of the attached Warrant as of the date hereof, including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thereof.</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17145</wp:posOffset>
            </wp:positionV>
            <wp:extent cx="30441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(Signature must conform in all respects to name of the Warrantholder as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specified on the face of the Warrant)</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-127635</wp:posOffset>
            </wp:positionV>
            <wp:extent cx="36188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142875</wp:posOffset>
            </wp:positionV>
            <wp:extent cx="361886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5715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726440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NOTICE OF ASSIGNMENT FORM</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VALUE RECEIVED, [_________] (the “</w:t>
      </w:r>
      <w:r>
        <w:rPr>
          <w:rFonts w:ascii="Times New Roman" w:cs="Times New Roman" w:eastAsia="Times New Roman" w:hAnsi="Times New Roman"/>
          <w:sz w:val="18"/>
          <w:szCs w:val="18"/>
          <w:u w:val="single" w:color="auto"/>
          <w:color w:val="auto"/>
        </w:rPr>
        <w:t>Assignor</w:t>
      </w:r>
      <w:r>
        <w:rPr>
          <w:rFonts w:ascii="Times New Roman" w:cs="Times New Roman" w:eastAsia="Times New Roman" w:hAnsi="Times New Roman"/>
          <w:sz w:val="18"/>
          <w:szCs w:val="18"/>
          <w:color w:val="auto"/>
        </w:rPr>
        <w:t>”) hereby sells, assigns and transfers all of the rights of the undersigned Assignor under the</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attached Warrant with respect to the number of shares of common stock of TapImmune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covered thereby set forth below, to the following “</w:t>
      </w:r>
      <w:r>
        <w:rPr>
          <w:rFonts w:ascii="Times New Roman" w:cs="Times New Roman" w:eastAsia="Times New Roman" w:hAnsi="Times New Roman"/>
          <w:sz w:val="18"/>
          <w:szCs w:val="18"/>
          <w:u w:val="single" w:color="auto"/>
          <w:color w:val="auto"/>
        </w:rPr>
        <w:t>Assignee</w:t>
      </w:r>
      <w:r>
        <w:rPr>
          <w:rFonts w:ascii="Times New Roman" w:cs="Times New Roman" w:eastAsia="Times New Roman" w:hAnsi="Times New Roman"/>
          <w:sz w:val="18"/>
          <w:szCs w:val="18"/>
          <w:color w:val="auto"/>
        </w:rPr>
        <w:t xml:space="preserve">” and, in connection with such transfer, represents and warrants to the Company that the transfer is in compliance with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and applicable federal and state securities laws:</w:t>
            </w:r>
          </w:p>
        </w:tc>
        <w:tc>
          <w:tcPr>
            <w:tcW w:w="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362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NAME OF ASSIGNEE</w:t>
            </w:r>
          </w:p>
        </w:tc>
        <w:tc>
          <w:tcPr>
            <w:tcW w:w="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ADDRESS/FAX NUMBER</w:t>
            </w:r>
          </w:p>
        </w:tc>
      </w:tr>
      <w:tr>
        <w:trPr>
          <w:trHeight w:val="64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2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53"/>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620" w:type="dxa"/>
            <w:vAlign w:val="bottom"/>
            <w:tcBorders>
              <w:bottom w:val="single" w:sz="8" w:color="auto"/>
            </w:tcBorders>
            <w:gridSpan w:val="2"/>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Signature:</w:t>
            </w:r>
          </w:p>
        </w:tc>
        <w:tc>
          <w:tcPr>
            <w:tcW w:w="3980" w:type="dxa"/>
            <w:vAlign w:val="bottom"/>
            <w:tcBorders>
              <w:bottom w:val="single" w:sz="8" w:color="auto"/>
            </w:tcBorders>
          </w:tcPr>
          <w:p>
            <w:pPr>
              <w:spacing w:after="0"/>
              <w:rPr>
                <w:sz w:val="24"/>
                <w:szCs w:val="24"/>
                <w:color w:val="auto"/>
              </w:rPr>
            </w:pPr>
          </w:p>
        </w:tc>
      </w:tr>
      <w:tr>
        <w:trPr>
          <w:trHeight w:val="45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8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Witness:</w:t>
            </w:r>
          </w:p>
        </w:tc>
        <w:tc>
          <w:tcPr>
            <w:tcW w:w="3980" w:type="dxa"/>
            <w:vAlign w:val="bottom"/>
            <w:tcBorders>
              <w:bottom w:val="single" w:sz="8" w:color="auto"/>
            </w:tcBorders>
          </w:tcPr>
          <w:p>
            <w:pPr>
              <w:spacing w:after="0"/>
              <w:rPr>
                <w:sz w:val="24"/>
                <w:szCs w:val="24"/>
                <w:color w:val="auto"/>
              </w:rPr>
            </w:pPr>
          </w:p>
        </w:tc>
      </w:tr>
      <w:tr>
        <w:trPr>
          <w:trHeight w:val="426"/>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72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ASSIGNEE ACKNOWLEDGMENT</w:t>
            </w:r>
          </w:p>
        </w:tc>
      </w:tr>
    </w:tbl>
    <w:p>
      <w:pPr>
        <w:spacing w:after="0" w:line="198" w:lineRule="exact"/>
        <w:rPr>
          <w:sz w:val="20"/>
          <w:szCs w:val="20"/>
          <w:color w:val="auto"/>
        </w:rPr>
      </w:pPr>
    </w:p>
    <w:p>
      <w:pPr>
        <w:jc w:val="both"/>
        <w:ind w:firstLine="519"/>
        <w:spacing w:after="0" w:line="266" w:lineRule="auto"/>
        <w:rPr>
          <w:sz w:val="20"/>
          <w:szCs w:val="20"/>
          <w:color w:val="auto"/>
        </w:rPr>
      </w:pPr>
      <w:r>
        <w:rPr>
          <w:rFonts w:ascii="Times New Roman" w:cs="Times New Roman" w:eastAsia="Times New Roman" w:hAnsi="Times New Roman"/>
          <w:sz w:val="18"/>
          <w:szCs w:val="18"/>
          <w:color w:val="auto"/>
        </w:rPr>
        <w:t xml:space="preserve">The undersigned Assignee acknowledges that it has reviewed the attached Warrant and by its signature below it hereby represents and warrants that it is an “accredited investor” as defined in Rule 501(a) of Regulation D promulgated under the Securities Act of 1933, as amended, and agrees to be bound by the terms and conditions of the Warrant as of the date hereof, including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thereof.</w:t>
      </w:r>
    </w:p>
    <w:p>
      <w:pPr>
        <w:spacing w:after="0" w:line="17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17145</wp:posOffset>
            </wp:positionV>
            <wp:extent cx="2752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46"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32670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3267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3267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67075"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-121920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889000</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 ● ], 2018, between TapImmune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 identified on the signature pages hereto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In addition to the terms defined elsewhere in this Agreement, for all purposes of this Agreement, the following terms have the meanings set forth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Purchase Price</w:t>
      </w:r>
      <w:r>
        <w:rPr>
          <w:rFonts w:ascii="Times New Roman" w:cs="Times New Roman" w:eastAsia="Times New Roman" w:hAnsi="Times New Roman"/>
          <w:sz w:val="18"/>
          <w:szCs w:val="18"/>
          <w:color w:val="auto"/>
        </w:rPr>
        <w:t>” means, as to each Purchaser, the aggregate amount to be paid for Shares and Warrants purchased hereunder as specified below such Purchaser’s name on the signature page of this Agreement and next to the heading “Aggregate Purchase Price,” in United States dollars and in immediately available funds.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Rule 144 Full Liquidity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Bridge Financing Agreements</w:t>
      </w:r>
      <w:r>
        <w:rPr>
          <w:rFonts w:ascii="Times New Roman" w:cs="Times New Roman" w:eastAsia="Times New Roman" w:hAnsi="Times New Roman"/>
          <w:sz w:val="18"/>
          <w:szCs w:val="18"/>
          <w:color w:val="auto"/>
        </w:rPr>
        <w:t>” means the following agreements: (i) Common Stock Purchase Agreement, dated as of May 14, 2018, by and among the Company and Eastern Capital Limited; (ii) Warrant Exercise Agreement, dated as of May 14, 2018, by and between the Company and Empery Asset Master, Ltd, Empery Tax Efficient, LP and Empery Tax Efficient II, LP; (iii) Warrant Exercise Agreement, dated as of May 14, 2018, by and between the Company and Brio Capital Master Fund Ltd, (iv) Warrant Exercise Agreement, dated as of May 14, 2018, by and between the Company and The Bennett Abbe Irrevocable Trust, Iroquois Master Fund Ltd., The Merav Abbe Irrevocable Trust, The Samantha Abbe Irrevocable Trust, The Talia Abbe Irrevocable Trust; and (v) Warrant Exercise Agreement, dated as of May 14, 2018, by and between the Company and Kensington Investment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 w:name="page31"/>
    <w:bookmarkEnd w:id="3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Co-Placement Agent</w:t>
      </w:r>
      <w:r>
        <w:rPr>
          <w:rFonts w:ascii="Times New Roman" w:cs="Times New Roman" w:eastAsia="Times New Roman" w:hAnsi="Times New Roman"/>
          <w:sz w:val="18"/>
          <w:szCs w:val="18"/>
          <w:color w:val="auto"/>
        </w:rPr>
        <w:t>” means Nomura Securities International,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Seyfarth Shaw LLP, with offices located at 700 Milam St., Suite #1400, Houston, Texas, 77002.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Difference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Deadline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3.1(jj)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tabs>
          <w:tab w:leader="none" w:pos="2620" w:val="left"/>
          <w:tab w:leader="none" w:pos="4120" w:val="left"/>
        </w:tabs>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Agent</w:t>
      </w:r>
      <w:r>
        <w:rPr>
          <w:rFonts w:ascii="Times New Roman" w:cs="Times New Roman" w:eastAsia="Times New Roman" w:hAnsi="Times New Roman"/>
          <w:sz w:val="18"/>
          <w:szCs w:val="18"/>
          <w:color w:val="auto"/>
        </w:rPr>
        <w:t>” means [</w:t>
        <w:tab/>
        <w:t>], with offices at [</w:t>
      </w:r>
      <w:r>
        <w:rPr>
          <w:sz w:val="20"/>
          <w:szCs w:val="20"/>
          <w:color w:val="auto"/>
        </w:rPr>
        <w:tab/>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the escrow agreement entered into prior to the date hereof, by and among the Company, the Escrow Agent and the Lead Placement Agent pursuant to which the Purchasers shall deposit the Aggregate Purchase Price with the Escrow Agent to be applied to the transactions contemplated hereunder.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xml:space="preserve">” means the issuance of (1) shares of Common Stock or options to employees, consultants, officers or directors of the Company pursuant to any stock or option plan duly adopted for such purpose by the Company’s Board of Directors or a majority of the members of a committee established for such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securities to be issued to consultants are issued as “restricted securities” (as defined in Rule 144) and carry no registration rights that require or permit the filing of any registration statement in connection therewith during the prohibition period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herein (2) shares of Common Stock upon exercise, exchange or conversion of securities that are issued and outstanding on the Closing Date and that are exercisable, exchangeable for or convertible into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securities have not been amended since the Closing Date to increase the number of such shares of Common Stock, to decrease the exercise, exchange or conversion price of such securities or extend the term of such securities; and</w:t>
      </w:r>
    </w:p>
    <w:p>
      <w:pPr>
        <w:spacing w:after="0" w:line="4" w:lineRule="exact"/>
        <w:rPr>
          <w:sz w:val="20"/>
          <w:szCs w:val="20"/>
          <w:color w:val="auto"/>
        </w:rPr>
      </w:pPr>
    </w:p>
    <w:p>
      <w:pPr>
        <w:jc w:val="both"/>
        <w:ind w:firstLine="8"/>
        <w:spacing w:after="0" w:line="252" w:lineRule="auto"/>
        <w:tabs>
          <w:tab w:leader="none" w:pos="25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3.1(dd)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3.1(dd)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3.1(gg)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FINRA Member</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3.1(z)</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Lead Placement Agent</w:t>
      </w:r>
      <w:r>
        <w:rPr>
          <w:rFonts w:ascii="Times New Roman" w:cs="Times New Roman" w:eastAsia="Times New Roman" w:hAnsi="Times New Roman"/>
          <w:sz w:val="18"/>
          <w:szCs w:val="18"/>
          <w:color w:val="auto"/>
        </w:rPr>
        <w:t>” means the sole lead placement agent, Piper Jaffray &amp; Co.</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Mayer Brown</w:t>
      </w:r>
      <w:r>
        <w:rPr>
          <w:rFonts w:ascii="Times New Roman" w:cs="Times New Roman" w:eastAsia="Times New Roman" w:hAnsi="Times New Roman"/>
          <w:sz w:val="18"/>
          <w:szCs w:val="18"/>
          <w:color w:val="auto"/>
        </w:rPr>
        <w:t>” means Mayer Brown LLP, with offices located at 1221 Avenue of the Americas, New York, New York 10020.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means the merger of the Company and Marker Therapeutics, Inc., as contemplated by the Merger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means the Agreement and Plan or Merger and Reorganization entered into among the Company, Timberwolf Merger Sub,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Marker Therapeutics, Inc., dated as of May 15, 2018.</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3.1(hh)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means the agreements in the form of this Agreement signed by the Other Purchasers.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Purchasers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Warrants</w:t>
      </w:r>
      <w:r>
        <w:rPr>
          <w:rFonts w:ascii="Times New Roman" w:cs="Times New Roman" w:eastAsia="Times New Roman" w:hAnsi="Times New Roman"/>
          <w:sz w:val="18"/>
          <w:szCs w:val="18"/>
          <w:color w:val="auto"/>
        </w:rPr>
        <w:t xml:space="preserve">” means the warrants in the form of the Warrant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executed by the Company and delivered to the Other Purchasers.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3.1(ff)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Agents</w:t>
      </w:r>
      <w:r>
        <w:rPr>
          <w:rFonts w:ascii="Times New Roman" w:cs="Times New Roman" w:eastAsia="Times New Roman" w:hAnsi="Times New Roman"/>
          <w:sz w:val="18"/>
          <w:szCs w:val="18"/>
          <w:color w:val="auto"/>
        </w:rPr>
        <w:t>” means both the Lead Placement Agent and the Co-Placement Agent.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3.2(k)(a)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4.1(h)</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Reduction Securities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Reincorporation</w:t>
      </w:r>
      <w:r>
        <w:rPr>
          <w:rFonts w:ascii="Times New Roman" w:cs="Times New Roman" w:eastAsia="Times New Roman" w:hAnsi="Times New Roman"/>
          <w:sz w:val="18"/>
          <w:szCs w:val="18"/>
          <w:color w:val="auto"/>
        </w:rPr>
        <w:t>” means the anticipated reincorporation of the Company from a Nevada corporation to a Delaware corporation contemporaneously with the completion of the Merger.</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Shareholder Approval</w:t>
      </w:r>
      <w:r>
        <w:rPr>
          <w:rFonts w:ascii="Times New Roman" w:cs="Times New Roman" w:eastAsia="Times New Roman" w:hAnsi="Times New Roman"/>
          <w:sz w:val="18"/>
          <w:szCs w:val="18"/>
          <w:color w:val="auto"/>
        </w:rPr>
        <w:t>” means the approval of the Merger and the issuance of the Securities pursuant to this Agreement by the shareholders of the Company in accordance with Section 5635 of the Nasdaq Stock Market Rules.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the Purchaser pursuant to this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the location and/or reservation of borrowable shares of Common Stock).</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3.1(ii)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means any subsidiary of the Company as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shall have the meaning ascribed to such term in </w:t>
      </w:r>
      <w:r>
        <w:rPr>
          <w:rFonts w:ascii="Times New Roman" w:cs="Times New Roman" w:eastAsia="Times New Roman" w:hAnsi="Times New Roman"/>
          <w:sz w:val="18"/>
          <w:szCs w:val="18"/>
          <w:u w:val="single" w:color="auto"/>
          <w:color w:val="auto"/>
        </w:rPr>
        <w:t>Section 3.2(k)(a)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LLC, the Nasdaq Capital Market, the Nasdaq Global Market, the Nasdaq Global Select Market, the New York Stock Exchange or the OTCQB or OTCQX (or any successors to any of the foregoing).</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Other Agreements, the Warrants, the Other Warrants, the Merger Agreement, including the exhibits and schedules thereto, the Bridge Financing Agreements, and any other documents or agreements executed in connection with the transactions contemplated hereunder.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Island Stock Transfer, the current transfer agent of the Company, with a mailing address of 1550 Roosevelt Blvd., Suite 301, Clearwater, Florida, 33760, and a facsimile number of (727) 289-0069, and any successor transfer agent of the Company.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xml:space="preserve">” means, collectively, the Common Stock purchase warrants delivered to the Purchasers at the Closing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hereof, which Warrants shall be exercisable immediately and have a term of exercise equal to five years,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the shares of Common Stock issuable upon exercise of the Warrants.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On the Closing Date, upon the terms and subject to the conditions set forth herein, substantially concurrent with the execution and delivery of this Agreement by the parties hereto, the Company agrees to sell, and the Purchaser, agrees to purchase: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gridSpan w:val="3"/>
          </w:tcPr>
          <w:p>
            <w:pPr>
              <w:jc w:val="center"/>
              <w:ind w:right="435"/>
              <w:spacing w:after="0"/>
              <w:rPr>
                <w:sz w:val="20"/>
                <w:szCs w:val="20"/>
                <w:color w:val="auto"/>
              </w:rPr>
            </w:pPr>
            <w:r>
              <w:rPr>
                <w:rFonts w:ascii="Times New Roman" w:cs="Times New Roman" w:eastAsia="Times New Roman" w:hAnsi="Times New Roman"/>
                <w:sz w:val="18"/>
                <w:szCs w:val="18"/>
                <w:b w:val="1"/>
                <w:bCs w:val="1"/>
                <w:color w:val="auto"/>
                <w:w w:val="99"/>
              </w:rPr>
              <w:t>Number of Shares to be</w:t>
            </w: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Price Per</w:t>
            </w:r>
          </w:p>
        </w:tc>
        <w:tc>
          <w:tcPr>
            <w:tcW w:w="23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Number of Warrants to</w:t>
            </w: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2820" w:type="dxa"/>
            <w:vAlign w:val="bottom"/>
            <w:gridSpan w:val="3"/>
          </w:tcPr>
          <w:p>
            <w:pPr>
              <w:jc w:val="center"/>
              <w:ind w:right="415"/>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188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360" w:type="dxa"/>
            <w:vAlign w:val="bottom"/>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be Purchased</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Aggregate Purchase Price</w:t>
            </w:r>
          </w:p>
        </w:tc>
      </w:tr>
      <w:tr>
        <w:trPr>
          <w:trHeight w:val="210"/>
        </w:trPr>
        <w:tc>
          <w:tcPr>
            <w:tcW w:w="2200" w:type="dxa"/>
            <w:vAlign w:val="bottom"/>
            <w:tcBorders>
              <w:top w:val="single" w:sz="8" w:color="auto"/>
            </w:tcBorders>
            <w:shd w:val="clear" w:color="auto" w:fill="CCEEFF"/>
          </w:tcPr>
          <w:p>
            <w:pPr>
              <w:ind w:left="1980"/>
              <w:spacing w:after="0"/>
              <w:rPr>
                <w:sz w:val="20"/>
                <w:szCs w:val="20"/>
                <w:color w:val="auto"/>
              </w:rPr>
            </w:pPr>
            <w:r>
              <w:rPr>
                <w:rFonts w:ascii="Times New Roman" w:cs="Times New Roman" w:eastAsia="Times New Roman" w:hAnsi="Times New Roman"/>
                <w:sz w:val="18"/>
                <w:szCs w:val="18"/>
                <w:color w:val="auto"/>
                <w:w w:val="87"/>
              </w:rPr>
              <w:t>[●]</w:t>
            </w: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170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w w:val="87"/>
              </w:rPr>
              <w:t>[●]</w:t>
            </w:r>
          </w:p>
        </w:tc>
        <w:tc>
          <w:tcPr>
            <w:tcW w:w="1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w w:val="87"/>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w w:val="96"/>
              </w:rPr>
              <w:t>[●]</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 proposes to enter into this same form of securities purchase agreement, including the form of warrant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with certain other investors (the “</w:t>
      </w:r>
      <w:r>
        <w:rPr>
          <w:rFonts w:ascii="Times New Roman" w:cs="Times New Roman" w:eastAsia="Times New Roman" w:hAnsi="Times New Roman"/>
          <w:sz w:val="18"/>
          <w:szCs w:val="18"/>
          <w:u w:val="single" w:color="auto"/>
          <w:color w:val="auto"/>
        </w:rPr>
        <w:t>Other Purchasers</w:t>
      </w:r>
      <w:r>
        <w:rPr>
          <w:rFonts w:ascii="Times New Roman" w:cs="Times New Roman" w:eastAsia="Times New Roman" w:hAnsi="Times New Roman"/>
          <w:sz w:val="18"/>
          <w:szCs w:val="18"/>
          <w:color w:val="auto"/>
        </w:rPr>
        <w:t>”) and expects to complete sales of shares of Common Stock and warrants to purchase Common Stock to them. The Purchaser and the Other Purchasers are hereinafter sometimes collectively referred to as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and this Agreement, the Warrant, and the purchase agreements and warrants executed by the Other Purchasers are hereinafter sometimes collectively referred to as the “</w:t>
      </w:r>
      <w:r>
        <w:rPr>
          <w:rFonts w:ascii="Times New Roman" w:cs="Times New Roman" w:eastAsia="Times New Roman" w:hAnsi="Times New Roman"/>
          <w:sz w:val="18"/>
          <w:szCs w:val="18"/>
          <w:u w:val="single" w:color="auto"/>
          <w:color w:val="auto"/>
        </w:rPr>
        <w:t>Agreements</w:t>
      </w:r>
      <w:r>
        <w:rPr>
          <w:rFonts w:ascii="Times New Roman" w:cs="Times New Roman" w:eastAsia="Times New Roman" w:hAnsi="Times New Roman"/>
          <w:sz w:val="18"/>
          <w:szCs w:val="18"/>
          <w:color w:val="auto"/>
        </w:rPr>
        <w:t>.” The Warrants shall have an exercise price equal to $[___] per Warrant Share (subject to adjustment as provided in such Warrants).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u w:val="single" w:color="auto"/>
          <w:color w:val="auto"/>
        </w:rPr>
        <w:t>Deliveries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56"/>
        <w:spacing w:after="0" w:line="261" w:lineRule="auto"/>
        <w:tabs>
          <w:tab w:leader="none" w:pos="131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purchase and sale of the Shares and the Warrants being purchased hereunder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occur remotely via the exchange of documents and signatures on the Effective Date, promptly following the satisfaction of all conditions for Closing set forth below (the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 or on such later date or at such different location as the parties shall agree to in writing, but not prior to or later than the third business day after the date that the Closing Conditions have been satisfied or waived by the appropriate party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At the Closing, the Purchaser shall deliver to the Escrow Agent, via wire transfer of immediately available funds, the Aggregate Purchase Price as set forth on the signature page hereto executed by such Purchaser, and the Company shall deliver to each Purchaser (or its designated custodian per its delivery instructions), (i) the Shares in electronic, book-entry form, registered in the name of the Purchaser, or in such nominee name(s) as designated by the Purchaser in writing representing, or confirmation of instruction given by the Company to the Transfer Agent to register the Shares in electronic, book-entry form with respect to, the number of Shares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above and bearing an appropriate legend referring to the fact that the Shares were sold in reliance upon the exemption from registration under the Securities Act, provided by Section 4(a)(2) thereof; and (ii) the Warrants, registered in the name of the Purchaser, or in such nominee name(s) as designated by the Purchaser in writing,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representing the number of Warrants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and bearing an appropriate legend referring to the fact that the Warrants were sold in reliance upon the exemption from registration under the Securities Act provided by Section 4(a)(2) thereof. At such time as the registration statement filed by the Company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xml:space="preserve">”) becomes effective, the Company shall deliver to the Company’s transfer agent written instructions in proper form to the effect that, notwithstanding any legend contemplated under </w:t>
      </w: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 xml:space="preserve"> hereof that is set forth in any certificate or certificates or book-entry designation representing any of the Shares or the Warrants being purchased hereunder, the Company’s transfer agent can implement and effect any proposed sale by the Purchaser of any of such Shares or Warrants if such proposed sale is under the Resale Registration Statement and the Purchaser has complied with all of its obligations under </w:t>
      </w:r>
      <w:r>
        <w:rPr>
          <w:rFonts w:ascii="Times New Roman" w:cs="Times New Roman" w:eastAsia="Times New Roman" w:hAnsi="Times New Roman"/>
          <w:sz w:val="18"/>
          <w:szCs w:val="18"/>
          <w:u w:val="single" w:color="auto"/>
          <w:color w:val="auto"/>
        </w:rPr>
        <w:t>Section 3.2(k)(a)</w:t>
      </w:r>
      <w:r>
        <w:rPr>
          <w:rFonts w:ascii="Times New Roman" w:cs="Times New Roman" w:eastAsia="Times New Roman" w:hAnsi="Times New Roman"/>
          <w:sz w:val="18"/>
          <w:szCs w:val="18"/>
          <w:color w:val="auto"/>
        </w:rPr>
        <w:t xml:space="preserve"> hereof.</w:t>
      </w:r>
    </w:p>
    <w:p>
      <w:pPr>
        <w:spacing w:after="0" w:line="199"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Closing Conditions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4"/>
        <w:spacing w:after="0"/>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jc w:val="both"/>
        <w:ind w:left="4" w:firstLine="645"/>
        <w:spacing w:after="0" w:line="266" w:lineRule="auto"/>
        <w:tabs>
          <w:tab w:leader="none" w:pos="1309"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on the Closing Date of the representations and warranties made by the Purchaser (unless as of a specific date therein in which case they shall be accurate as of such date);</w:t>
      </w:r>
    </w:p>
    <w:p>
      <w:pPr>
        <w:spacing w:after="0" w:line="176" w:lineRule="exact"/>
        <w:rPr>
          <w:rFonts w:ascii="Times New Roman" w:cs="Times New Roman" w:eastAsia="Times New Roman" w:hAnsi="Times New Roman"/>
          <w:sz w:val="18"/>
          <w:szCs w:val="18"/>
          <w:color w:val="auto"/>
        </w:rPr>
      </w:pPr>
    </w:p>
    <w:p>
      <w:pPr>
        <w:ind w:left="1264" w:hanging="615"/>
        <w:spacing w:after="0"/>
        <w:tabs>
          <w:tab w:leader="none" w:pos="12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fulfillment in all material respects of those undertakings of the Purchaser to be fulfilled prior to the Closing;</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39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Escrow Agent of a wire transfer to the account specified in the Escrow Agreement of same-day funds in the full amount of the Aggregate Purchase Price for the Shares and the Warrants being purchased hereunder and the shares of Common Stock and the Other Warrants being purchased under each of the Other Agreements executed by an Other Purchaser;</w:t>
      </w:r>
    </w:p>
    <w:p>
      <w:pPr>
        <w:spacing w:after="0" w:line="176"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352"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to the Company by the Purchaser and the Other Purchasers of this Agreement and Other Agreements representing an aggregate gross purchase price of at least $[●] million;</w:t>
      </w:r>
    </w:p>
    <w:p>
      <w:pPr>
        <w:spacing w:after="0" w:line="161" w:lineRule="exact"/>
        <w:rPr>
          <w:rFonts w:ascii="Times New Roman" w:cs="Times New Roman" w:eastAsia="Times New Roman" w:hAnsi="Times New Roman"/>
          <w:sz w:val="18"/>
          <w:szCs w:val="18"/>
          <w:color w:val="auto"/>
        </w:rPr>
      </w:pPr>
    </w:p>
    <w:p>
      <w:pPr>
        <w:ind w:left="1264" w:hanging="615"/>
        <w:spacing w:after="0"/>
        <w:tabs>
          <w:tab w:leader="none" w:pos="12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shareholders of the Company of the Merger, and the execution and delivery of the Merger Agreement;</w:t>
      </w:r>
    </w:p>
    <w:p>
      <w:pPr>
        <w:spacing w:after="0" w:line="225" w:lineRule="exact"/>
        <w:rPr>
          <w:rFonts w:ascii="Times New Roman" w:cs="Times New Roman" w:eastAsia="Times New Roman" w:hAnsi="Times New Roman"/>
          <w:sz w:val="18"/>
          <w:szCs w:val="18"/>
          <w:color w:val="auto"/>
        </w:rPr>
      </w:pPr>
    </w:p>
    <w:p>
      <w:pPr>
        <w:ind w:left="1264" w:hanging="615"/>
        <w:spacing w:after="0"/>
        <w:tabs>
          <w:tab w:leader="none" w:pos="126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w:t>
      </w:r>
    </w:p>
    <w:p>
      <w:pPr>
        <w:spacing w:after="0" w:line="225"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Purchaser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4" w:firstLine="645"/>
        <w:spacing w:after="0" w:line="266" w:lineRule="auto"/>
        <w:tabs>
          <w:tab w:leader="none" w:pos="129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6" w:lineRule="exact"/>
        <w:rPr>
          <w:rFonts w:ascii="Times New Roman" w:cs="Times New Roman" w:eastAsia="Times New Roman" w:hAnsi="Times New Roman"/>
          <w:sz w:val="18"/>
          <w:szCs w:val="18"/>
          <w:color w:val="auto"/>
        </w:rPr>
      </w:pPr>
    </w:p>
    <w:p>
      <w:pPr>
        <w:ind w:left="1264" w:hanging="615"/>
        <w:spacing w:after="0"/>
        <w:tabs>
          <w:tab w:leader="none" w:pos="126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fulfillment in all material respects of those undertakings of the Company to be fulfilled prior to the Closing;</w:t>
      </w:r>
    </w:p>
    <w:p>
      <w:pPr>
        <w:spacing w:after="0" w:line="225"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3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by the Company that the aggregate gross purchase price represented by all executed Agreements with the Purchaser and all Other Purchasers is equal to at least $[●] million;</w:t>
      </w:r>
    </w:p>
    <w:p>
      <w:pPr>
        <w:spacing w:after="0" w:line="161" w:lineRule="exact"/>
        <w:rPr>
          <w:rFonts w:ascii="Times New Roman" w:cs="Times New Roman" w:eastAsia="Times New Roman" w:hAnsi="Times New Roman"/>
          <w:sz w:val="18"/>
          <w:szCs w:val="18"/>
          <w:color w:val="auto"/>
        </w:rPr>
      </w:pPr>
    </w:p>
    <w:p>
      <w:pPr>
        <w:ind w:left="4" w:firstLine="645"/>
        <w:spacing w:after="0" w:line="282" w:lineRule="auto"/>
        <w:tabs>
          <w:tab w:leader="none" w:pos="133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Placement Agents of a legal opinion addressed to the Placement Agents from Company Counsel and a comfort letter addressed to the Placement Agents from Marcum LLP;</w:t>
      </w:r>
    </w:p>
    <w:p>
      <w:pPr>
        <w:spacing w:after="0" w:line="161" w:lineRule="exact"/>
        <w:rPr>
          <w:rFonts w:ascii="Times New Roman" w:cs="Times New Roman" w:eastAsia="Times New Roman" w:hAnsi="Times New Roman"/>
          <w:sz w:val="18"/>
          <w:szCs w:val="18"/>
          <w:color w:val="auto"/>
        </w:rPr>
      </w:pPr>
    </w:p>
    <w:p>
      <w:pPr>
        <w:ind w:left="4" w:right="20" w:firstLine="645"/>
        <w:spacing w:after="0" w:line="282" w:lineRule="auto"/>
        <w:tabs>
          <w:tab w:leader="none" w:pos="14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Purchasers of a legal opinion addressed to the Purchasers from Company Counsel in form and substance reasonably acceptable to the Purchasers;</w:t>
      </w:r>
    </w:p>
    <w:p>
      <w:pPr>
        <w:spacing w:after="0" w:line="378" w:lineRule="exact"/>
        <w:rPr>
          <w:sz w:val="20"/>
          <w:szCs w:val="20"/>
          <w:color w:val="auto"/>
        </w:rPr>
      </w:pPr>
    </w:p>
    <w:p>
      <w:pPr>
        <w:ind w:left="50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37" w:name="page38"/>
    <w:bookmarkEnd w:id="37"/>
    <w:p>
      <w:pPr>
        <w:ind w:left="660" w:firstLine="645"/>
        <w:spacing w:after="0" w:line="282" w:lineRule="auto"/>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by the Placement Agents of a certificate executed by the chief executive officer and the chief financial or accounting officer of the Company, dated as of the Closing Date, to the effect that the conditions set forth in the foregoing clauses (i) and (ii) have been satisfied;</w:t>
      </w:r>
    </w:p>
    <w:p>
      <w:pPr>
        <w:spacing w:after="0" w:line="161" w:lineRule="exact"/>
        <w:rPr>
          <w:rFonts w:ascii="Times New Roman" w:cs="Times New Roman" w:eastAsia="Times New Roman" w:hAnsi="Times New Roman"/>
          <w:sz w:val="18"/>
          <w:szCs w:val="18"/>
          <w:color w:val="auto"/>
        </w:rPr>
      </w:pPr>
    </w:p>
    <w:p>
      <w:pPr>
        <w:ind w:left="2040" w:hanging="735"/>
        <w:spacing w:after="0"/>
        <w:tabs>
          <w:tab w:leader="none" w:pos="20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from Nasdaq of the approval of the listing of the shares of Common Stock issuable pursuant to this Agreement and the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w:t>
      </w:r>
    </w:p>
    <w:p>
      <w:pPr>
        <w:spacing w:after="0" w:line="206" w:lineRule="exact"/>
        <w:rPr>
          <w:rFonts w:ascii="Times New Roman" w:cs="Times New Roman" w:eastAsia="Times New Roman" w:hAnsi="Times New Roman"/>
          <w:sz w:val="18"/>
          <w:szCs w:val="18"/>
          <w:color w:val="auto"/>
        </w:rPr>
      </w:pPr>
    </w:p>
    <w:p>
      <w:pPr>
        <w:ind w:left="1940" w:hanging="635"/>
        <w:spacing w:after="0"/>
        <w:tabs>
          <w:tab w:leader="none" w:pos="19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obtaining the Required Shareholder Approval;</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Merger;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60" w:firstLine="645"/>
        <w:spacing w:after="0" w:line="255" w:lineRule="auto"/>
        <w:tabs>
          <w:tab w:leader="none" w:pos="20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the Purchaser as of the date hereof unless otherwise specified:</w:t>
      </w:r>
    </w:p>
    <w:p>
      <w:pPr>
        <w:spacing w:after="0" w:line="180" w:lineRule="exact"/>
        <w:rPr>
          <w:sz w:val="20"/>
          <w:szCs w:val="20"/>
          <w:color w:val="auto"/>
        </w:rPr>
      </w:pPr>
    </w:p>
    <w:p>
      <w:pPr>
        <w:jc w:val="both"/>
        <w:ind w:left="660" w:firstLine="645"/>
        <w:spacing w:after="0" w:line="258" w:lineRule="auto"/>
        <w:tabs>
          <w:tab w:leader="none" w:pos="2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All of the direct and indirect subsidiaries of the Company are set forth on </w:t>
      </w:r>
      <w:r>
        <w:rPr>
          <w:rFonts w:ascii="Times New Roman" w:cs="Times New Roman" w:eastAsia="Times New Roman" w:hAnsi="Times New Roman"/>
          <w:sz w:val="18"/>
          <w:szCs w:val="18"/>
          <w:u w:val="single" w:color="auto"/>
          <w:color w:val="auto"/>
        </w:rPr>
        <w:t>Schedule 3.1(a)</w:t>
      </w:r>
      <w:r>
        <w:rPr>
          <w:rFonts w:ascii="Times New Roman" w:cs="Times New Roman" w:eastAsia="Times New Roman" w:hAnsi="Times New Roman"/>
          <w:sz w:val="18"/>
          <w:szCs w:val="18"/>
          <w:color w:val="auto"/>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left="-540" w:firstLine="645"/>
        <w:spacing w:after="0" w:line="253" w:lineRule="auto"/>
        <w:tabs>
          <w:tab w:leader="none" w:pos="8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85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the Required Shareholder Approval.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82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9" w:name="page40"/>
    <w:bookmarkEnd w:id="39"/>
    <w:p>
      <w:pPr>
        <w:jc w:val="both"/>
        <w:ind w:left="-540" w:firstLine="645"/>
        <w:spacing w:after="0" w:line="266" w:lineRule="auto"/>
        <w:tabs>
          <w:tab w:leader="none" w:pos="82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xml:space="preserve">.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as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8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The Warrant Shares, when issued in accordance with the terms of the Warrants, will be validly issued fully paid and nonassessable, free and clear of all Liens imposed by the Company. The Company has reserved from its duly authorized capital stock the maximum number of shares of Common Stock issuable pursuant to this Agreement and the Warrants.</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863"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xml:space="preserve">. The capitalization of the Company is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Securities or as disclosed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and will not result in a right of any holder of Company securities to adjust the exercise, conversion, exchange or reset price under any of such securities. Except as set forth on </w:t>
      </w:r>
      <w:r>
        <w:rPr>
          <w:rFonts w:ascii="Times New Roman" w:cs="Times New Roman" w:eastAsia="Times New Roman" w:hAnsi="Times New Roman"/>
          <w:sz w:val="18"/>
          <w:szCs w:val="18"/>
          <w:u w:val="single" w:color="auto"/>
          <w:color w:val="auto"/>
        </w:rPr>
        <w:t>Schedule 3.1(g)</w:t>
      </w:r>
      <w:r>
        <w:rPr>
          <w:rFonts w:ascii="Times New Roman" w:cs="Times New Roman" w:eastAsia="Times New Roman" w:hAnsi="Times New Roman"/>
          <w:sz w:val="18"/>
          <w:szCs w:val="18"/>
          <w:color w:val="auto"/>
        </w:rPr>
        <w:t>, there are no outstanding securities or instruments of the Company or any Subsidiary that contain any redemption or similar provisions, and there are no contracts, commitments, understandings or arrangements by which the Company or any Subsidiary is or may be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40" w:name="page41"/>
    <w:bookmarkEnd w:id="40"/>
    <w:p>
      <w:pPr>
        <w:jc w:val="both"/>
        <w:ind w:left="-540" w:firstLine="645"/>
        <w:spacing w:after="0" w:line="252" w:lineRule="auto"/>
        <w:tabs>
          <w:tab w:leader="none" w:pos="78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1" w:name="page42"/>
    <w:bookmarkEnd w:id="41"/>
    <w:p>
      <w:pPr>
        <w:jc w:val="both"/>
        <w:ind w:left="4" w:firstLine="645"/>
        <w:spacing w:after="0" w:line="261" w:lineRule="auto"/>
        <w:tabs>
          <w:tab w:leader="none" w:pos="14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xml:space="preserve">. Since the date of the latest unaudited financial statements included within the SEC Reports, or in any subsequent SEC Report filed prior to the date hereof, except as specifically disclosed on </w:t>
      </w:r>
      <w:r>
        <w:rPr>
          <w:rFonts w:ascii="Times New Roman" w:cs="Times New Roman" w:eastAsia="Times New Roman" w:hAnsi="Times New Roman"/>
          <w:sz w:val="18"/>
          <w:szCs w:val="18"/>
          <w:u w:val="single" w:color="auto"/>
          <w:color w:val="auto"/>
        </w:rPr>
        <w:t>Schedule 3.1(i)</w:t>
      </w:r>
      <w:r>
        <w:rPr>
          <w:rFonts w:ascii="Times New Roman" w:cs="Times New Roman" w:eastAsia="Times New Roman" w:hAnsi="Times New Roman"/>
          <w:sz w:val="18"/>
          <w:szCs w:val="18"/>
          <w:color w:val="auto"/>
        </w:rPr>
        <w:t>,</w:t>
      </w:r>
    </w:p>
    <w:p>
      <w:pPr>
        <w:jc w:val="both"/>
        <w:ind w:left="4" w:hanging="4"/>
        <w:spacing w:after="0" w:line="251" w:lineRule="auto"/>
        <w:tabs>
          <w:tab w:leader="none" w:pos="22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the Transaction Documents and the Reincorporation,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Trading Day prior to the date that this representation is made.</w:t>
      </w:r>
    </w:p>
    <w:p>
      <w:pPr>
        <w:spacing w:after="0" w:line="193" w:lineRule="exact"/>
        <w:rPr>
          <w:rFonts w:ascii="Times New Roman" w:cs="Times New Roman" w:eastAsia="Times New Roman" w:hAnsi="Times New Roman"/>
          <w:sz w:val="18"/>
          <w:szCs w:val="18"/>
          <w:color w:val="auto"/>
        </w:rPr>
      </w:pPr>
    </w:p>
    <w:p>
      <w:pPr>
        <w:jc w:val="both"/>
        <w:ind w:left="4" w:firstLine="645"/>
        <w:spacing w:after="0" w:line="254" w:lineRule="auto"/>
        <w:tabs>
          <w:tab w:leader="none" w:pos="135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xml:space="preserve">”). None of the Actions set forth on </w:t>
      </w:r>
      <w:r>
        <w:rPr>
          <w:rFonts w:ascii="Times New Roman" w:cs="Times New Roman" w:eastAsia="Times New Roman" w:hAnsi="Times New Roman"/>
          <w:sz w:val="18"/>
          <w:szCs w:val="18"/>
          <w:u w:val="single" w:color="auto"/>
          <w:color w:val="auto"/>
        </w:rPr>
        <w:t>Schedule 3.1(j)</w:t>
      </w:r>
      <w:r>
        <w:rPr>
          <w:rFonts w:ascii="Times New Roman" w:cs="Times New Roman" w:eastAsia="Times New Roman" w:hAnsi="Times New Roman"/>
          <w:sz w:val="18"/>
          <w:szCs w:val="18"/>
          <w:color w:val="auto"/>
        </w:rPr>
        <w:t xml:space="preserve">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86" w:lineRule="exact"/>
        <w:rPr>
          <w:rFonts w:ascii="Times New Roman" w:cs="Times New Roman" w:eastAsia="Times New Roman" w:hAnsi="Times New Roman"/>
          <w:sz w:val="18"/>
          <w:szCs w:val="18"/>
          <w:color w:val="auto"/>
        </w:rPr>
      </w:pPr>
    </w:p>
    <w:p>
      <w:pPr>
        <w:jc w:val="both"/>
        <w:ind w:left="4" w:firstLine="645"/>
        <w:spacing w:after="0" w:line="253" w:lineRule="auto"/>
        <w:tabs>
          <w:tab w:leader="none" w:pos="1312"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09"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42" w:name="page43"/>
    <w:bookmarkEnd w:id="42"/>
    <w:p>
      <w:pPr>
        <w:jc w:val="both"/>
        <w:ind w:left="-540" w:firstLine="645"/>
        <w:spacing w:after="0" w:line="255" w:lineRule="auto"/>
        <w:tabs>
          <w:tab w:leader="none" w:pos="7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5"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111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76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3" w:name="page44"/>
    <w:bookmarkEnd w:id="43"/>
    <w:p>
      <w:pPr>
        <w:jc w:val="both"/>
        <w:ind w:left="-540" w:firstLine="645"/>
        <w:spacing w:after="0" w:line="253" w:lineRule="auto"/>
        <w:tabs>
          <w:tab w:leader="none" w:pos="8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76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sum of all of the Purchasers’ Aggregate Purchase Prices.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9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3.1(q)</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4" w:name="page45"/>
    <w:bookmarkEnd w:id="44"/>
    <w:p>
      <w:pPr>
        <w:jc w:val="both"/>
        <w:ind w:left="4" w:firstLine="645"/>
        <w:spacing w:after="0" w:line="254" w:lineRule="auto"/>
        <w:tabs>
          <w:tab w:leader="none" w:pos="13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w:t>
      </w:r>
    </w:p>
    <w:p>
      <w:pPr>
        <w:jc w:val="both"/>
        <w:ind w:left="4" w:hanging="4"/>
        <w:spacing w:after="0" w:line="251" w:lineRule="auto"/>
        <w:tabs>
          <w:tab w:leader="none" w:pos="3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rFonts w:ascii="Times New Roman" w:cs="Times New Roman" w:eastAsia="Times New Roman" w:hAnsi="Times New Roman"/>
          <w:sz w:val="18"/>
          <w:szCs w:val="18"/>
          <w:color w:val="auto"/>
        </w:rPr>
      </w:pPr>
    </w:p>
    <w:p>
      <w:pPr>
        <w:jc w:val="both"/>
        <w:ind w:left="4" w:firstLine="645"/>
        <w:spacing w:after="0" w:line="258" w:lineRule="auto"/>
        <w:tabs>
          <w:tab w:leader="none" w:pos="1319"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with respect to the Placement Agents,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jc w:val="both"/>
        <w:ind w:left="4" w:firstLine="645"/>
        <w:spacing w:after="0" w:line="261" w:lineRule="auto"/>
        <w:tabs>
          <w:tab w:leader="none" w:pos="131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0" w:lineRule="exact"/>
        <w:rPr>
          <w:rFonts w:ascii="Times New Roman" w:cs="Times New Roman" w:eastAsia="Times New Roman" w:hAnsi="Times New Roman"/>
          <w:sz w:val="18"/>
          <w:szCs w:val="18"/>
          <w:color w:val="auto"/>
        </w:rPr>
      </w:pPr>
    </w:p>
    <w:p>
      <w:pPr>
        <w:jc w:val="both"/>
        <w:ind w:left="4" w:firstLine="645"/>
        <w:spacing w:after="0" w:line="277" w:lineRule="auto"/>
        <w:tabs>
          <w:tab w:leader="none" w:pos="138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 Private Placement</w:t>
      </w:r>
      <w:r>
        <w:rPr>
          <w:rFonts w:ascii="Times New Roman" w:cs="Times New Roman" w:eastAsia="Times New Roman" w:hAnsi="Times New Roman"/>
          <w:sz w:val="17"/>
          <w:szCs w:val="17"/>
          <w:color w:val="auto"/>
        </w:rPr>
        <w:t xml:space="preserve">. Except as set forth on </w:t>
      </w:r>
      <w:r>
        <w:rPr>
          <w:rFonts w:ascii="Times New Roman" w:cs="Times New Roman" w:eastAsia="Times New Roman" w:hAnsi="Times New Roman"/>
          <w:sz w:val="17"/>
          <w:szCs w:val="17"/>
          <w:u w:val="single" w:color="auto"/>
          <w:color w:val="auto"/>
        </w:rPr>
        <w:t>Schedule 3.1(u)</w:t>
      </w:r>
      <w:r>
        <w:rPr>
          <w:rFonts w:ascii="Times New Roman" w:cs="Times New Roman" w:eastAsia="Times New Roman" w:hAnsi="Times New Roman"/>
          <w:sz w:val="17"/>
          <w:szCs w:val="17"/>
          <w:color w:val="auto"/>
        </w:rPr>
        <w:t xml:space="preserve"> or pursuant to the Agreements, no Person has any right to cause the Company or any Subsidiary to effect the registration under the Securities Act of any securities of the Company or any Subsidiary. Assuming the accuracy of the Purchasers’ representations and warranties set forth in this Agreement and the Other Agreements, no registration under the Securities Act is required for the offer and sale of the Securities by the Company to the Purchasers as contemplated hereby. Subject to obtaining the Required Shareholder Approval, the issuance and sale of the Securities does not contravene the rules and regulations of the Trading Market.</w:t>
      </w:r>
    </w:p>
    <w:p>
      <w:pPr>
        <w:spacing w:after="0" w:line="384"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45" w:name="page46"/>
    <w:bookmarkEnd w:id="45"/>
    <w:p>
      <w:pPr>
        <w:jc w:val="both"/>
        <w:ind w:left="-540" w:firstLine="645"/>
        <w:spacing w:after="0" w:line="255" w:lineRule="auto"/>
        <w:tabs>
          <w:tab w:leader="none" w:pos="7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8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83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4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46" w:name="page47"/>
    <w:bookmarkEnd w:id="46"/>
    <w:p>
      <w:pPr>
        <w:jc w:val="both"/>
        <w:ind w:left="-540" w:firstLine="645"/>
        <w:spacing w:after="0" w:line="252" w:lineRule="auto"/>
        <w:tabs>
          <w:tab w:leader="none" w:pos="82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 w:cs="Times New Roman" w:eastAsia="Times New Roman" w:hAnsi="Times New Roman"/>
          <w:sz w:val="18"/>
          <w:szCs w:val="18"/>
          <w:u w:val="single" w:color="auto"/>
          <w:color w:val="auto"/>
        </w:rPr>
        <w:t>Schedule 3.1(y)</w:t>
      </w:r>
      <w:r>
        <w:rPr>
          <w:rFonts w:ascii="Times New Roman" w:cs="Times New Roman" w:eastAsia="Times New Roman" w:hAnsi="Times New Roman"/>
          <w:sz w:val="18"/>
          <w:szCs w:val="18"/>
          <w:color w:val="auto"/>
        </w:rPr>
        <w:t xml:space="preserve"> sets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93"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93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both"/>
        <w:ind w:left="-540" w:firstLine="645"/>
        <w:spacing w:after="0" w:line="255" w:lineRule="auto"/>
        <w:tabs>
          <w:tab w:leader="none" w:pos="8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the Subsidiaries and, to the knowledge of the Company, its affiliates have conducted their businesses in compliance with the FCPA and have instituted and maintain policies and procedures designed to ensure, and reasonably expected to ensure, continued compliance therewith.</w:t>
      </w:r>
    </w:p>
    <w:p>
      <w:pPr>
        <w:spacing w:after="0" w:line="200" w:lineRule="exact"/>
        <w:rPr>
          <w:sz w:val="20"/>
          <w:szCs w:val="20"/>
          <w:color w:val="auto"/>
        </w:rPr>
      </w:pPr>
    </w:p>
    <w:p>
      <w:pPr>
        <w:spacing w:after="0" w:line="20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7" w:name="page48"/>
    <w:bookmarkEnd w:id="47"/>
    <w:p>
      <w:pPr>
        <w:jc w:val="both"/>
        <w:ind w:left="-540" w:firstLine="645"/>
        <w:spacing w:after="0" w:line="266" w:lineRule="auto"/>
        <w:tabs>
          <w:tab w:leader="none" w:pos="9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accounting firm is Marcum LLP. To the knowledge and belief of the Company, such accounting firm (i) is a registered public accounting firm as required by the Exchange Act and (ii) has expressed its opinion with respect to the financial statements included in the Company’s Annual Report for the fiscal year ended December 31, 2017.</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94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Agents in connection with the placement of the Securities.</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8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200" w:lineRule="exact"/>
        <w:rPr>
          <w:sz w:val="20"/>
          <w:szCs w:val="20"/>
          <w:color w:val="auto"/>
        </w:rPr>
      </w:pPr>
    </w:p>
    <w:p>
      <w:pPr>
        <w:spacing w:after="0" w:line="20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8" w:name="page49"/>
    <w:bookmarkEnd w:id="48"/>
    <w:p>
      <w:pPr>
        <w:jc w:val="both"/>
        <w:ind w:left="-540" w:firstLine="645"/>
        <w:spacing w:after="0" w:line="254" w:lineRule="auto"/>
        <w:tabs>
          <w:tab w:leader="none" w:pos="96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None of the Company, any of the Subsidiaries or, to the knowledge of the Company, any director, officer, agent, employee affiliate or other person acting on behalf of the Company or any of the Subsidiaries is currently subject to or the target of any sanctions administered or enforced by the United States Government, including, without limitation,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the United Nations Security Council, the European Union, Her Majesty’s Treasury or any other relevant sanctions authority (collectively, “</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nor is the Company located, organized or resident in a country or territory that is the subject of Sanctions. The Company will not directly or indirectly use the proceeds from its sale of the Securities contemplated hereby, or lend, contribute or otherwise make available such proceeds to any Subsidiary, joint venture partner or other person or entity, to fund any activities of or business with any person or entity, or in any country or territory, that is then the subject of Sanctions or in any other manner that will result in a violation of Sanctions by any person or entity.</w:t>
      </w:r>
    </w:p>
    <w:p>
      <w:pPr>
        <w:spacing w:after="0" w:line="189"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75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85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Regulatory Authority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 or contemplated.</w:t>
      </w:r>
    </w:p>
    <w:p>
      <w:pPr>
        <w:spacing w:after="0" w:line="187"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8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Compensation Awards</w:t>
      </w:r>
      <w:r>
        <w:rPr>
          <w:rFonts w:ascii="Times New Roman" w:cs="Times New Roman" w:eastAsia="Times New Roman" w:hAnsi="Times New Roman"/>
          <w:sz w:val="18"/>
          <w:szCs w:val="18"/>
          <w:color w:val="auto"/>
        </w:rPr>
        <w:t>. Each stock option granted under any stock option plan of the Company or any Subsidiary (each, a “</w:t>
      </w:r>
      <w:r>
        <w:rPr>
          <w:rFonts w:ascii="Times New Roman" w:cs="Times New Roman" w:eastAsia="Times New Roman" w:hAnsi="Times New Roman"/>
          <w:sz w:val="18"/>
          <w:szCs w:val="18"/>
          <w:u w:val="single" w:color="auto"/>
          <w:color w:val="auto"/>
        </w:rPr>
        <w:t>Stock Plan</w:t>
      </w:r>
      <w:r>
        <w:rPr>
          <w:rFonts w:ascii="Times New Roman" w:cs="Times New Roman" w:eastAsia="Times New Roman" w:hAnsi="Times New Roman"/>
          <w:sz w:val="18"/>
          <w:szCs w:val="18"/>
          <w:color w:val="auto"/>
        </w:rPr>
        <w:t>”) was granted with a per share exercise price no less than the fair market value per share of Common Stock on the grant date of such option, and no such grant involved any “back-dating,” “forward-dating” or similar practice with respect to the effective date of such grant. Each such stock option (i) was granted in compliance with applicable law and with the applicable Stock Plan(s), (ii) was duly approved by the Board of Directors (or a duly authorized committee thereof) of the Company or such Subsidiary, as applicable, and (iii) has been properly accounted for in the Company’s consolidated financial statements in accordance with GAAP and disclosed in the SEC Reports.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49" w:name="page50"/>
    <w:bookmarkEnd w:id="49"/>
    <w:p>
      <w:pPr>
        <w:jc w:val="both"/>
        <w:ind w:left="-540" w:firstLine="645"/>
        <w:spacing w:after="0" w:line="252" w:lineRule="auto"/>
        <w:tabs>
          <w:tab w:leader="none" w:pos="77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The Company and the Subsidiaries and their respective properties, assets and operations are in compliance with, and the Company and each of the Subsidiaries hold all permits, authorizations and approvals required under, Environmental Laws (as defined below). There are no past, present or, to the Company’s knowledge, reasonably anticipated future events, conditions, circumstances, activities, practices, actions, omissions or plans that could reasonably be expected to give rise to any material costs or liabilities to the Company or any Subsidiary under, or to interfere with or prevent compliance by the Company or any Subsidiary with, Environmental Laws. Neither the Company nor any of the Subsidiaries (i) is the subject of any investigation, (ii) has received any notice or claim, (iii) is a party to or affected by any pending or, to the Company’s knowledge, threatened action, suit or proceeding, (iv) is bound by any decree, judgment or order or (v) has entered into any agreement, in each case relating to any actual or alleged violation of any Environmental Law or any actual or alleged release or threatened release or cleanup at any location of any Hazardous Materials (as defined below) (as used herein, “</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means any U.S. federal, state, local or foreign law, statute, ordinance, rule, regulation, order, decree, judgment, injunction, permit, license, authorization or other binding requirement, or common law, relating to the protection of human health, the environment (including, without limitation, ambient air, surface water, groundwater, land surface or subsurface strata) or wildlife, including, without limitation, those relating to the distribution, processing, generation, treatment, storage, disposal, transportation, other handling or release or threatened release of Hazardous Materials, and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any material (including, without limitation, any flammable explosives, radioactive materials, toxic chemicals, pollutants, contaminants, hazardous or toxic substances or wastes, petroleum or petroleum products, asbestos-containing materials or mold) or any other hazardous materials as defined or regulated by or which may give rise to liability under any Environmental Law). In the ordinary course of their business, the Company and each of the Subsidiaries conduct periodic reviews of the effect of the Environmental Laws on their respective properties, assets and operations, in the course of which they identify and evaluate associated costs and liabilities (including, without limitation, any capital or operating expenditures required for cleanup, closure of properties or compliance with the Environmental Laws or any permit, license or approval, any related constraints on operating activities and any potential liabilities to third parties).</w:t>
      </w:r>
    </w:p>
    <w:p>
      <w:pPr>
        <w:spacing w:after="0" w:line="191" w:lineRule="exact"/>
        <w:rPr>
          <w:rFonts w:ascii="Times New Roman" w:cs="Times New Roman" w:eastAsia="Times New Roman" w:hAnsi="Times New Roman"/>
          <w:sz w:val="18"/>
          <w:szCs w:val="18"/>
          <w:color w:val="auto"/>
        </w:rPr>
      </w:pPr>
    </w:p>
    <w:p>
      <w:pPr>
        <w:jc w:val="both"/>
        <w:ind w:left="-540" w:firstLine="645"/>
        <w:spacing w:after="0" w:line="254" w:lineRule="auto"/>
        <w:tabs>
          <w:tab w:leader="none" w:pos="9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set forth in the Confidentiality Agreement entered into between the Company and the Purchaser.</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50" w:name="page51"/>
    <w:bookmarkEnd w:id="50"/>
    <w:p>
      <w:pPr>
        <w:jc w:val="both"/>
        <w:ind w:left="660" w:firstLine="645"/>
        <w:spacing w:after="0" w:line="255" w:lineRule="auto"/>
        <w:tabs>
          <w:tab w:leader="none" w:pos="227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5" w:lineRule="exact"/>
        <w:rPr>
          <w:sz w:val="20"/>
          <w:szCs w:val="20"/>
          <w:color w:val="auto"/>
        </w:rPr>
      </w:pPr>
    </w:p>
    <w:p>
      <w:pPr>
        <w:ind w:left="660"/>
        <w:spacing w:after="0"/>
        <w:tabs>
          <w:tab w:leader="none" w:pos="13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Representations, Warranties and Covenants of the Purchasers</w:t>
      </w:r>
      <w:r>
        <w:rPr>
          <w:rFonts w:ascii="Times New Roman" w:cs="Times New Roman" w:eastAsia="Times New Roman" w:hAnsi="Times New Roman"/>
          <w:sz w:val="18"/>
          <w:szCs w:val="18"/>
          <w:color w:val="auto"/>
        </w:rPr>
        <w:t>. The Purchaser represents and warrants to, and covenants with,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207" w:lineRule="exact"/>
        <w:rPr>
          <w:sz w:val="20"/>
          <w:szCs w:val="20"/>
          <w:color w:val="auto"/>
        </w:rPr>
      </w:pPr>
    </w:p>
    <w:p>
      <w:pPr>
        <w:jc w:val="both"/>
        <w:ind w:left="660" w:firstLine="645"/>
        <w:spacing w:after="0" w:line="251" w:lineRule="auto"/>
        <w:tabs>
          <w:tab w:leader="none" w:pos="1972"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w:t>
      </w:r>
      <w:r>
        <w:rPr>
          <w:rFonts w:ascii="Times New Roman" w:cs="Times New Roman" w:eastAsia="Times New Roman" w:hAnsi="Times New Roman"/>
          <w:sz w:val="18"/>
          <w:szCs w:val="18"/>
          <w:color w:val="auto"/>
        </w:rPr>
        <w:t xml:space="preserve">. (i) The Purchaser is knowledgeable, sophisticated and experienced in financial and business matters, in making, and is qualified to make, decisions with respect to investments in shares representing an investment decision like that involved in the purchase of the Shares and the Warrants, including investments in securities issued by the Company and comparable entities, has the ability to bear the economic risks of an investment in the Shares and the Warrants; (ii) the Purchaser is acquiring the number of Shares and the Warrants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in the ordinary course of its business and for its own account for investment only and with no present intention of distributing any of such Shares and the Warrants or any arrangement or understanding with any other persons regarding the distribution of such Shares or Warrants (this representation and warranty not limiting the Purchaser’s right to sell pursuant to the Resale Registration Statement or in compliance with the Securities Act and the rules and regulations promulgated under the Exchange Act and the Securities Act (together,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 xml:space="preserve">”), or, other than with respect to any claims arising out of a breach of this representation and warranty, the Purchaser’s right to indemnification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(iii) the Purchaser will not, directly or indirectly, offer, sell, pledge, transfer or otherwise dispose of (or solicit any offers to buy, purchase or otherwise acquire or take a pledge of) any of the Shares or the Warrants, nor will the Purchaser engage in any short sale that results in a disposition of any of the Shares or the Warrants by the Purchaser, except in compliance with the Securities Act and the Rules and Regulations and any applicable state securities laws; (iv) the Purchaser has completed or caused to be completed the Resale Registration Statement Questionnaire attached hereto as part of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for use in preparation of the Resale Registration Statement, and the answers thereto are true and correct in all material respects as of the date hereof and will be true and correct in all material respects as of the effective date of the Resale Registration Statement and the Purchaser will notify the Company immediately of any material change in any such information provided in the Resale Registration Statement Questionnaire until such time as the Purchaser has sold all of its Shares and Warrants or until the Company is no longer required to keep the Resale Registration Statement effective; provided, that the Purchaser shall not be required to update the number of securities held by such Purchaser (v) any other written information furnished to the Company by or on behalf of the Purchaser expressly for inclusion in the Resale Registration Statement will be true and correct in all material respects as of the date such other written information is provided and will be true and correct as of the effective date of the Resale Registration Statement and the Purchaser will notify the Company immediately of any material change in any such other written information until such time as the Purchaser has sold all of its Securities or until the Company is no longer required to keep the Resale Registration Statement effective; (vi) the Purchaser has, in connection with its decision to purchase the number of Shares and Warrants set forth in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above, relied solely upon the representations and warranties of the Company contained herein; and (vii) the Purchaser has had an opportunity to discuss this investment with representatives of the Company and ask questions of them.</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left="-540" w:right="20" w:firstLine="645"/>
        <w:spacing w:after="0" w:line="282" w:lineRule="auto"/>
        <w:tabs>
          <w:tab w:leader="none" w:pos="100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The Purchaser is an “qualified institutional buyer” (as defined under Rule 144A under the Securities Act) or an institutional “accredited investor” (as defined in Rule 501(a)(1), (2), (3) or (7) of Regulation D under the Securities Act).</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8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Purchaser understands that the Shares and the Warrants are being offered and sold to it in reliance upon specific exemptions from the registration requirements of the Securities Act, the Rules and Regulations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exemptions and the eligibility of the Purchaser to acquire the Shares and the Warrants.</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82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Reliance on Placement Agents</w:t>
      </w:r>
      <w:r>
        <w:rPr>
          <w:rFonts w:ascii="Times New Roman" w:cs="Times New Roman" w:eastAsia="Times New Roman" w:hAnsi="Times New Roman"/>
          <w:sz w:val="18"/>
          <w:szCs w:val="18"/>
          <w:color w:val="auto"/>
        </w:rPr>
        <w:t>. In making a decision to purchase the Shares and the Warrants, the Purchaser has not received or relied on any communication, investment advice, or recommendation from the Placement Agents and the Purchaser: (i) is capable of evaluating investment risks independently, both in general and with regard to all transactions and investment strategies involving a security or securities; (ii) will exercise independent judgment in evaluating the recommendations of any broker-dealer or its associated persons, unless it has otherwise notified the Placement Agents in writing; and (iii) confirms that it has undertaken an independent analysis of the merits and risks of an investment in the Company, based on the Purchaser’s own financial circumstances.</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52" w:name="page53"/>
    <w:bookmarkEnd w:id="52"/>
    <w:p>
      <w:pPr>
        <w:jc w:val="both"/>
        <w:ind w:left="-540" w:firstLine="645"/>
        <w:spacing w:after="0" w:line="252" w:lineRule="auto"/>
        <w:tabs>
          <w:tab w:leader="none" w:pos="9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The Purchaser understands that the information concerning this private placement is strictly confidential and proprietary to the Company and has been prepared from the Company’s publicly available documents and other information and is being submitted to the Purchaser for the Purchaser’s confidential use. The Purchaser agrees to use the information for the sole purpose of evaluating a possible investment in the Shares and the Warrants, and the Purchaser acknowledges that it is prohibited from reproducing or distributing the Investor Presentation, this Agreement, or any other offering materials or other information provided by the Company in connection with the Purchaser’s consideration of its investment in the Company, in whole or in part, or divulging or discussing any of their contents, except to its financial, investment or legal advisors in connection with its proposed investment in the Shares and the Warrants, and agrees to keep such information confidential. Further, the Purchaser understands that the existence and nature of all conversations and presentations, if any, regarding the Company and this offering must be kept strictly confidential. The Purchaser understands that the federal securities laws impose restrictions on trading based on information regarding this offering. This obligation will terminate upon the issuance of the press release relating to the transactions contemplated hereby on the Trading Day immediately following the Closing Date. In addition to the above, the Purchaser shall maintain in confidence the receipt and content of any notice of a Suspension (as defined in </w:t>
      </w:r>
      <w:r>
        <w:rPr>
          <w:rFonts w:ascii="Times New Roman" w:cs="Times New Roman" w:eastAsia="Times New Roman" w:hAnsi="Times New Roman"/>
          <w:sz w:val="18"/>
          <w:szCs w:val="18"/>
          <w:u w:val="single" w:color="auto"/>
          <w:color w:val="auto"/>
        </w:rPr>
        <w:t>Section 3.2(k)</w:t>
      </w:r>
      <w:r>
        <w:rPr>
          <w:rFonts w:ascii="Times New Roman" w:cs="Times New Roman" w:eastAsia="Times New Roman" w:hAnsi="Times New Roman"/>
          <w:sz w:val="18"/>
          <w:szCs w:val="18"/>
          <w:color w:val="auto"/>
        </w:rPr>
        <w:t xml:space="preserve"> below). The foregoing agreements shall not apply to any information that is or becomes publicly available through no fault of the Purchaser, or that the Purchaser is legally required to disclose;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Purchaser is requested or ordered to disclose any such information pursuant to any court or other government order or any other applicable legal procedure, it shall provide the Company with prompt notice of any such request or order in time sufficient to enable the Company to seek an appropriate protective order.</w:t>
      </w:r>
    </w:p>
    <w:p>
      <w:pPr>
        <w:spacing w:after="0" w:line="196" w:lineRule="exact"/>
        <w:rPr>
          <w:rFonts w:ascii="Times New Roman" w:cs="Times New Roman" w:eastAsia="Times New Roman" w:hAnsi="Times New Roman"/>
          <w:sz w:val="18"/>
          <w:szCs w:val="18"/>
          <w:color w:val="auto"/>
        </w:rPr>
      </w:pPr>
    </w:p>
    <w:p>
      <w:pPr>
        <w:jc w:val="both"/>
        <w:ind w:left="-540" w:firstLine="645"/>
        <w:spacing w:after="0" w:line="255" w:lineRule="auto"/>
        <w:tabs>
          <w:tab w:leader="none" w:pos="79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Decision</w:t>
      </w:r>
      <w:r>
        <w:rPr>
          <w:rFonts w:ascii="Times New Roman" w:cs="Times New Roman" w:eastAsia="Times New Roman" w:hAnsi="Times New Roman"/>
          <w:sz w:val="18"/>
          <w:szCs w:val="18"/>
          <w:color w:val="auto"/>
        </w:rPr>
        <w:t xml:space="preserve">. The Purchaser understands that nothing in this Agreement or any other materials presented to the Purchaser in connection with the purchase and sale of the Shares and the Warrants constitutes legal, tax or investment advice. The Purchaser has consulted such legal, tax and investment advisors as it, in its sole discretion, has deemed necessary or appropriate in connection with its purchase of the Shares and Warrants. The Purchaser acknowledges that, as described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after the Company issues the press release relating to the transactions contemplated hereby on the Trading Day immediately following the Closing Date, the Purchaser will not have any material, non-public information that had been delivered to the Purchaser by the Company or any of its Subsidiaries, or any of their respective officers, directors, employees or agents in connection with the transactions contemplated by the Transaction Documents.</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84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of Loss</w:t>
      </w:r>
      <w:r>
        <w:rPr>
          <w:rFonts w:ascii="Times New Roman" w:cs="Times New Roman" w:eastAsia="Times New Roman" w:hAnsi="Times New Roman"/>
          <w:sz w:val="18"/>
          <w:szCs w:val="18"/>
          <w:color w:val="auto"/>
        </w:rPr>
        <w:t>. The Purchaser understands that its investment in the Shares and the Warrants involves a significant degree of risk, including a risk of total loss of the Purchaser’s investment, and the Purchaser has full cognizance of and understands all of the risk factors related to the Purchaser’s purchase of the Shares and the Warrants.</w:t>
      </w:r>
    </w:p>
    <w:p>
      <w:pPr>
        <w:spacing w:after="0" w:line="176" w:lineRule="exact"/>
        <w:rPr>
          <w:rFonts w:ascii="Times New Roman" w:cs="Times New Roman" w:eastAsia="Times New Roman" w:hAnsi="Times New Roman"/>
          <w:sz w:val="18"/>
          <w:szCs w:val="18"/>
          <w:color w:val="auto"/>
        </w:rPr>
      </w:pPr>
    </w:p>
    <w:p>
      <w:pPr>
        <w:jc w:val="both"/>
        <w:ind w:left="-540" w:firstLine="645"/>
        <w:spacing w:after="0" w:line="261" w:lineRule="auto"/>
        <w:tabs>
          <w:tab w:leader="none" w:pos="8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w:t>
      </w:r>
      <w:r>
        <w:rPr>
          <w:rFonts w:ascii="Times New Roman" w:cs="Times New Roman" w:eastAsia="Times New Roman" w:hAnsi="Times New Roman"/>
          <w:sz w:val="18"/>
          <w:szCs w:val="18"/>
          <w:color w:val="auto"/>
        </w:rPr>
        <w:t xml:space="preserve">. The Purchaser understands that, until such time as the Shares and the Warrant Shares may be sold pursuant to Rule 144 under the Securities Act without any restriction as to the number of securities as of a particular date that can then be immediately sold and except if and to the extent otherwise provided below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the Shares and the Warrant Shares will bear a restrictive legend in substantially the following form:</w:t>
      </w:r>
    </w:p>
    <w:p>
      <w:pPr>
        <w:spacing w:after="0" w:line="39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53" w:name="page54"/>
    <w:bookmarkEnd w:id="53"/>
    <w:p>
      <w:pPr>
        <w:jc w:val="both"/>
        <w:ind w:left="1300"/>
        <w:spacing w:after="0" w:line="254" w:lineRule="auto"/>
        <w:rPr>
          <w:sz w:val="20"/>
          <w:szCs w:val="20"/>
          <w:color w:val="auto"/>
        </w:rPr>
      </w:pPr>
      <w:r>
        <w:rPr>
          <w:rFonts w:ascii="Times New Roman" w:cs="Times New Roman" w:eastAsia="Times New Roman" w:hAnsi="Times New Roman"/>
          <w:sz w:val="18"/>
          <w:szCs w:val="18"/>
          <w:color w:val="auto"/>
        </w:rPr>
        <w:t>“THE SHARES EVIDENCED BY THIS CERTIFICATE HAVE NOT BEEN REGISTERED UNDER THE SECURITIES ACT OF 1933, AS AMENDED (THE “SECURITIES ACT”), OR THE SECURITIES LAWS OF ANY STATE OR OTHER JURISDICTION. THE SHARES MAY NOT BE OFFERED, SOLD, PLEDGED OR OTHERWISE TRANSFERRED EXCEPT (1) PURSUANT TO AN EXEMPTION FROM REGISTRATION UNDER THE SECURITIES ACT OR (2) PURSUANT TO AN EFFECTIVE REGISTRATION STATEMENT UNDER THE SECURITIES ACT, IN EACH CASE IN ACCORDANCE WITH ALL APPLICABLE STATE SECURITIES LAWS AND THE SECURITIES LAWS OF OTHER JURISDICTIONS, AND IN THE CASE OF A TRANSACTION EXEMPT FROM REGISTRATION, UNLESS THE COMPANY HAS RECEIVED AN OPINION OF COUNSEL REASONABLY SATISFACTORY TO IT THAT SUCH TRANSACTION DOES NOT REQUIRE REGISTRATION UNDER THE SECURITIES ACT AND SUCH OTHER APPLICABLE LAWS.”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The Shares and the Warrant Shares shall not be required to contain any legend (including the legend set forth above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(i) while a registration statement (including the Resale Registration Statement) covering the resale of such security is effective under the Securities Act, (ii) following any sale of such Shares or Warrant Shares pursuant to Rule 144 (assuming cashless exercise of the Warrants), (iii) if such Shares or Warrant Shares are eligible for immediate sale under Rule 144 (assuming cashless exercise of the Warrants) without any volume or manner-of-sale restrictions, or (iv) if such legend is not required under applicable requirements of the Securities Act (including judicial interpretations and pronouncements issued by the Commission). The Company shall cause its counsel to issue a legal opinion to the Company’s transfer agent or the Purchaser if required by the Company’s transfer agent to effect the removal of the legend hereunder, or if requested by the Purchaser, respectively,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legend is not required pursuant to the foregoing provisions of this paragraph. The Company agrees that at such time as such legend is no longer required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(including, without limitation, following the effective date of the Resale Registration Statement), it will, no later than the earlier of (i) two (2) Trading Days and (ii) the number of Trading Days comprising the Standard Settlement Period (as defined below) following the delivery by the Purchaser to the Company or the Company’s transfer agent of a certificate representing Shares or Warrant Shares, as the case may be, issued with a restrictive legend (such date, the “</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xml:space="preserve">”), deliver or cause to be delivered to the Purchaser such shares that are free from all restrictive and other legends in such manner as directed by the Purchaser. The Company may not make any notation on its records or give instructions to the Company’s transfer agent that enlarge the restrictions on transfer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Company shall pay all reasonable fees and expenses (including the reasonable fees and expenses of legal counsel) relating to the removal of the restrictive legends pursuant to this </w:t>
      </w: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Purchaser, severally and not jointly with the Other Purchasers, agrees with the Company that the Purchaser will sell any Securities pursuant to either the registration requirements of the Securities Act, including any applicable prospectus delivery requirements, or an exemption therefrom, and that if Securities are sold pursuant to a Resale Registration Statement, they will be sold in compliance with the plan of distribution set forth therein, and acknowledges that the removal of the restrictive legend from certificates representing Securities as set forth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is predicated upon the Company’s reliance upon this understanding.</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ind w:left="-540" w:firstLine="645"/>
        <w:spacing w:after="0" w:line="261" w:lineRule="auto"/>
        <w:tabs>
          <w:tab w:leader="none" w:pos="7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 Transfer</w:t>
      </w:r>
      <w:r>
        <w:rPr>
          <w:rFonts w:ascii="Times New Roman" w:cs="Times New Roman" w:eastAsia="Times New Roman" w:hAnsi="Times New Roman"/>
          <w:sz w:val="18"/>
          <w:szCs w:val="18"/>
          <w:color w:val="auto"/>
        </w:rPr>
        <w:t xml:space="preserve">. When issued, the Shares and the Warrant Shares purchased hereunder will be subject to a stop transfer order with the Company’s transfer agent that restricts the transfer of such shares except upon receipt by the transfer agent, in accordance with the provisions of </w:t>
      </w:r>
      <w:r>
        <w:rPr>
          <w:rFonts w:ascii="Times New Roman" w:cs="Times New Roman" w:eastAsia="Times New Roman" w:hAnsi="Times New Roman"/>
          <w:sz w:val="18"/>
          <w:szCs w:val="18"/>
          <w:u w:val="single" w:color="auto"/>
          <w:color w:val="auto"/>
        </w:rPr>
        <w:t>Section 3.2(k)</w:t>
      </w:r>
      <w:r>
        <w:rPr>
          <w:rFonts w:ascii="Times New Roman" w:cs="Times New Roman" w:eastAsia="Times New Roman" w:hAnsi="Times New Roman"/>
          <w:sz w:val="18"/>
          <w:szCs w:val="18"/>
          <w:color w:val="auto"/>
        </w:rPr>
        <w:t xml:space="preserve"> below, of a written confirmation from the Purchaser to the effect that the Purchaser has satisfied its prospectus delivery requirements or upon receipt by the transfer agent of written instructions from the Company authorizing such transfer.</w:t>
      </w:r>
    </w:p>
    <w:p>
      <w:pPr>
        <w:spacing w:after="0" w:line="180" w:lineRule="exact"/>
        <w:rPr>
          <w:rFonts w:ascii="Times New Roman" w:cs="Times New Roman" w:eastAsia="Times New Roman" w:hAnsi="Times New Roman"/>
          <w:sz w:val="18"/>
          <w:szCs w:val="18"/>
          <w:color w:val="auto"/>
        </w:rPr>
      </w:pPr>
    </w:p>
    <w:p>
      <w:pPr>
        <w:ind w:left="-540" w:right="20" w:firstLine="645"/>
        <w:spacing w:after="0" w:line="282" w:lineRule="auto"/>
        <w:tabs>
          <w:tab w:leader="none" w:pos="75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The Purchaser’s principal executive offices are in the jurisdiction set forth immediately below the Purchaser’s name on the signature pages hereto.</w:t>
      </w:r>
    </w:p>
    <w:p>
      <w:pPr>
        <w:spacing w:after="0" w:line="161" w:lineRule="exact"/>
        <w:rPr>
          <w:rFonts w:ascii="Times New Roman" w:cs="Times New Roman" w:eastAsia="Times New Roman" w:hAnsi="Times New Roman"/>
          <w:sz w:val="18"/>
          <w:szCs w:val="18"/>
          <w:color w:val="auto"/>
        </w:rPr>
      </w:pPr>
    </w:p>
    <w:p>
      <w:pPr>
        <w:jc w:val="both"/>
        <w:ind w:left="-540" w:firstLine="645"/>
        <w:spacing w:after="0" w:line="252" w:lineRule="auto"/>
        <w:tabs>
          <w:tab w:leader="none" w:pos="9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 Sale or Distribution</w:t>
      </w:r>
      <w:r>
        <w:rPr>
          <w:rFonts w:ascii="Times New Roman" w:cs="Times New Roman" w:eastAsia="Times New Roman" w:hAnsi="Times New Roman"/>
          <w:sz w:val="18"/>
          <w:szCs w:val="18"/>
          <w:color w:val="auto"/>
        </w:rPr>
        <w:t xml:space="preserve">. (a) The Purchaser hereby covenants with the Company not to make any sale of the Shares or the Warrant Shares under the Resale Registration Statement without complying with the provisions of this Agreement and without effectively causing the prospectus delivery requirement under the Securities Act to be satisfied (whether physically or through compliance with Rule 172 under the Securities Act or any similar rule), and the Purchaser acknowledges and agrees that such Shares and Warrant Shares are not transferable on the books of the Company unless the certificate submitted to the transfer agent evidencing the Shares or the Warrant Shares, as applicable, is accompanied by a separate Purchaser’s Certificate of Subsequent Sale: (i) in the form of </w:t>
      </w:r>
      <w:r>
        <w:rPr>
          <w:rFonts w:ascii="Times New Roman" w:cs="Times New Roman" w:eastAsia="Times New Roman" w:hAnsi="Times New Roman"/>
          <w:sz w:val="18"/>
          <w:szCs w:val="18"/>
          <w:u w:val="single" w:color="auto"/>
          <w:color w:val="auto"/>
        </w:rPr>
        <w:t>Appendix II</w:t>
      </w:r>
      <w:r>
        <w:rPr>
          <w:rFonts w:ascii="Times New Roman" w:cs="Times New Roman" w:eastAsia="Times New Roman" w:hAnsi="Times New Roman"/>
          <w:sz w:val="18"/>
          <w:szCs w:val="18"/>
          <w:color w:val="auto"/>
        </w:rPr>
        <w:t xml:space="preserve"> hereto, (ii) executed by an officer of, or other authorized person designated by, the Purchaser, and (iii) to the effect that (A) the Shares or the Warrant Shares, as applicable, have been sold in accordance with the Resale Registration Statement, the Securities Act and any applicable state securities or Blue Sky laws and (B) the prospectus delivery requirement effectively has been satisfied. The Purchaser acknowledges that there may occasionally be times when the Company must suspend the use of the prospectus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forming a part of the Resale Registration Statement (a “</w:t>
      </w:r>
      <w:r>
        <w:rPr>
          <w:rFonts w:ascii="Times New Roman" w:cs="Times New Roman" w:eastAsia="Times New Roman" w:hAnsi="Times New Roman"/>
          <w:sz w:val="18"/>
          <w:szCs w:val="18"/>
          <w:u w:val="single" w:color="auto"/>
          <w:color w:val="auto"/>
        </w:rPr>
        <w:t>Suspension</w:t>
      </w:r>
      <w:r>
        <w:rPr>
          <w:rFonts w:ascii="Times New Roman" w:cs="Times New Roman" w:eastAsia="Times New Roman" w:hAnsi="Times New Roman"/>
          <w:sz w:val="18"/>
          <w:szCs w:val="18"/>
          <w:color w:val="auto"/>
        </w:rPr>
        <w:t xml:space="preserve">”) until such time as an amendment to the Resale Registration Statement has been filed by the Company and declared effective by the Commission, or until such time as the Company has filed an appropriate report with the Commission pursuant to the Exchange Act. Without the Company’s prior written consent, which consent shall not unreasonably be withheld or delayed, the Purchaser shall not use any written materials to offer the Shares or the Warrant Shares for resale other than the Prospectus, including any “free writing prospectus” as defined in Rule 405 under the Securities Act. The Purchaser covenants that it will not sell any Shares or Warrant Shares pursuant to said Prospectus during the period commencing at the time when Company gives the Purchaser written notice of the Suspension of the use of said Prospectus and ending at the time when the Company gives the Purchaser written notice that the Purchaser may thereafter effect sales pursuant to said Prospectus. Notwithstanding the foregoing, (i) the Company agrees that no Suspension shall be for a period of longer than 30 consecutive days, and no Suspension shall be for a period longer than 60 days in the aggregate in any 360-day period, and (ii) the Company agrees that, if the legend removal process described in </w:t>
      </w:r>
      <w:r>
        <w:rPr>
          <w:rFonts w:ascii="Times New Roman" w:cs="Times New Roman" w:eastAsia="Times New Roman" w:hAnsi="Times New Roman"/>
          <w:sz w:val="18"/>
          <w:szCs w:val="18"/>
          <w:u w:val="single" w:color="auto"/>
          <w:color w:val="auto"/>
        </w:rPr>
        <w:t>Section 3.2(h)</w:t>
      </w:r>
      <w:r>
        <w:rPr>
          <w:rFonts w:ascii="Times New Roman" w:cs="Times New Roman" w:eastAsia="Times New Roman" w:hAnsi="Times New Roman"/>
          <w:sz w:val="18"/>
          <w:szCs w:val="18"/>
          <w:color w:val="auto"/>
        </w:rPr>
        <w:t xml:space="preserve"> commenced prior to the beginning of a Suspension, then after the completion of such legend removal process, the Company shall honor any transfer of the de-legended Shares or Warrant Shares, even if such transfer occurs during the Suspension period. The Purchaser further covenants to notify the Company promptly of the sale of all of its Shares and Warrant Shares.</w:t>
      </w:r>
    </w:p>
    <w:p>
      <w:pPr>
        <w:spacing w:after="0" w:line="200" w:lineRule="exact"/>
        <w:rPr>
          <w:sz w:val="20"/>
          <w:szCs w:val="20"/>
          <w:color w:val="auto"/>
        </w:rPr>
      </w:pPr>
    </w:p>
    <w:p>
      <w:pPr>
        <w:spacing w:after="0" w:line="20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55" w:name="page56"/>
    <w:bookmarkEnd w:id="55"/>
    <w:p>
      <w:pPr>
        <w:ind w:left="-540" w:firstLine="645"/>
        <w:spacing w:after="0" w:line="282" w:lineRule="auto"/>
        <w:tabs>
          <w:tab w:leader="none" w:pos="36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Purchaser is an affiliate of the Company, any resale of the Shares or the Warrant Shares that purports to be effected under Rule 144 shall comply with all of the requirements of such rule, including the “manner of sale” requirements set forth in Rule 144(f).</w:t>
      </w:r>
    </w:p>
    <w:p>
      <w:pPr>
        <w:spacing w:after="0" w:line="162" w:lineRule="exact"/>
        <w:rPr>
          <w:sz w:val="20"/>
          <w:szCs w:val="20"/>
          <w:color w:val="auto"/>
        </w:rPr>
      </w:pPr>
    </w:p>
    <w:p>
      <w:pPr>
        <w:jc w:val="both"/>
        <w:ind w:left="-540" w:firstLine="645"/>
        <w:spacing w:after="0" w:line="252" w:lineRule="auto"/>
        <w:tabs>
          <w:tab w:leader="none" w:pos="80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Validity; Enforcement</w:t>
      </w:r>
      <w:r>
        <w:rPr>
          <w:rFonts w:ascii="Times New Roman" w:cs="Times New Roman" w:eastAsia="Times New Roman" w:hAnsi="Times New Roman"/>
          <w:sz w:val="18"/>
          <w:szCs w:val="18"/>
          <w:color w:val="auto"/>
        </w:rPr>
        <w:t xml:space="preserve">. The Purchaser further represents and warrants to, and covenants with, the Company that (i) the Purchaser has full right, power, authority and capacity to enter into this Agreement and to consummate the transactions contemplated hereby and has taken all necessary action to authorize the execution, delivery and performance of this Agreement, (ii) the making and performance of this Agreement by the Purchaser and the consummation of the transactions herein contemplated will not violate any provision of the organizational documents of the Purchaser or conflict with, result in the breach or violation of, or constitute, either by itself or upon notice or the passage of time or both, a default under any material agreement, mortgage, deed of trust, lease, franchise, license, indenture, permit or other instrument to which the Purchaser is a party or, any statute or any authorization, judgment, decree, order, rule or regulation of any court or any regulatory body, administrative agency or other governmental agency or body applicable to the Purchaser, (iii) no consent, approval, authorization or other order of any court, regulatory body, administrative agency or other governmental agency or body is required on the part of the Purchaser for the execution and delivery of this Agreement or the consummation of the transactions contemplated by this Agreement, (iv) upon the execution and delivery of this Agreement, this Agreement shall constitute a legal, valid and binding obligation of the Purchaser, enforceable in accordance with its terms, except as such enforceability may be limited by applicable bankruptcy, insolvency, reorganization, moratorium or other laws of general application relating to or the enforcement of creditor’s rights and the application of equitable principles relating to the availability of remedies, and except as rights to indemnity or contribution, including, but not limited to, the indemnification provisions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this Agreement, may be limited by federal or state securities laws or the public policy underlying such laws and (v) there is not in effect any order enjoining or restraining the Purchaser from entering into or engaging in any of the transactions contemplated by this Agreement.</w:t>
      </w:r>
    </w:p>
    <w:p>
      <w:pPr>
        <w:spacing w:after="0" w:line="200" w:lineRule="exact"/>
        <w:rPr>
          <w:sz w:val="20"/>
          <w:szCs w:val="20"/>
          <w:color w:val="auto"/>
        </w:rPr>
      </w:pPr>
    </w:p>
    <w:p>
      <w:pPr>
        <w:spacing w:after="0" w:line="2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56" w:name="page57"/>
    <w:bookmarkEnd w:id="56"/>
    <w:p>
      <w:pPr>
        <w:jc w:val="both"/>
        <w:ind w:left="-540" w:firstLine="645"/>
        <w:spacing w:after="0" w:line="252" w:lineRule="auto"/>
        <w:tabs>
          <w:tab w:leader="none" w:pos="841"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98" w:lineRule="exact"/>
        <w:rPr>
          <w:rFonts w:ascii="Times New Roman" w:cs="Times New Roman" w:eastAsia="Times New Roman" w:hAnsi="Times New Roman"/>
          <w:sz w:val="18"/>
          <w:szCs w:val="18"/>
          <w:color w:val="auto"/>
        </w:rPr>
      </w:pPr>
    </w:p>
    <w:p>
      <w:pPr>
        <w:jc w:val="both"/>
        <w:ind w:left="-540" w:firstLine="645"/>
        <w:spacing w:after="0" w:line="253" w:lineRule="auto"/>
        <w:tabs>
          <w:tab w:leader="none" w:pos="103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The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The Purchaser acknowledges and agrees that neither the Placement Agents nor any Affiliate of the Placement Agents has provided the Purchaser with any information or advice with respect to the Securities nor is such information or advice necessary or desired. Neither the Placement Agents nor any of their Affiliates have made or makes any representation as to the Company or the quality of the Securities and the Placement Agents and any of their Affiliates may have acquired non-public information with respect to the Company which such Purchaser agrees need not be provided to it. In connection with the issuance of the Securities to the Purchaser, neither the Placement Agents nor any of their Affiliates have acted as a financial advisor or fiduciary to such Purchaser.</w:t>
      </w:r>
    </w:p>
    <w:p>
      <w:pPr>
        <w:spacing w:after="0" w:line="190" w:lineRule="exact"/>
        <w:rPr>
          <w:rFonts w:ascii="Times New Roman" w:cs="Times New Roman" w:eastAsia="Times New Roman" w:hAnsi="Times New Roman"/>
          <w:sz w:val="18"/>
          <w:szCs w:val="18"/>
          <w:color w:val="auto"/>
        </w:rPr>
      </w:pPr>
    </w:p>
    <w:p>
      <w:pPr>
        <w:jc w:val="both"/>
        <w:ind w:left="-540" w:firstLine="645"/>
        <w:spacing w:after="0" w:line="256" w:lineRule="auto"/>
        <w:tabs>
          <w:tab w:leader="none" w:pos="78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The Purchaser shall not take, prior to the earlier to occur of (1) the date on which the Resale Registration Statement is declared effective by the Commission, or (2) the date that is 180 days from the Closing Date, any action that has caused or will cause the Purchaser to have, directly or indirectly, effected or agreed to effect any short sale, whether or not against the box, established any “put equivalent position” (as defined in Rule 16a-1(h) under the Exchange Act with respect to the Common Stock, granted any other right (including, without limitation, any put or call option) with respect to the Common Stock or with respect to any security that includes, relates to or derived any significant part of its value from the Common Stock.</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acknowledges and agrees that the representations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 contemplated hereby.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color w:val="auto"/>
        </w:rPr>
        <w:t>REGISTRATION OF THE SHARES; COMPLIANCE WITH THE SECURITIES ACT</w:t>
      </w:r>
    </w:p>
    <w:p>
      <w:pPr>
        <w:spacing w:after="0" w:line="225" w:lineRule="exact"/>
        <w:rPr>
          <w:sz w:val="20"/>
          <w:szCs w:val="20"/>
          <w:color w:val="auto"/>
        </w:rPr>
      </w:pPr>
    </w:p>
    <w:p>
      <w:pPr>
        <w:ind w:left="660"/>
        <w:spacing w:after="0"/>
        <w:tabs>
          <w:tab w:leader="none" w:pos="132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auto"/>
        </w:rPr>
        <w:t>Registration Procedures and Expenses</w:t>
      </w:r>
      <w:r>
        <w:rPr>
          <w:rFonts w:ascii="Times New Roman" w:cs="Times New Roman" w:eastAsia="Times New Roman" w:hAnsi="Times New Roman"/>
          <w:sz w:val="17"/>
          <w:szCs w:val="17"/>
          <w:color w:val="auto"/>
        </w:rPr>
        <w:t>. The Company shall:</w:t>
      </w:r>
    </w:p>
    <w:p>
      <w:pPr>
        <w:spacing w:after="0" w:line="225" w:lineRule="exact"/>
        <w:rPr>
          <w:sz w:val="20"/>
          <w:szCs w:val="20"/>
          <w:color w:val="auto"/>
        </w:rPr>
      </w:pPr>
    </w:p>
    <w:p>
      <w:pPr>
        <w:jc w:val="both"/>
        <w:ind w:left="660" w:firstLine="645"/>
        <w:spacing w:after="0" w:line="258" w:lineRule="auto"/>
        <w:tabs>
          <w:tab w:leader="none" w:pos="200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15 days after the Closing Date (the “</w:t>
      </w:r>
      <w:r>
        <w:rPr>
          <w:rFonts w:ascii="Times New Roman" w:cs="Times New Roman" w:eastAsia="Times New Roman" w:hAnsi="Times New Roman"/>
          <w:sz w:val="18"/>
          <w:szCs w:val="18"/>
          <w:u w:val="single" w:color="auto"/>
          <w:color w:val="auto"/>
        </w:rPr>
        <w:t>Filing Deadline</w:t>
      </w:r>
      <w:r>
        <w:rPr>
          <w:rFonts w:ascii="Times New Roman" w:cs="Times New Roman" w:eastAsia="Times New Roman" w:hAnsi="Times New Roman"/>
          <w:sz w:val="18"/>
          <w:szCs w:val="18"/>
          <w:color w:val="auto"/>
        </w:rPr>
        <w:t>”), prepare and file with the Commission the Resale Registration Statement on Form S-3 (or on Form S-1 in the event that the Company is not eligible to use Form S-3 on the Filing Deadline) relating to the resale of the Shares and the Warrant Shares by the Purchaser and the Other Purchasers and of shares of Common Stock held by other stockholders of the Company from time to time on the Trading Market, or the facilities of any national securities exchange on which the Common Stock is then traded or in privately-negotiated transactions.</w:t>
      </w:r>
    </w:p>
    <w:p>
      <w:pPr>
        <w:spacing w:after="0" w:line="183" w:lineRule="exact"/>
        <w:rPr>
          <w:rFonts w:ascii="Times New Roman" w:cs="Times New Roman" w:eastAsia="Times New Roman" w:hAnsi="Times New Roman"/>
          <w:sz w:val="18"/>
          <w:szCs w:val="18"/>
          <w:color w:val="auto"/>
        </w:rPr>
      </w:pPr>
    </w:p>
    <w:p>
      <w:pPr>
        <w:jc w:val="both"/>
        <w:ind w:left="660" w:right="20" w:firstLine="645"/>
        <w:spacing w:after="0" w:line="266" w:lineRule="auto"/>
        <w:tabs>
          <w:tab w:leader="none" w:pos="22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commercially reasonable efforts, subject to receipt of necessary information from the Purchasers, to cause the Commission to declare the Resale Registration Statement effective within 50 days after the Closing Date or, if the Resale Registration Statement is selected for review by the Commission, within 90 days after the Closing Date (the “</w:t>
      </w:r>
      <w:r>
        <w:rPr>
          <w:rFonts w:ascii="Times New Roman" w:cs="Times New Roman" w:eastAsia="Times New Roman" w:hAnsi="Times New Roman"/>
          <w:sz w:val="18"/>
          <w:szCs w:val="18"/>
          <w:u w:val="single" w:color="auto"/>
          <w:color w:val="auto"/>
        </w:rPr>
        <w:t>Effective Deadline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jc w:val="both"/>
        <w:ind w:left="660" w:firstLine="645"/>
        <w:spacing w:after="0" w:line="256" w:lineRule="auto"/>
        <w:tabs>
          <w:tab w:leader="none" w:pos="203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the Resale Registration Statement and the prospectus used in connection therewith as may be necessary to keep the Resale Registration Statement effective until the earliest of (i) two years after the effective date of the Resale Registration Statement, (ii) such time as all of the Shares and the Warrant Shares purchased hereunder have been sold pursuant to the Resale Registration Statement, or (iii) such time as the Shares and the Warrant Shares purchased hereunder become eligible for resale without any volume limitations or other restrictions pursuant to Rule 144 under the Securities Act without the requirement to be in compliance with Rule 144(c)(1).</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both"/>
        <w:ind w:left="-540" w:firstLine="645"/>
        <w:spacing w:after="0" w:line="252" w:lineRule="auto"/>
        <w:tabs>
          <w:tab w:leader="none" w:pos="931"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express or implied in this Agreement or any Other Agreement to the contrary, in the event that the Commission for any reason limits the number of Shares and/or Warrant Shares that may be included and sold by the Purchasers in the Resale Registration Statement (it being understood and agreed that, for purposes of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any reference to Shares and/or Warrant Shares may be a reference to (x) either the Shares and/or Warrant Shares purchased or that may be purchased by the Purchaser pursuant to this Agreement or upon exercise of any of the Warrants or (y) the shares of Common Stock and/or warrant shares purchased or that may be purchased by the Purchasers pursuant to the Other Agreements or upon exercise of any of the warrants issued pursuant to the Other Agreements, as the context may require), the Company shall: (i) first, reduce the number of Warrant Shares included in the Resale Registration Statement on behalf of the Purchasers in whole or in part (such portion shall be allocated pro rata among such Purchasers) and, second (after reducing the number of such Warrant Shares to zero), reduce the number of Shares included in the Resale Registration Statement on behalf of the Purchasers in whole or in part (such portion shall be allocated pro rata among such Purchasers) (such excluded Warrant Shares and/or Shares, the “</w:t>
      </w:r>
      <w:r>
        <w:rPr>
          <w:rFonts w:ascii="Times New Roman" w:cs="Times New Roman" w:eastAsia="Times New Roman" w:hAnsi="Times New Roman"/>
          <w:sz w:val="18"/>
          <w:szCs w:val="18"/>
          <w:u w:val="single" w:color="auto"/>
          <w:color w:val="auto"/>
        </w:rPr>
        <w:t>Reduction Securities</w:t>
      </w:r>
      <w:r>
        <w:rPr>
          <w:rFonts w:ascii="Times New Roman" w:cs="Times New Roman" w:eastAsia="Times New Roman" w:hAnsi="Times New Roman"/>
          <w:sz w:val="18"/>
          <w:szCs w:val="18"/>
          <w:color w:val="auto"/>
        </w:rPr>
        <w:t xml:space="preserve">”), (ii) give the Purchasers prompt notice of the number of such Reduction Securities excluded and the Company will not be liable for any actual damages or liquidated damages under this Agreement (including, without limitation, any liquidated damages pursuant to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hereof) in connection with the exclusion of such Reduction Securities or in connection with any delay in the Effective Deadline arising from any interactions between the Company and the Commission with respect to the number of Shares and/or Warrant Shares that may be included and sold by the Purchasers in the Resale Registration Statement, and (iii) use its commercially reasonable efforts at the first opportunity that is permitted by the Commission to register for resale the Reduction Securities (or such portion thereof as the Commission will allow to be registered for resale at such time) pursuant to a new registration statement covering the resale of the Reduction Securities (or such portion thereof as the Commission will allow to be registered for resale at such time) for an offering to be made on a continuous basis pursuant to Rule 415 and shall file such new registration statement with the Commission within thirty (30) calendar days following (x) the date that the Commission would allow or permit such additional registration statement to be filed or (y) the date on which the Company first learned the date that the Commission would allow or permit such additional registration statement to be filed, whichever of (x) or (y) is the later date.</w:t>
      </w:r>
    </w:p>
    <w:p>
      <w:pPr>
        <w:spacing w:after="0" w:line="189" w:lineRule="exact"/>
        <w:rPr>
          <w:rFonts w:ascii="Times New Roman" w:cs="Times New Roman" w:eastAsia="Times New Roman" w:hAnsi="Times New Roman"/>
          <w:sz w:val="18"/>
          <w:szCs w:val="18"/>
          <w:color w:val="auto"/>
        </w:rPr>
      </w:pPr>
    </w:p>
    <w:p>
      <w:pPr>
        <w:jc w:val="both"/>
        <w:ind w:left="-540" w:firstLine="645"/>
        <w:spacing w:after="0" w:line="266" w:lineRule="auto"/>
        <w:tabs>
          <w:tab w:leader="none" w:pos="772"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Purchaser with respect to the Shares and the Warrant Shares registered under the Resale Registration Statement (and to each underwriter, if any, of such Shares and Warrant Shares) such number of copies of prospectuses and such other documents as the Purchaser may reasonably request, in order to facilitate the public sale or other disposition of all or any of the Shares and the Warrant Shares by the Purchaser.</w:t>
      </w:r>
    </w:p>
    <w:p>
      <w:pPr>
        <w:spacing w:after="0" w:line="174" w:lineRule="exact"/>
        <w:rPr>
          <w:rFonts w:ascii="Times New Roman" w:cs="Times New Roman" w:eastAsia="Times New Roman" w:hAnsi="Times New Roman"/>
          <w:sz w:val="18"/>
          <w:szCs w:val="18"/>
          <w:color w:val="auto"/>
        </w:rPr>
      </w:pPr>
    </w:p>
    <w:p>
      <w:pPr>
        <w:jc w:val="both"/>
        <w:ind w:left="-540" w:firstLine="645"/>
        <w:spacing w:after="0" w:line="267" w:lineRule="auto"/>
        <w:tabs>
          <w:tab w:leader="none" w:pos="80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File documents required of the Company for normal Blue Sky clearance in states specified in writing by the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qualify to do business or consent to service of process in any jurisdiction in which it is not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 qualified or has not so consented.</w:t>
      </w:r>
    </w:p>
    <w:p>
      <w:pPr>
        <w:spacing w:after="0" w:line="175"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88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 all expenses in connection with the procedures in paragraphs (a) through (f)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the registration of the Shares and the Warrant Shares on behalf of the Purchasers pursuant to the Resale Registration Statement, other than fees and expenses, if any, of counsel or other advisers to the Purchaser or the Other Purchasers or underwriting discounts, brokerage fees and commissions incurred by the Purchaser or the Other Purchasers, if any in connection with the offering of the Shares and the Warrant Shares on behalf of the Purchasers pursuant to the Resale Registration Statement.</w:t>
      </w:r>
    </w:p>
    <w:p>
      <w:pPr>
        <w:spacing w:after="0" w:line="40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59" w:name="page60"/>
    <w:bookmarkEnd w:id="59"/>
    <w:p>
      <w:pPr>
        <w:jc w:val="both"/>
        <w:ind w:left="660" w:firstLine="645"/>
        <w:spacing w:after="0" w:line="252" w:lineRule="auto"/>
        <w:tabs>
          <w:tab w:leader="none" w:pos="200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xml:space="preserve">. At any time during the period commencing on the six (6) month anniversary of the date hereof and ending at such time that the Shares and the Warrant Shares may be sold without the requirement for the Company to be in compliance with Rule 144(c)(1) and otherwise without restriction or limitation pursuant to Rule 144, if the Company (1) shall fail for any reason to satisfy the current public information requirement under Rule 144(c) or (2) has ever been an issuer described in Rule 144(i)(1)(i) or becomes such an issuer in the future, and the Company shall fail to satisfy any condition set forth in Rule 144(i)(2) (each of the events described in the foregoing clause (1) or the foregoing clause (2) of this </w:t>
      </w:r>
      <w:r>
        <w:rPr>
          <w:rFonts w:ascii="Times New Roman" w:cs="Times New Roman" w:eastAsia="Times New Roman" w:hAnsi="Times New Roman"/>
          <w:sz w:val="18"/>
          <w:szCs w:val="18"/>
          <w:u w:val="single" w:color="auto"/>
          <w:color w:val="auto"/>
        </w:rPr>
        <w:t>Section 4.1(h)</w:t>
      </w:r>
      <w:r>
        <w:rPr>
          <w:rFonts w:ascii="Times New Roman" w:cs="Times New Roman" w:eastAsia="Times New Roman" w:hAnsi="Times New Roman"/>
          <w:sz w:val="18"/>
          <w:szCs w:val="18"/>
          <w:color w:val="auto"/>
        </w:rPr>
        <w:t xml:space="preserve"> being hereinafter referred to as a “</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xml:space="preserve">”), then the Company shall pay to the Purchaser, as partial liquidated damages and not as a penalty, with respect to any delay in or reduction of the Purchaser’s ability to sell Shares and Warrant Shares that is due to any such Public Information Failure, an amount per 30-day period equal to 1.0% of the purchase price paid by the Purchaser for its Securities pursuant to this Agreement commencing on the day that Purchaser is unable to or delayed in selling Shares and Warrant Shares due to a Public Information Failure (pro-rated for any period totaling less than thirty (30) days) until the earlier of (a) the date such Public Information Failure is cured and (b) such time that such Public Information Failure no longer prevents or delays the Purchaser from transferring the Shares and Warrant Shares pursuant to Rule 144; and for any such 30-day (or shorter) period, such payment shall be made no later than three business days following such 30-day (or shorter) period. Notwithstanding the foregoing provisions, in no event shall the Company be obligated to pay any liquidated damages pursuant to this </w:t>
      </w:r>
      <w:r>
        <w:rPr>
          <w:rFonts w:ascii="Times New Roman" w:cs="Times New Roman" w:eastAsia="Times New Roman" w:hAnsi="Times New Roman"/>
          <w:sz w:val="18"/>
          <w:szCs w:val="18"/>
          <w:u w:val="single" w:color="auto"/>
          <w:color w:val="auto"/>
        </w:rPr>
        <w:t>Section 4.1(h)</w:t>
      </w:r>
      <w:r>
        <w:rPr>
          <w:rFonts w:ascii="Times New Roman" w:cs="Times New Roman" w:eastAsia="Times New Roman" w:hAnsi="Times New Roman"/>
          <w:sz w:val="18"/>
          <w:szCs w:val="18"/>
          <w:color w:val="auto"/>
        </w:rPr>
        <w:t xml:space="preserve"> (x) if any registration statement covering the resale of the Shares and the Warrant Shares by the Purchasers pursuant to an offering to be made on a continuous basis pursuant to Rule 415 promulgated under the Securities Act has been declared effective by the Commission and remains effective, (y) with respect to any Shares or Warrant Shares for any period of time if the Company is obligated to pay to any Other Purchaser liquidated damages pursuant to this </w:t>
      </w:r>
      <w:r>
        <w:rPr>
          <w:rFonts w:ascii="Times New Roman" w:cs="Times New Roman" w:eastAsia="Times New Roman" w:hAnsi="Times New Roman"/>
          <w:sz w:val="18"/>
          <w:szCs w:val="18"/>
          <w:u w:val="single" w:color="auto"/>
          <w:color w:val="auto"/>
        </w:rPr>
        <w:t>Section 4.1(h)</w:t>
      </w:r>
      <w:r>
        <w:rPr>
          <w:rFonts w:ascii="Times New Roman" w:cs="Times New Roman" w:eastAsia="Times New Roman" w:hAnsi="Times New Roman"/>
          <w:sz w:val="18"/>
          <w:szCs w:val="18"/>
          <w:color w:val="auto"/>
        </w:rPr>
        <w:t xml:space="preserve"> of the Agreement executed by such Other Purchaser with respect to such Shares or Warrant Shares for the same period of time, or (z) in an aggregate amount that exceeds 10% of the purchase price paid by the Purchaser for the Shares and the Warrants pursuant to this Agreement.</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A draft of the proposed form of the questionnaire related to the Resale Registration Statement to be completed by the Purchaser is attached hereto as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the Company has the right to take any and all steps necessary to convert the Resale Registration Statement from a Form S-1 to a Form S-3 at any time after the Company becomes eligible to do so under applicable rules and regulations of the Commission.</w:t>
      </w:r>
    </w:p>
    <w:p>
      <w:pPr>
        <w:spacing w:after="0" w:line="162" w:lineRule="exact"/>
        <w:rPr>
          <w:sz w:val="20"/>
          <w:szCs w:val="20"/>
          <w:color w:val="auto"/>
        </w:rPr>
      </w:pPr>
    </w:p>
    <w:p>
      <w:pPr>
        <w:jc w:val="both"/>
        <w:ind w:left="660" w:firstLine="645"/>
        <w:spacing w:after="0" w:line="258" w:lineRule="auto"/>
        <w:tabs>
          <w:tab w:leader="none" w:pos="202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Shares or Warrant Shares After Registration</w:t>
      </w:r>
      <w:r>
        <w:rPr>
          <w:rFonts w:ascii="Times New Roman" w:cs="Times New Roman" w:eastAsia="Times New Roman" w:hAnsi="Times New Roman"/>
          <w:sz w:val="18"/>
          <w:szCs w:val="18"/>
          <w:color w:val="auto"/>
        </w:rPr>
        <w:t xml:space="preserve">. The Purchaser agrees that it will not effect any disposition of the Shares or the Warrant Shares or its right to purchase the Shares or the Warrant Shares that would constitute a sale within the meaning of the Securities Act or pursuant to any applicable state securities laws, except as contemplated in the Resale Registration Statement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as otherwise permitted by law, and that it will promptly notify the Company of any changes in the information set forth in the Resale Registration Statement regarding the Purchaser or its plan of distribution.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spacing w:after="0"/>
        <w:tabs>
          <w:tab w:leader="none" w:pos="6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For the purposes of this</w:t>
      </w:r>
      <w:r>
        <w:rPr>
          <w:rFonts w:ascii="Times New Roman" w:cs="Times New Roman" w:eastAsia="Times New Roman" w:hAnsi="Times New Roman"/>
          <w:sz w:val="17"/>
          <w:szCs w:val="17"/>
          <w:u w:val="single" w:color="auto"/>
          <w:color w:val="auto"/>
        </w:rPr>
        <w:t xml:space="preserve"> Section 4.2</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645"/>
        <w:spacing w:after="0" w:line="258" w:lineRule="auto"/>
        <w:tabs>
          <w:tab w:leader="none" w:pos="1523"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 the term “Purchaser/Affiliate” shall mean any affiliate of the Purchaser, including a transferee who is an affiliate of the Purchaser, and any person who controls the Purchaser or any affiliate of the Purchaser within the meaning of Section 15 of the Securities Act or Section 20 of the Exchange Act; and (ii) the term “</w:t>
      </w:r>
      <w:r>
        <w:rPr>
          <w:rFonts w:ascii="Times New Roman" w:cs="Times New Roman" w:eastAsia="Times New Roman" w:hAnsi="Times New Roman"/>
          <w:sz w:val="18"/>
          <w:szCs w:val="18"/>
          <w:u w:val="single" w:color="auto"/>
          <w:color w:val="auto"/>
        </w:rPr>
        <w:t>Resale Registration Statement</w:t>
      </w:r>
      <w:r>
        <w:rPr>
          <w:rFonts w:ascii="Times New Roman" w:cs="Times New Roman" w:eastAsia="Times New Roman" w:hAnsi="Times New Roman"/>
          <w:sz w:val="18"/>
          <w:szCs w:val="18"/>
          <w:color w:val="auto"/>
        </w:rPr>
        <w:t xml:space="preserve">” shall include any preliminary prospectus, final prospectus, free writing prospectus, exhibit, supplement or amendment included in or relating to, and any document incorporated by reference in, the Resale Registration Statement referred to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45"/>
        <w:spacing w:after="0" w:line="251" w:lineRule="auto"/>
        <w:tabs>
          <w:tab w:leader="none" w:pos="149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indemnify and hold harmless the Purchaser and each Purchaser/Affiliate, against any losses, claims, damages, liabilities or expenses, joint or several, to which the Purchaser or Purchaser/Affiliates may become subject, under the Securities Act, the Exchange Act, or any other federal or state statutory law or regulation, or at common law or otherwise (including in settlement of any litigation, if such settlement is effected with the written consent of the Company), insofar as such losses, claims, damages, liabilities or expenses (or actions in respect thereof as contemplated below) (i) arise out of or are based upon any untrue statement or alleged untrue statement of any material fact contained in (1) the Resale Registration Statement, including the Prospectus, financial statements and schedules, and all other documents filed as a part thereof, as amended at the time of effectiveness of the Resale Registration Statement, including any information deemed to be a part thereof as of the time of effectiveness pursuant to paragraph (b) of Rule 430A, or pursuant to Rules 430B, 430C or 434, of the Rules and Regulations, or (2) the Prospectus, in the form first filed with the Commission pursuant to Rule 424(b) of the Regulations, or filed as part of the Resale Registration Statement at the time of effectiveness if no Rule 424(b) filing is required or any amendment or supplement thereto; (ii) arise out of or are based upon the omission or alleged omission to state in any of them a material fact required to be stated therein or necessary to make the statements in the Resale Registration Statement or any amendment or supplement thereto not misleading or in the Prospectus or any amendment or supplement thereto not misleading in light of the circumstances under which they were made; or (iii) arise out of or are based in whole or in part on any inaccuracy in the representations or warranties of the Company contained in this Agreement, or any failure of the Company to perform its obligations hereunder or under law, and will promptly reimburse the Purchaser and each Purchaser/Affiliate for any legal and other expenses as such expenses are reasonably incurred by the Purchaser or such Purchaser/Affiliate in connection with investigating, defending or preparing to defend, settling, compromising or paying any such loss, claim, damage, liability, expense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will not be liable for amounts paid in settlement of any such loss, claim, damage, liability or action if such settlement is effected without the consent of the Company, which consent shall not be unreasonably withheld, and the Company will not be liable in any such case to the extent that any such loss, claim, damage, liability or expense arises out of or is based upon (A) an untrue statement or alleged untrue statement or omission or alleged omission made in the Resale Registration Statement, the Prospectus or any amendment or supplement thereto in reliance upon and in conformity with written information furnished to the Company by or on behalf of the Purchaser expressly for use therein; (B) the failure of the Purchaser to comply with the covenants and agreements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hereof respecting the sale of the Shares and the Warrants; (C) the inaccuracy of any representation or warranty made by the Purchaser herein; or (D) any statement or omission in any Prospectus that is corrected in any subsequent Prospectus that was delivered to the Purchaser prior to the pertinent sale or sales by the Purchaser.</w:t>
      </w:r>
    </w:p>
    <w:p>
      <w:pPr>
        <w:spacing w:after="0" w:line="200" w:lineRule="exact"/>
        <w:rPr>
          <w:sz w:val="20"/>
          <w:szCs w:val="20"/>
          <w:color w:val="auto"/>
        </w:rPr>
      </w:pPr>
    </w:p>
    <w:p>
      <w:pPr>
        <w:spacing w:after="0" w:line="2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61" w:name="page62"/>
    <w:bookmarkEnd w:id="61"/>
    <w:p>
      <w:pPr>
        <w:jc w:val="both"/>
        <w:ind w:left="-540" w:firstLine="645"/>
        <w:spacing w:after="0" w:line="252" w:lineRule="auto"/>
        <w:tabs>
          <w:tab w:leader="none" w:pos="89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Purchaser will severally, but not jointly with the Other Purchasers, indemnify and hold harmless the Company, each of its directors, each of its officers who signed the Resale Registration Statement and each person, if any, who controls the Company within the meaning of Section 15 of the Securities Act or Section 20 of the Exchange Act, against any losses, claims, damages, liabilities or expenses to which the Company, each of its directors, each of its officers who signed the Resale Registration Statement or controlling person may become subject, under the Securities Act, the Exchange Act, or any other federal or state statutory law or regulation, or at common law or otherwise (including in settlement of any litigation, but only if such settlement is effected with the written consent of the Purchaser) insofar as such losses, claims, damages, liabilities or expenses (or actions in respect thereof as contemplated below) arise out of or are based upon (i) any failure to comply with the covenants and agreements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hereof respecting the sale of the Shares and the Warrants; (ii) the inaccuracy of any representation or warranty made by the Purchaser herein; or (iii) any untrue or alleged untrue statement of any material fact contained in the Resale Registration Statement, the Prospectus, or any amendment or supplement thereto, or arise out of or are based upon the omission or alleged omission to state therein a material fact required to be stated therein or necessary to make the statements in the Resale Registration Statement or any amendment or supplement thereto not misleading or in the Prospectus or any amendment or supplement thereto not misleading in the light of the circumstances under which they were made, in each case under this clause (iii) to the extent, but only to the extent, that such untrue statement or alleged untrue statement or omission or alleged omission was made in the Resale Registration Statement, the Prospectus, or any amendment or supplement thereto, in reliance upon and in conformity with written information furnished to the Company by or on behalf of the Purchaser expressly for use therein; and will reimburse the Company, each of its directors, each of its officers who signed the Resale Registration Statement or controlling person for any legal and other expense reasonably incurred by the Company, each of its directors, each of its officers who signed the Resale Registration Statement or controlling person in connection with investigating, defending, settling, compromising or paying any such loss, claim, damage, liability, expense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Purchaser’s aggregate liability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not exceed the amount of net proceeds received by the Purchaser on the sale pursuant to the Resale Registration Statement of the Shares and the Warrant Shares purchased by the Purchaser.</w:t>
      </w:r>
    </w:p>
    <w:p>
      <w:pPr>
        <w:spacing w:after="0" w:line="200" w:lineRule="exact"/>
        <w:rPr>
          <w:sz w:val="20"/>
          <w:szCs w:val="20"/>
          <w:color w:val="auto"/>
        </w:rPr>
      </w:pPr>
    </w:p>
    <w:p>
      <w:pPr>
        <w:spacing w:after="0" w:line="20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2" w:name="page63"/>
    <w:bookmarkEnd w:id="62"/>
    <w:p>
      <w:pPr>
        <w:jc w:val="both"/>
        <w:ind w:left="4" w:firstLine="645"/>
        <w:spacing w:after="0" w:line="251" w:lineRule="auto"/>
        <w:tabs>
          <w:tab w:leader="none" w:pos="134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receipt by an indemnified party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notice of the threat or commencement of any action, such indemnified party will, if a claim in respect thereof is to be made against an indemnifying party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promptly notify the indemnifying party in writing thereof, but the omission to notify the indemnifying party will not relieve it from any liability that it may have to any indemnified party for contribution or otherwise under the indemnity agreement contained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to the extent it is not prejudiced as a result of such failure. In case any such action is brought against any 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defendants in any such action include both the indemnified party, and the indemnifying party and the indemnified party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reasonably concluded, based on an opinion of counsel reasonably satisfactory to the indemnifying party, that there may be a conflict of interest between the positions of the indemnifying party and the indemnified party in conducting the defense of any such action or that there may be legal defenses available to it and/or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to assume the defense of such action and approval by the indemnified party of counsel, the indemnifying party will not be liable to such indemnified party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for any legal or other expenses subsequently incurred by such indemnified party in connection with the defense thereof unless (i) the indemnified party shall have employed such counsel in connection with the assumption of legal defenses in accordance with the proviso to the preceding sentence (it being understood, however, that the indemnifying party shall not be liable for the expenses of more than one separate counsel, reasonably satisfactory to such indemnifying party, representing all of the indemnified parties who are parties to such action) or (ii) the indemnifying party shall not have employed counsel reasonably satisfactory to the indemnified party to represent the indemnified party within a reasonable time after notice of commencement of action, in each of which cases the reasonable fees and expenses of counsel shall be at the expense of the indemnifying party. The indemnifying party shall not be liable for any settlement of any action without its written consent. In no event shall any indemnifying party be liable in respect of any amounts paid in settlement of any action unless the indemnifying party shall have approved in writing the terms of such settlement; provided that such consent shall not be unreasonably withheld. No indemnifying party shall, without the prior written consent of the indemnified party, effect any settlement of any pending or threatened proceeding in respect of which any indemnified party is or could have been a party and indemnification could have been sought hereunder by such indemnified party from all liability on claims that are the subject matter of such proceeding, unless such settlement (x) includes an unconditional release of such Indemnified Person, in form and substance reasonably satisfactory to such Indemnified Person, from all liability on claims that are the subject matter of such proceeding and</w:t>
      </w:r>
    </w:p>
    <w:p>
      <w:pPr>
        <w:spacing w:after="0" w:line="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any statement as to or any admission of fault, culpability or a failure to act by or on behalf of any Indemnified Person.</w:t>
      </w:r>
    </w:p>
    <w:p>
      <w:pPr>
        <w:spacing w:after="0" w:line="200" w:lineRule="exact"/>
        <w:rPr>
          <w:sz w:val="20"/>
          <w:szCs w:val="20"/>
          <w:color w:val="auto"/>
        </w:rPr>
      </w:pPr>
    </w:p>
    <w:p>
      <w:pPr>
        <w:spacing w:after="0" w:line="223"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63" w:name="page64"/>
    <w:bookmarkEnd w:id="63"/>
    <w:p>
      <w:pPr>
        <w:jc w:val="both"/>
        <w:ind w:left="-540" w:firstLine="645"/>
        <w:spacing w:after="0" w:line="251" w:lineRule="auto"/>
        <w:tabs>
          <w:tab w:leader="none" w:pos="8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indemnification provided for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is required by its terms but is for any reason held to be unavailable to or otherwise insufficient to hold harmless an indemnified party under paragraphs (a), (b) or (c)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in respect to any losses, claims, damages, liabilities or expenses referred to therein, then each applicable indemnifying party shall contribute to the amount paid or payable by such indemnified party as a result of any losses, claims, damages, liabilities or expenses referred to therein (i) in such proportion as is appropriate to reflect the relative benefits received by the Company and the Purchaser from the private placement of Common Stock hereunder or (ii) if the allocation provided by clause (i) above is not permitted by applicable law, in such proportion as is appropriate to reflect not only the relative benefits referred to in clause (i) above but the relative fault of the Company and the Purchaser in connection with the statements or omissions or inaccuracies in the representations and warranties in this Agreement and/or the Resale Registration Statement that resulted in such losses, claims, damages, liabilities or expenses, as well as any other relevant equitable considerations. The relative benefits received by the Company on the one hand and the Purchaser on the other shall be deemed to be in the same proportion as the amount paid by the Purchaser to the Company pursuant to this Agreement for the Shares and the Warrants purchased by the Purchaser that were sold pursuant to the Resale Registration Statement bears to the difference (the “</w:t>
      </w:r>
      <w:r>
        <w:rPr>
          <w:rFonts w:ascii="Times New Roman" w:cs="Times New Roman" w:eastAsia="Times New Roman" w:hAnsi="Times New Roman"/>
          <w:sz w:val="18"/>
          <w:szCs w:val="18"/>
          <w:u w:val="single" w:color="auto"/>
          <w:color w:val="auto"/>
        </w:rPr>
        <w:t>Difference</w:t>
      </w:r>
      <w:r>
        <w:rPr>
          <w:rFonts w:ascii="Times New Roman" w:cs="Times New Roman" w:eastAsia="Times New Roman" w:hAnsi="Times New Roman"/>
          <w:sz w:val="18"/>
          <w:szCs w:val="18"/>
          <w:color w:val="auto"/>
        </w:rPr>
        <w:t xml:space="preserve">”) between the amount the Purchaser paid for the Shares and the Warrants that were sold pursuant to the Resale Registration Statement and the amount received by the Purchaser from such sale. The relative fault of the Company on the one hand and the Purchaser on the other shall be determined by reference to, among other things, whether the untrue or alleged statement of a material fact or the omission or alleged omission to state a material fact or the inaccurate or the alleged inaccurate representation and/or warranty relates to information supplied by the Company or by the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paragraph (c)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any legal or other fees or expenses reasonably incurred by such party in connection with investigating or defending any action or claim. The provisions set forth in paragraph (d)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with respect to the notice of the threat or commencement of any threat or action shall apply if a claim for contribution is to be made under this paragraph (e);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additional notice shall be required with respect to any threat or action for which notice has been given under paragraph (d)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purposes of indemnification. The Company and the Purchaser agree that it would not be just and equitable if contribution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were determined solely by pro rata allocation (even if the Purchaser were treated as one entity for such purpose) or by any other method of allocation which does not take account of the equitable considerations referred to in this paragraph. Notwithstanding the provisions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the Purchaser shall not be required to contribute any amount in excess of the amount by which the Difference exceeds the amount of any damages that the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Purchaser’s obligation to contribute pursuant to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are several and not joint with the Other Purchasers’ obligation to contribute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of the Agreements between the Other Purchasers and the Company.</w:t>
      </w: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4" w:name="page65"/>
    <w:bookmarkEnd w:id="64"/>
    <w:p>
      <w:pPr>
        <w:jc w:val="both"/>
        <w:ind w:left="-540" w:firstLine="645"/>
        <w:spacing w:after="0" w:line="258" w:lineRule="auto"/>
        <w:tabs>
          <w:tab w:leader="none" w:pos="73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Conditions and Obligations</w:t>
      </w:r>
      <w:r>
        <w:rPr>
          <w:rFonts w:ascii="Times New Roman" w:cs="Times New Roman" w:eastAsia="Times New Roman" w:hAnsi="Times New Roman"/>
          <w:sz w:val="18"/>
          <w:szCs w:val="18"/>
          <w:color w:val="auto"/>
        </w:rPr>
        <w:t xml:space="preserve">. The restrictions imposed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4.1(i)</w:t>
      </w:r>
      <w:r>
        <w:rPr>
          <w:rFonts w:ascii="Times New Roman" w:cs="Times New Roman" w:eastAsia="Times New Roman" w:hAnsi="Times New Roman"/>
          <w:sz w:val="18"/>
          <w:szCs w:val="18"/>
          <w:color w:val="auto"/>
        </w:rPr>
        <w:t xml:space="preserve"> upon the transferability of the Shares and the Warrant Shares shall cease and terminate as to any particular number of the Shares and the Warrant Shares upon the earliest of (i) the passage of two years from the effective date of the Resale Registration Statement covering such Shares or Warrant Shares, as applicable, (ii) at such time as an opinion of counsel satisfactory in form and substance to the Company shall have been rendered to the effect that such conditions are not necessary in order to comply with the Securities Act, and (iii) the Applicable Rule 144 Full Liquidity Date (as defined below).</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8" w:lineRule="auto"/>
        <w:tabs>
          <w:tab w:leader="none" w:pos="903"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Available</w:t>
      </w:r>
      <w:r>
        <w:rPr>
          <w:rFonts w:ascii="Times New Roman" w:cs="Times New Roman" w:eastAsia="Times New Roman" w:hAnsi="Times New Roman"/>
          <w:sz w:val="18"/>
          <w:szCs w:val="18"/>
          <w:color w:val="auto"/>
        </w:rPr>
        <w:t>. The Company, upon the reasonable request of the Purchaser, shall make available for inspection by the Purchaser, any underwriter participating in any disposition pursuant to the Resale Registration Statement and any attorney, accountant or other agent retained by the Purchaser or any such underwriter, all financial and other records, pertinent corporate documents and properties of the Company, and cause the Company’s officers, employees and independent accountants to supply all information reasonably requested by the Purchaser or any such underwriter, attorney, accountant or agent in connection with the Resale Registration Statement.</w:t>
      </w:r>
    </w:p>
    <w:p>
      <w:pPr>
        <w:spacing w:after="0" w:line="183" w:lineRule="exact"/>
        <w:rPr>
          <w:rFonts w:ascii="Times New Roman" w:cs="Times New Roman" w:eastAsia="Times New Roman" w:hAnsi="Times New Roman"/>
          <w:sz w:val="18"/>
          <w:szCs w:val="18"/>
          <w:color w:val="auto"/>
        </w:rPr>
      </w:pPr>
    </w:p>
    <w:p>
      <w:pPr>
        <w:jc w:val="both"/>
        <w:ind w:left="-540" w:firstLine="645"/>
        <w:spacing w:after="0" w:line="251" w:lineRule="auto"/>
        <w:tabs>
          <w:tab w:leader="none" w:pos="82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Filing or Effectiveness of Registration Statement</w:t>
      </w:r>
      <w:r>
        <w:rPr>
          <w:rFonts w:ascii="Times New Roman" w:cs="Times New Roman" w:eastAsia="Times New Roman" w:hAnsi="Times New Roman"/>
          <w:sz w:val="18"/>
          <w:szCs w:val="18"/>
          <w:color w:val="auto"/>
        </w:rPr>
        <w:t>. If the Resale Registration Statement is not filed by the Company with the Commission on or prior to the Filing Deadline, then for each day following the Filing Deadline until but excluding the date the Resale Registration Statement is filed or, if earlier, until the date the Shares and the Warrant Shares purchased hereunder may be sold pursuant to Rule 144 under the Securities Act without any restriction as to the number of securities as of a particular date that can then be immediately sold and without the requirement to be in compliance with Rule 144(c)(1) (the “</w:t>
      </w:r>
      <w:r>
        <w:rPr>
          <w:rFonts w:ascii="Times New Roman" w:cs="Times New Roman" w:eastAsia="Times New Roman" w:hAnsi="Times New Roman"/>
          <w:sz w:val="18"/>
          <w:szCs w:val="18"/>
          <w:u w:val="single" w:color="auto"/>
          <w:color w:val="auto"/>
        </w:rPr>
        <w:t>Applicable Rule 144 Full Liquidity Date</w:t>
      </w:r>
      <w:r>
        <w:rPr>
          <w:rFonts w:ascii="Times New Roman" w:cs="Times New Roman" w:eastAsia="Times New Roman" w:hAnsi="Times New Roman"/>
          <w:sz w:val="18"/>
          <w:szCs w:val="18"/>
          <w:color w:val="auto"/>
        </w:rPr>
        <w:t xml:space="preserve">”), or if the Resale Registration Statement is not declared effective by the Commission by the Effective Deadline (unless the Commission seeks to impose, or notifies the Company that the Commission is considering, a limitation in the number of shares of Common Stock that the Purchaser and the Other Purchasers may include in the Resale Registration Statement, in which case the provisions of this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shall not be applicable if the Resale Registration Statement is not declared effective by the Commission by the Effective Deadline), then for each day following the Effective Deadline until but excluding the date the Commission declares the Resale Registration Statement effective or, if earlier, until the Applicable Rule 144 Full Liquidity Date, the Company shall, for each such day, pay the Purchaser with respect to any such failure, as liquidated damages and not as a penalty, an amount per 30-day period equal to 1.0% of the purchase price paid by the Purchaser for its Securities pursuant to this Agreement; and for any such 30-day period, such payment shall be made no later than three business days following such 30-day period. If the Purchaser shall be prohibited from selling Shares or Warrant Shares under the Resale Registration Statement as a result of a Suspension of more than thirty (30) days or Suspensions on more than two (2) occasions of not more than thirty (30) days each in any 12-month period, then for each day prior to the Applicable Rule 144 Full Liquidity Date on which a Suspension is in effect that exceeds the maximum allowed period for a Suspension or Suspensions, but not including any day on which a Suspension is lifted, the Company shall pay the Purchaser, as liquidated damages and not as a penalty, an amount per 30-day period equal to 1.0% of the purchase price paid by the Purchaser for its Shares or Warrant Shares, as applicable, pursuant to this Agreement for each such 30-day period, and such payment shall be made no later than the first business day of the calendar month next succeeding the month in which such day occurs. For purposes of this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a Suspension shall be deemed lifted on the date that notice that the Suspension has been lifted is delivered to the Purchaser pursuant to </w:t>
      </w:r>
      <w:r>
        <w:rPr>
          <w:rFonts w:ascii="Times New Roman" w:cs="Times New Roman" w:eastAsia="Times New Roman" w:hAnsi="Times New Roman"/>
          <w:sz w:val="18"/>
          <w:szCs w:val="18"/>
          <w:u w:val="single" w:color="auto"/>
          <w:color w:val="auto"/>
        </w:rPr>
        <w:t>Section 3.2(k)</w:t>
      </w:r>
      <w:r>
        <w:rPr>
          <w:rFonts w:ascii="Times New Roman" w:cs="Times New Roman" w:eastAsia="Times New Roman" w:hAnsi="Times New Roman"/>
          <w:sz w:val="18"/>
          <w:szCs w:val="18"/>
          <w:color w:val="auto"/>
        </w:rPr>
        <w:t xml:space="preserve"> of this Agreement. Any payments made pursuant to this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shall not constitute the Purchaser’s exclusive remedy for such events;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payments made by the Purchaser pursuant to this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shall reduce the amount of any damages that the Purchaser may be entitled to as a remedy for such events. Notwithstanding the foregoing provisions, in no event shall the Company be obligated to pay any liquidated damages pursuant to this </w:t>
      </w:r>
      <w:r>
        <w:rPr>
          <w:rFonts w:ascii="Times New Roman" w:cs="Times New Roman" w:eastAsia="Times New Roman" w:hAnsi="Times New Roman"/>
          <w:sz w:val="18"/>
          <w:szCs w:val="18"/>
          <w:u w:val="single" w:color="auto"/>
          <w:color w:val="auto"/>
        </w:rPr>
        <w:t>Section 4.2(h)(i)</w:t>
      </w:r>
      <w:r>
        <w:rPr>
          <w:rFonts w:ascii="Times New Roman" w:cs="Times New Roman" w:eastAsia="Times New Roman" w:hAnsi="Times New Roman"/>
          <w:sz w:val="18"/>
          <w:szCs w:val="18"/>
          <w:color w:val="auto"/>
        </w:rPr>
        <w:t xml:space="preserve"> with respect to any Shares or Warrant Shares for any period of time if the Company is obligated to pay to any Other Purchaser liquidated damages pursuant to </w:t>
      </w:r>
      <w:r>
        <w:rPr>
          <w:rFonts w:ascii="Times New Roman" w:cs="Times New Roman" w:eastAsia="Times New Roman" w:hAnsi="Times New Roman"/>
          <w:sz w:val="18"/>
          <w:szCs w:val="18"/>
          <w:u w:val="single" w:color="auto"/>
          <w:color w:val="auto"/>
        </w:rPr>
        <w:t>Section 4.2(h)</w:t>
      </w:r>
      <w:r>
        <w:rPr>
          <w:rFonts w:ascii="Times New Roman" w:cs="Times New Roman" w:eastAsia="Times New Roman" w:hAnsi="Times New Roman"/>
          <w:sz w:val="18"/>
          <w:szCs w:val="18"/>
          <w:color w:val="auto"/>
        </w:rPr>
        <w:t xml:space="preserve"> of the Agreement executed by such Other Purchaser with respect to the exact same Shares or Warrant Shares for the same period of time or (ii) in an aggregate amount that exceeds 10% of the purchase price paid by the Purchaser for the Shares and the Warrants pursuant to this Agreement. Such payments shall be made to the Purchasers in cash.</w:t>
      </w:r>
    </w:p>
    <w:p>
      <w:pPr>
        <w:spacing w:after="0" w:line="200" w:lineRule="exact"/>
        <w:rPr>
          <w:sz w:val="20"/>
          <w:szCs w:val="20"/>
          <w:color w:val="auto"/>
        </w:rPr>
      </w:pPr>
    </w:p>
    <w:p>
      <w:pPr>
        <w:spacing w:after="0" w:line="221"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5" w:right="239" w:bottom="1440" w:gutter="0" w:footer="0" w:header="0"/>
        </w:sectPr>
      </w:pPr>
    </w:p>
    <w:bookmarkStart w:id="65" w:name="page66"/>
    <w:bookmarkEnd w:id="65"/>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Non-Exclusive Remedy</w:t>
      </w:r>
      <w:r>
        <w:rPr>
          <w:rFonts w:ascii="Times New Roman" w:cs="Times New Roman" w:eastAsia="Times New Roman" w:hAnsi="Times New Roman"/>
          <w:sz w:val="18"/>
          <w:szCs w:val="18"/>
          <w:color w:val="auto"/>
        </w:rPr>
        <w:t xml:space="preserve">. The respective rights of indemnification of each of the Company and the Purchaser under this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shall not be exclusive of any other remedy available to either the Company or the Purchaser under applicable law.</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Future Issuances of Common Stock or Common Stock Equivalents</w:t>
      </w:r>
      <w:r>
        <w:rPr>
          <w:rFonts w:ascii="Times New Roman" w:cs="Times New Roman" w:eastAsia="Times New Roman" w:hAnsi="Times New Roman"/>
          <w:sz w:val="18"/>
          <w:szCs w:val="18"/>
          <w:color w:val="auto"/>
        </w:rPr>
        <w:t xml:space="preserve">. From the date hereof until 30 days after the effective date of the Resale Registration Statement, neither the Company nor any Subsidiary shall issue, file a registration statement with the Commission with respect to, enter into any agreement to issue or announce the issuance or proposed issuance of any shares of Common Stock or Common Stock Equivalents. Notwithstanding the foregoing,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not apply in respect of an Exempt Issuance or securities issued pursuant to the Bridge Financing Agreements, the Merger Agreement or the Reincorporation.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6" w:name="page67"/>
    <w:bookmarkEnd w:id="66"/>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9:00 a.m. (New York City time) on the Trading Day immediately following the Closing Date,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 that it shall have publicly disclosed all material, non-public information delivered to the Purchaser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the Purchaser or any of its Affiliates on the other hand, in connection with the transactions contemplated by this Agreement shall terminate. The Company shall not publicly disclose the name of the Purchaser, or include the name of the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the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the Purchaser could be deemed to trigger the provisions of any such plan or arrangement, by virtue of receiving Securities under the Transaction Documents or under any other agreement between the Company and the Purchaser.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obtain the Required Shareholder Approval concurrently with the shareholder approval of the Merger, and obtain and maintain the listing or quotation of the Common Stock on the Trading Market on which it is currently listed.</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 in order to exercise the Warrants. No additional legal opinion, other information or instructions shall be required of the Purchaser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Required Shareholder Approval</w:t>
      </w:r>
      <w:r>
        <w:rPr>
          <w:rFonts w:ascii="Times New Roman" w:cs="Times New Roman" w:eastAsia="Times New Roman" w:hAnsi="Times New Roman"/>
          <w:sz w:val="18"/>
          <w:szCs w:val="18"/>
          <w:color w:val="auto"/>
        </w:rPr>
        <w:t>. If the Required Shareholder Approval is not obtained after initially putting such matters to a shareholder vote, the Company shall adjourn such shareholder meeting and call an additional shareholders meeting (that meets the quorum and other corporate requirements) as soon as commercially reasonably possible. At such additional shareholders meeting, the shareholders shall vote again on the matters comprising the Required Shareholder Approval.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the Purchaser, as to the Purchaser’s obligations hereunder by written notice to the Company, if (i) the Required Shareholder Approval was obtained at the initial shareholder vote on such matters and the Closing has not been consummated on or before the 120th day after the date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in the event that the Proxy Statement for the Required Shareholder Approval is still being reviewed or commented on by the Commission, then the Company shall be entitled to extend the date for termination of this Agreement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for an additional 60 calendar days; or (ii) the Required Shareholder Approval was neither obtained at the initial shareholder vote nor the subsequent additional shareholder vote described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as set forth on the signature pages attached hereto at or prior to 5:30 p.m. (New York City time) on a Trading Day, (b) the next Trading Day after the date of transmission, if such notice or communication is delivered via facsimile at the facsimile number or email attachment as set forth on the signature pages attached hereto on a day that is not a Trading Day or later than 5:30 p.m. (New York City time) on any Trading Day, (c) the second</w:t>
      </w:r>
    </w:p>
    <w:p>
      <w:pPr>
        <w:spacing w:after="0" w:line="3" w:lineRule="exact"/>
        <w:rPr>
          <w:sz w:val="20"/>
          <w:szCs w:val="20"/>
          <w:color w:val="auto"/>
        </w:rPr>
      </w:pPr>
    </w:p>
    <w:p>
      <w:pPr>
        <w:jc w:val="both"/>
        <w:spacing w:after="0" w:line="205" w:lineRule="auto"/>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xml:space="preserve">. No provision of this Agreement may be waived, modified, supplemented or amended except in a written instrument signed by the Company and the Purchaser;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of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this Agreement may be modified, amended or waived pursuant to an instrument in writing signed by the Company and those Purchasers who purchased at least 67% in interest of the Common Stock pursuant to the Agreements.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the parties and their successors and permitted assigns. The Company may not assign this Agreement or any rights or obligations hereunder without the prior written consent of the Purchaser (other than by merger). The Purchaser may assign any or all of its rights under this Agreement to any Person to whom the Purchaser assigns or transfers any Securities,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transferee agrees in writing to be bound, with respect to the transferred Securities, by the provisions of the Transaction Documents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apply to the “Purchaser.”</w:t>
      </w:r>
    </w:p>
    <w:p>
      <w:pPr>
        <w:spacing w:after="0" w:line="18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The Placement Agents and their Affiliates shall be the third party beneficiaries of the representations and warranties of the Company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the representations and warranties of the Purchaser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and the representations and warranties of Marker Therapeutics, Inc. in the Merger Agreement. This Agreement is intended for the benefit of the parties hereto and their respective successors and permitted assigns and is not for the benefit of, nor may any provision hereof be enforced by, any other Person, except as otherwise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xml:space="preserve">.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prevailing party in such action, suit or proceeding shall be reimbursed by the other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Survival of Agreements; Temporary Survival of Representations and Warranties</w:t>
      </w:r>
      <w:r>
        <w:rPr>
          <w:rFonts w:ascii="Times New Roman" w:cs="Times New Roman" w:eastAsia="Times New Roman" w:hAnsi="Times New Roman"/>
          <w:sz w:val="18"/>
          <w:szCs w:val="18"/>
          <w:color w:val="auto"/>
        </w:rPr>
        <w:t>. Notwithstanding any investigation made by any party to this Agreement or by the Placement Agents, all covenants and agreements made by the Company and the Purchaser herein and in the Securities delivered pursuant hereto shall survive the execution of this Agreement, the delivery to the Purchaser of the Securities being purchased and the payment therefor. All representations and warranties, made by the Company and the Purchaser herein and in the certificates for the Securities delivered pursuant hereto shall survive the execution of this Agreement, the delivery to the Purchaser of the Securities being purchased and the payment therefor.</w:t>
      </w:r>
    </w:p>
    <w:p>
      <w:pPr>
        <w:spacing w:after="0" w:line="18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the Purchaser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the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Mayer Brown does not represent any of the Purchasers and only represents the Placement Agents.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6.16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6.17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ind w:left="660"/>
        <w:spacing w:after="0"/>
        <w:tabs>
          <w:tab w:leader="none" w:pos="1540" w:val="left"/>
        </w:tabs>
        <w:rPr>
          <w:sz w:val="20"/>
          <w:szCs w:val="20"/>
          <w:color w:val="auto"/>
        </w:rPr>
      </w:pPr>
      <w:r>
        <w:rPr>
          <w:rFonts w:ascii="Times New Roman" w:cs="Times New Roman" w:eastAsia="Times New Roman" w:hAnsi="Times New Roman"/>
          <w:sz w:val="18"/>
          <w:szCs w:val="18"/>
          <w:color w:val="auto"/>
        </w:rPr>
        <w:t>6.18</w:t>
      </w:r>
      <w:r>
        <w:rPr>
          <w:sz w:val="20"/>
          <w:szCs w:val="20"/>
          <w:color w:val="auto"/>
        </w:rPr>
        <w:tab/>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IN ANY ACTION, SUIT, OR PROCEEDING IN ANY JURISDICTION BROUGHT BY ANY</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PARTY 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72" w:name="page73"/>
    <w:bookmarkEnd w:id="72"/>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58"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TAPIMMUNE INC.</w:t>
      </w:r>
      <w:r>
        <w:rPr>
          <w:sz w:val="20"/>
          <w:szCs w:val="20"/>
          <w:color w:val="auto"/>
        </w:rPr>
        <w:tab/>
      </w:r>
      <w:r>
        <w:rPr>
          <w:rFonts w:ascii="Times New Roman" w:cs="Times New Roman" w:eastAsia="Times New Roman" w:hAnsi="Times New Roman"/>
          <w:sz w:val="17"/>
          <w:szCs w:val="17"/>
          <w:color w:val="auto"/>
        </w:rPr>
        <w:t>Address for Notice:</w:t>
      </w:r>
    </w:p>
    <w:p>
      <w:pPr>
        <w:spacing w:after="0" w:line="22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5 West Forsyth Street, Suite 200</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Jacksonville, FL 32202</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Attn: Mr. Peter L. Hoang,</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E-mail: phoang@tapimmune.com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Peter L. Hoang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333629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 Chief Executive Officer,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Seyfarth Shaw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 Milam Street, Suite 1400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No.: (713) 238-1887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No.: (713) 225-2340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Paul Pryzant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ppryzant@seyfarth.com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has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Jurisdiction of Purchaser’s Executive Offices: 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Purchase Price: $_________________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__________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Warrants (Number of Warrant Shares): ______ Warrants ( ______ Warrant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74" w:name="page75"/>
    <w:bookmarkEnd w:id="74"/>
    <w:p>
      <w:pPr>
        <w:ind w:left="5020"/>
        <w:spacing w:after="0"/>
        <w:rPr>
          <w:sz w:val="20"/>
          <w:szCs w:val="20"/>
          <w:color w:val="auto"/>
        </w:rPr>
      </w:pPr>
      <w:r>
        <w:rPr>
          <w:rFonts w:ascii="Times New Roman" w:cs="Times New Roman" w:eastAsia="Times New Roman" w:hAnsi="Times New Roman"/>
          <w:sz w:val="18"/>
          <w:szCs w:val="18"/>
          <w:b w:val="1"/>
          <w:bCs w:val="1"/>
          <w:color w:val="auto"/>
        </w:rPr>
        <w:t>List of Purchasers</w:t>
      </w:r>
    </w:p>
    <w:p>
      <w:pPr>
        <w:spacing w:after="0" w:line="225" w:lineRule="exact"/>
        <w:rPr>
          <w:sz w:val="20"/>
          <w:szCs w:val="20"/>
          <w:color w:val="auto"/>
        </w:rPr>
      </w:pPr>
    </w:p>
    <w:p>
      <w:pPr>
        <w:spacing w:after="0"/>
        <w:tabs>
          <w:tab w:leader="none" w:pos="6600" w:val="left"/>
          <w:tab w:leader="none" w:pos="8620" w:val="left"/>
        </w:tabs>
        <w:rPr>
          <w:sz w:val="20"/>
          <w:szCs w:val="20"/>
          <w:color w:val="auto"/>
        </w:rPr>
      </w:pPr>
      <w:r>
        <w:rPr>
          <w:rFonts w:ascii="Times New Roman" w:cs="Times New Roman" w:eastAsia="Times New Roman" w:hAnsi="Times New Roman"/>
          <w:sz w:val="18"/>
          <w:szCs w:val="18"/>
          <w:b w:val="1"/>
          <w:bCs w:val="1"/>
          <w:color w:val="auto"/>
        </w:rPr>
        <w:t>Investor</w:t>
      </w:r>
      <w:r>
        <w:rPr>
          <w:sz w:val="20"/>
          <w:szCs w:val="20"/>
          <w:color w:val="auto"/>
        </w:rPr>
        <w:tab/>
      </w:r>
      <w:r>
        <w:rPr>
          <w:rFonts w:ascii="Times New Roman" w:cs="Times New Roman" w:eastAsia="Times New Roman" w:hAnsi="Times New Roman"/>
          <w:sz w:val="18"/>
          <w:szCs w:val="18"/>
          <w:b w:val="1"/>
          <w:bCs w:val="1"/>
          <w:color w:val="auto"/>
        </w:rPr>
        <w:t>Shares</w:t>
      </w:r>
      <w:r>
        <w:rPr>
          <w:sz w:val="20"/>
          <w:szCs w:val="20"/>
          <w:color w:val="auto"/>
        </w:rPr>
        <w:tab/>
      </w:r>
      <w:r>
        <w:rPr>
          <w:rFonts w:ascii="Times New Roman" w:cs="Times New Roman" w:eastAsia="Times New Roman" w:hAnsi="Times New Roman"/>
          <w:sz w:val="17"/>
          <w:szCs w:val="17"/>
          <w:b w:val="1"/>
          <w:bCs w:val="1"/>
          <w:color w:val="auto"/>
        </w:rPr>
        <w:t>Warrants (Warrant Shares)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901" w:right="879" w:bottom="1440" w:gutter="0" w:footer="0" w:header="0"/>
        </w:sectPr>
      </w:pPr>
    </w:p>
    <w:bookmarkStart w:id="75" w:name="page76"/>
    <w:bookmarkEnd w:id="7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u w:val="single" w:color="auto"/>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453390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APPENDIX 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SUMMARY INSTRUCTION SHEET FOR PURCHASER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be read in conjunction with the entire Securities Purchase Agreement which follows)</w:t>
      </w:r>
    </w:p>
    <w:p>
      <w:pPr>
        <w:spacing w:after="0" w:line="221" w:lineRule="exact"/>
        <w:rPr>
          <w:sz w:val="20"/>
          <w:szCs w:val="20"/>
          <w:color w:val="auto"/>
        </w:rPr>
      </w:pPr>
    </w:p>
    <w:p>
      <w:pPr>
        <w:ind w:left="660" w:hanging="652"/>
        <w:spacing w:after="0"/>
        <w:tabs>
          <w:tab w:leader="none" w:pos="6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Complete the following items on </w:t>
      </w:r>
      <w:r>
        <w:rPr>
          <w:rFonts w:ascii="Times New Roman" w:cs="Times New Roman" w:eastAsia="Times New Roman" w:hAnsi="Times New Roman"/>
          <w:sz w:val="18"/>
          <w:szCs w:val="18"/>
          <w:b w:val="1"/>
          <w:bCs w:val="1"/>
          <w:color w:val="auto"/>
        </w:rPr>
        <w:t>BOTH</w:t>
      </w:r>
      <w:r>
        <w:rPr>
          <w:rFonts w:ascii="Times New Roman" w:cs="Times New Roman" w:eastAsia="Times New Roman" w:hAnsi="Times New Roman"/>
          <w:sz w:val="18"/>
          <w:szCs w:val="18"/>
          <w:color w:val="auto"/>
        </w:rPr>
        <w:t xml:space="preserve"> Agreements (Sign two originals):</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Purchaser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Institution, Name of Individual representing Purchaser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Institution, Title of Individual representing Purchaser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of Individual / Individual representing Purchaser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Appendix I — Stock Certificate Questionnaire/Resale Registration Statement Questionnaire:</w:t>
      </w:r>
    </w:p>
    <w:p>
      <w:pPr>
        <w:spacing w:after="0" w:line="225"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the information requested by the Stock Certificate Questionnaire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the Resale Registration Statement Questionnaire.</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Return </w:t>
      </w:r>
      <w:r>
        <w:rPr>
          <w:rFonts w:ascii="Times New Roman" w:cs="Times New Roman" w:eastAsia="Times New Roman" w:hAnsi="Times New Roman"/>
          <w:sz w:val="18"/>
          <w:szCs w:val="18"/>
          <w:b w:val="1"/>
          <w:bCs w:val="1"/>
          <w:color w:val="auto"/>
        </w:rPr>
        <w:t>BOTH</w:t>
      </w:r>
      <w:r>
        <w:rPr>
          <w:rFonts w:ascii="Times New Roman" w:cs="Times New Roman" w:eastAsia="Times New Roman" w:hAnsi="Times New Roman"/>
          <w:sz w:val="18"/>
          <w:szCs w:val="18"/>
          <w:color w:val="auto"/>
        </w:rPr>
        <w:t xml:space="preserve"> properly completed and signed Purchase Agreements including the properly completed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to (initially by email with original by overnight delivery):</w:t>
      </w:r>
    </w:p>
    <w:p>
      <w:pPr>
        <w:spacing w:after="0" w:line="15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Piper Jaffray &amp; Co.</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regarding the transfer of funds for the purchase of Shares will be sent by email to the Purchaser by the Placement Agents at a later date.</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resale of the [Shares] / [Warrant Shares] by the Purchasers after the Registration Statement covering the [Shares] / [Warrant Shares] is effective, as described in the Securities Purchase Agreement, the Purchaser must deliver a current prospectus of the Company to the buyer (prospectuses must be obtained from the Company at the Purchaser’s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color w:val="auto"/>
        </w:rPr>
        <w:t>TAPIMMUNE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STOCK CERTIFICATE QUESTIONNAIRE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of the Securities Purchase Agreement, please provide us with the following information:</w:t>
      </w:r>
    </w:p>
    <w:p>
      <w:pPr>
        <w:spacing w:after="0" w:line="225" w:lineRule="exact"/>
        <w:rPr>
          <w:sz w:val="20"/>
          <w:szCs w:val="20"/>
          <w:color w:val="auto"/>
        </w:rPr>
      </w:pPr>
    </w:p>
    <w:p>
      <w:pPr>
        <w:ind w:left="660" w:hanging="328"/>
        <w:spacing w:after="0" w:line="282" w:lineRule="auto"/>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exact name that your [Shares] / [Warrant Shares] are to be registered in (this is the name that will appear on your stock certificate(s)). You may use a nominee name if appropriate: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relationship between the Purchaser of the [Shares] / [Warrant Shares] and the Registered Holder listed in response to item 1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mailing address of the Registered Holder listed in response to item 1 above: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 Identification Number of the Registered Holder listed in response to item 1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color w:val="auto"/>
        </w:rPr>
        <w:t>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RESALE REGISTRATION STATEMENT QUESTIONNAIRE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preparation of the Registration Statement, please provide us with the following information:</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SECTION 1. Pursuant to the “Selling Stockholder” section of the Registration Statement, please state [your] / [your organization’s] name exactly as it should appear in the Registration Statement: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8"/>
          <w:szCs w:val="18"/>
          <w:color w:val="auto"/>
        </w:rPr>
        <w:t>Please provide the number of shares that [you] / [your organization] will own immediately after Closing, including those [Shares]</w:t>
      </w:r>
    </w:p>
    <w:p>
      <w:pPr>
        <w:spacing w:after="0" w:line="27" w:lineRule="exact"/>
        <w:rPr>
          <w:sz w:val="20"/>
          <w:szCs w:val="20"/>
          <w:color w:val="auto"/>
        </w:rPr>
      </w:pPr>
    </w:p>
    <w:p>
      <w:pPr>
        <w:ind w:firstLine="8"/>
        <w:spacing w:after="0" w:line="261" w:lineRule="auto"/>
        <w:tabs>
          <w:tab w:leader="none" w:pos="101"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 Shares] purchased by your organization pursuant to this Securities Purchase Agreement and those shares purchased by [you] / [your organization] through other transactions and provide the number of shares that [you] / [your organization] has the right to acquire within 60 days of Closing:</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3. [Have you] / [Has your organization] had any position, office or other material relationship within the past three years with the Company or its affiliates?</w:t>
      </w:r>
    </w:p>
    <w:p>
      <w:pPr>
        <w:spacing w:after="0" w:line="133" w:lineRule="exact"/>
        <w:rPr>
          <w:sz w:val="20"/>
          <w:szCs w:val="20"/>
          <w:color w:val="auto"/>
        </w:rPr>
      </w:pPr>
    </w:p>
    <w:p>
      <w:pPr>
        <w:spacing w:after="0" w:line="207" w:lineRule="exact"/>
        <w:tabs>
          <w:tab w:leader="none" w:pos="7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Times New Roman" w:cs="Times New Roman" w:eastAsia="Times New Roman" w:hAnsi="Times New Roman"/>
          <w:sz w:val="16"/>
          <w:szCs w:val="16"/>
          <w:color w:val="auto"/>
        </w:rPr>
        <w:t>No</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“yes,” please indicate the nature of any such relationships below:</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4. (a) Are you (i) a FINRA Member (see definition), (ii) a Controlling (see definition) shareholder of a FINRA Member, (iii) a Person Associated with a Member of the FINRA (see definition), or (iv) an Underwriter or a Related Person (see definition below) with respect to the proposed offering; (b) do you own any shares or other securities of any FINRA Member not purchased in the open market; or (c) have you made any outstanding subordinated loans to any FINRA Member?</w:t>
      </w:r>
    </w:p>
    <w:p>
      <w:pPr>
        <w:spacing w:after="0" w:line="151" w:lineRule="exact"/>
        <w:rPr>
          <w:sz w:val="20"/>
          <w:szCs w:val="20"/>
          <w:color w:val="auto"/>
        </w:rPr>
      </w:pPr>
    </w:p>
    <w:p>
      <w:pPr>
        <w:ind w:left="660"/>
        <w:spacing w:after="0" w:line="207" w:lineRule="exact"/>
        <w:tabs>
          <w:tab w:leader="none" w:pos="1940" w:val="left"/>
        </w:tabs>
        <w:rPr>
          <w:sz w:val="20"/>
          <w:szCs w:val="20"/>
          <w:color w:val="auto"/>
        </w:rPr>
      </w:pPr>
      <w:r>
        <w:rPr>
          <w:rFonts w:ascii="Times New Roman" w:cs="Times New Roman" w:eastAsia="Times New Roman" w:hAnsi="Times New Roman"/>
          <w:sz w:val="18"/>
          <w:szCs w:val="18"/>
          <w:color w:val="auto"/>
        </w:rPr>
        <w:t xml:space="preserve">Answer: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 If “yes,” please describe below</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FINRA Member</w:t>
      </w:r>
      <w:r>
        <w:rPr>
          <w:rFonts w:ascii="Times New Roman" w:cs="Times New Roman" w:eastAsia="Times New Roman" w:hAnsi="Times New Roman"/>
          <w:sz w:val="18"/>
          <w:szCs w:val="18"/>
          <w:color w:val="auto"/>
        </w:rPr>
        <w:t>. The term “FINRA Member” means either any broker or dealer admitted to membership in the Financial Industry Regulatory Authority (formerly, the National Association of Securities Dealers, Inc., “FINRA”). (FINRA Manual, By-laws of FINRA Regulation, Inc. Article I, Definitions)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The term “control” (including the terms “controlling,” “controlled by” and “under common control with”) means the possession, direct or indirect, of the power, either individually or with others, to direct or cause the direction of the management and policies of a person, whether through the ownership of voting securities, by contract, or otherwise. (Rule 405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p>
      <w:pPr>
        <w:jc w:val="both"/>
        <w:ind w:firstLine="648"/>
        <w:spacing w:after="0" w:line="258" w:lineRule="auto"/>
        <w:rPr>
          <w:sz w:val="20"/>
          <w:szCs w:val="20"/>
          <w:color w:val="auto"/>
        </w:rPr>
      </w:pPr>
      <w:r>
        <w:rPr>
          <w:rFonts w:ascii="Times New Roman" w:cs="Times New Roman" w:eastAsia="Times New Roman" w:hAnsi="Times New Roman"/>
          <w:sz w:val="18"/>
          <w:szCs w:val="18"/>
          <w:u w:val="single" w:color="auto"/>
          <w:color w:val="auto"/>
        </w:rPr>
        <w:t>Person Associated with a member of the FINRA</w:t>
      </w:r>
      <w:r>
        <w:rPr>
          <w:rFonts w:ascii="Times New Roman" w:cs="Times New Roman" w:eastAsia="Times New Roman" w:hAnsi="Times New Roman"/>
          <w:sz w:val="18"/>
          <w:szCs w:val="18"/>
          <w:color w:val="auto"/>
        </w:rPr>
        <w:t>. The term “person associated with a member of the FINRA” means every sole proprietor, partner, officer, director, branch manager or executive representative of any FINRA Member, or any natural person occupying a similar status or performing similar functions, or any natural person engaged in the investment banking or securities business who is directly or indirectly controlling or controlled by a FINRA Member, whether or not such person is registered or exempt from registration with the FINRA pursuant to its bylaws. (FINRA Manual, By-laws of FINRA Regulation, Inc. Article I, Definitions)</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u w:val="single" w:color="auto"/>
          <w:color w:val="auto"/>
        </w:rPr>
        <w:t>Underwriter or a Related Person</w:t>
      </w:r>
      <w:r>
        <w:rPr>
          <w:rFonts w:ascii="Times New Roman" w:cs="Times New Roman" w:eastAsia="Times New Roman" w:hAnsi="Times New Roman"/>
          <w:sz w:val="18"/>
          <w:szCs w:val="18"/>
          <w:color w:val="auto"/>
        </w:rPr>
        <w:t>. The term “underwriter or a related person” means, with respect to a proposed offering, underwriters, underwriters’ counsel, financial consultants and advisors, finders, members of the selling or distribution group, and any and all other persons associated with or related to any of such persons. (FINRA 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154940</wp:posOffset>
            </wp:positionV>
            <wp:extent cx="2400935" cy="9690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40093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TapImmune Announces Pricing of $70 Million Private Placement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Financing Led by New Enterprise Associates (NEA)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Financing to Close Concurrently with Close of Merger with Marker Therapeutics</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JACKSONVILLE, Florida, June 8, 2018 – </w:t>
      </w:r>
      <w:r>
        <w:rPr>
          <w:rFonts w:ascii="Times New Roman" w:cs="Times New Roman" w:eastAsia="Times New Roman" w:hAnsi="Times New Roman"/>
          <w:sz w:val="18"/>
          <w:szCs w:val="18"/>
          <w:u w:val="single" w:color="auto"/>
          <w:color w:val="auto"/>
        </w:rPr>
        <w:t>TapImmune Inc</w:t>
      </w:r>
      <w:r>
        <w:rPr>
          <w:rFonts w:ascii="Times New Roman" w:cs="Times New Roman" w:eastAsia="Times New Roman" w:hAnsi="Times New Roman"/>
          <w:sz w:val="18"/>
          <w:szCs w:val="18"/>
          <w:color w:val="auto"/>
        </w:rPr>
        <w:t>. (NASDAQ: TPIV), a clinical-stage immuno-oncology company, today announced that it has entered into security purchase agreements with certain institutional and accredited investors in connection with a private placement of its equity securities. The private placement will be led by New Enterprise Associates (NEA) with participation from Aisling Capital and Perceptive Advisors, among other new and existing investors. The private placement is expected to be completed concurrently with the closing of the proposed merger between TapImmune Inc. and Marker Therapeutics, Inc., which was previously announced on May 15, 2018.</w:t>
      </w:r>
    </w:p>
    <w:p>
      <w:pPr>
        <w:spacing w:after="0" w:line="184"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Upon closing the private placement, TapImmune will issue 17,500,000 shares of its common stock at a price of $4.00 per share. The aggregate offering size, before deducting the placement agent fees and other offering expenses, is expected to be $70 million. Additionally, TapImmune will issue warrants to purchase 13,125,000 shares of TapImmune common stock at an exercise price of $5.00 per share that will be exercisable for a period of five years from the date of issuance. The closing of the transaction, which is subject to the closing of the merger with Marker, the approval by TapImmune’s stockholders as required by NASDAQ Stock Market Rules, and other customary closing conditions, is anticipated to occur by the end of the third quarter of 2018.</w:t>
      </w:r>
    </w:p>
    <w:p>
      <w:pPr>
        <w:spacing w:after="0" w:line="184"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financing proceeds will be used to advance the combined company’s novel T cell therapy into multiple Phase 2 clinical studies, build-out the combined company’s operational and clinical facilities, and continue all ongoing and planned clinical studies for its novel T cell vaccine candidates. The financing is expected to fund the combined company into the second half of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Piper Jaffray &amp; Co. served as sole lead placement agent for the private placement and Nomura Securities International, Inc. served as co-placement agent.</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is issued pursuant to Rule 135(c) under the Securities Act of 1933, as amended, and does not constitute an offer to sell or the solicitation of an offer to buy these securities, nor shall there be any sale of these securities in any jurisdiction in which such offer, solicitation or sale would be unlawful prior to the registration or qualification under the securities laws of any such jurisdiction.</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securities to be sold in the private placement have not been registered under the Securities Act of 1933, as amended, or state securities laws and may not be offered or sold in the United States absent registration with the Securities and Exchange Commission or an applicable exemption from such registration requirements. TapImmune has agreed to file a registration statement with the Securities and Exchange Commission covering the resale of the shares of common stock, including the shares of common stock issuable upon exercise of the warrants, sold in the private placement. TapImmune has agreed to file the registration statement within 15 days of the closing of the transaction. If any shares are unable to be included on the initial registration statement, TapImmune has agreed to file subsequent registration statements until all the shares have been registered, and the securities purchase agreement imposes certain customary cash penalties on TapImmune for its failure to satisfy specified filing and effectiveness time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About TapImmune Inc.</w:t>
      </w:r>
    </w:p>
    <w:p>
      <w:pPr>
        <w:spacing w:after="0" w:line="31"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TapImmune Inc. is a leader in the development of novel immunotherapies for cancer, with multiple Phase 2 and Phase 1b/2 clinical studies currently ongoing for the treatment of ovarian and breast cancer. The Company's peptide or nucleic acid-based immunotherapeutic products comprise multiple naturally processed epitopes (NPEs) that are designed to comprehensively stimulate a patient's killer T cells and helper T cells, and to restore or further augment antigen presentation using proprietary nucleic acid-based expression systems. This unique approach can produce off-the-shelf T cell vaccine candidates that elicit a broad-based T cell response and can be used without respect to HLA type. The Company's technologies may be used as stand-alone medications or in combination with other treatment modalities. TapImmune has announced a proposed merger with Marker Therapeutics, Inc., a privately-held clinical-stage developer of a transformative, non-genetically engineered, multi-antigen T cell therapy platform, which will add a significant portfolio of clinical-stage cell therapies to create a leading immuno-oncology pipeline.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information, please visit: </w:t>
      </w:r>
      <w:r>
        <w:rPr>
          <w:rFonts w:ascii="Times New Roman" w:cs="Times New Roman" w:eastAsia="Times New Roman" w:hAnsi="Times New Roman"/>
          <w:sz w:val="18"/>
          <w:szCs w:val="18"/>
          <w:u w:val="single" w:color="auto"/>
          <w:color w:val="auto"/>
        </w:rPr>
        <w:t>https://tapimmune.com/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https://tapimmune.com/investors/email-alerts/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Follow us on Twitter </w:t>
      </w:r>
      <w:r>
        <w:rPr>
          <w:rFonts w:ascii="Times New Roman" w:cs="Times New Roman" w:eastAsia="Times New Roman" w:hAnsi="Times New Roman"/>
          <w:sz w:val="18"/>
          <w:szCs w:val="18"/>
          <w:u w:val="single" w:color="auto"/>
          <w:color w:val="auto"/>
        </w:rPr>
        <w:t>@Tapimmune_Inc</w:t>
      </w:r>
      <w:r>
        <w:rPr>
          <w:rFonts w:ascii="Times New Roman" w:cs="Times New Roman" w:eastAsia="Times New Roman" w:hAnsi="Times New Roman"/>
          <w:sz w:val="18"/>
          <w:szCs w:val="18"/>
          <w:color w:val="auto"/>
        </w:rPr>
        <w:t xml:space="preserve">, or follow us on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answers to frequently asked questions, please visit our FAQs page: </w:t>
      </w:r>
      <w:r>
        <w:rPr>
          <w:rFonts w:ascii="Times New Roman" w:cs="Times New Roman" w:eastAsia="Times New Roman" w:hAnsi="Times New Roman"/>
          <w:sz w:val="18"/>
          <w:szCs w:val="18"/>
          <w:u w:val="single" w:color="auto"/>
          <w:color w:val="auto"/>
        </w:rPr>
        <w:t>https://tapimmune.com/investors/frequently-asked-questions/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Disclaimer</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This release contains forward-looking information within the meaning of the Private Securities Litigation Reform Act of 1995. Statements in this news release concerning the proposed merger and the company’s expectations, plans, business outlook or future performance, and any other statements concerning assumptions made or expectations as to any future events, conditions, performance or other matters, are “forward-looking statements”. Forward-looking statements are by their nature subject to risks, uncertainties and other factors which could cause actual results to differ materially from those stored in such statements. Factors that could cause such differences include, but are not limited to, (i) the risk that the proposed merger and subsequent financing may not be completed which may adversely affect the Company’s business and the price of its common stock, (ii) the failure to satisfy all of the closing conditions of the proposed merger and subsequent financing, including the adoption of the merger agreement by the Company’s stockholders, (iii) the occurrence of any event, change or other circumstance that could give rise to the termination of the merger agreement, (iv) the effect of the announcement or pendency of the proposed merger and subsequent financing on the Company’s business and the price of its common stock, (iv) risks related to the diverting of management’s attention from the Company’s ongoing business operations, and (v) the outcome of any legal proceedings that may be instituted against the Company related to the merger agreement or the proposed merger. Such risks, uncertainties and factors include, but are not limited to the risks set forth in the Company’s most recent Form 10-K, 10-Q and other SEC filings which are available through EDGAR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i w:val="1"/>
          <w:iCs w:val="1"/>
          <w:color w:val="auto"/>
        </w:rPr>
        <w:t xml:space="preserve"> The Company assumes no obligation to update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17" w:right="2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Tiberend Strategic Advisors, Inc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Joshua Drumm, Ph.D. (Investors)</w:t>
      </w:r>
    </w:p>
    <w:p>
      <w:pPr>
        <w:spacing w:after="0" w:line="21" w:lineRule="exact"/>
        <w:rPr>
          <w:sz w:val="20"/>
          <w:szCs w:val="20"/>
          <w:color w:val="auto"/>
        </w:rPr>
      </w:pPr>
    </w:p>
    <w:p>
      <w:pPr>
        <w:ind w:right="8539" w:firstLine="8"/>
        <w:spacing w:after="0" w:line="290" w:lineRule="auto"/>
        <w:tabs>
          <w:tab w:leader="none" w:pos="435"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375-2664 </w:t>
      </w:r>
      <w:r>
        <w:rPr>
          <w:rFonts w:ascii="Times New Roman" w:cs="Times New Roman" w:eastAsia="Times New Roman" w:hAnsi="Times New Roman"/>
          <w:sz w:val="17"/>
          <w:szCs w:val="17"/>
          <w:u w:val="single" w:color="auto"/>
          <w:color w:val="auto"/>
        </w:rPr>
        <w:t>jdrumm@tiberend.com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Schemelia (Media)</w:t>
      </w:r>
    </w:p>
    <w:p>
      <w:pPr>
        <w:spacing w:after="0" w:line="27" w:lineRule="exact"/>
        <w:rPr>
          <w:sz w:val="20"/>
          <w:szCs w:val="20"/>
          <w:color w:val="auto"/>
        </w:rPr>
      </w:pPr>
    </w:p>
    <w:p>
      <w:pPr>
        <w:ind w:right="8299" w:firstLine="8"/>
        <w:spacing w:after="0" w:line="290" w:lineRule="auto"/>
        <w:tabs>
          <w:tab w:leader="none" w:pos="435"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375-2686 </w:t>
      </w:r>
      <w:r>
        <w:rPr>
          <w:rFonts w:ascii="Times New Roman" w:cs="Times New Roman" w:eastAsia="Times New Roman" w:hAnsi="Times New Roman"/>
          <w:sz w:val="17"/>
          <w:szCs w:val="17"/>
          <w:u w:val="single" w:color="auto"/>
          <w:color w:val="auto"/>
        </w:rPr>
        <w:t>dschemelia@tiberend.com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TapImmune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Aaron Santos</w:t>
      </w:r>
    </w:p>
    <w:p>
      <w:pPr>
        <w:spacing w:after="0" w:line="9" w:lineRule="exact"/>
        <w:rPr>
          <w:sz w:val="20"/>
          <w:szCs w:val="20"/>
          <w:color w:val="auto"/>
        </w:rPr>
      </w:pPr>
    </w:p>
    <w:p>
      <w:pPr>
        <w:ind w:right="8359" w:firstLine="8"/>
        <w:spacing w:after="0" w:line="290" w:lineRule="auto"/>
        <w:tabs>
          <w:tab w:leader="none" w:pos="43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862-6490 </w:t>
      </w:r>
      <w:r>
        <w:rPr>
          <w:rFonts w:ascii="Times New Roman" w:cs="Times New Roman" w:eastAsia="Times New Roman" w:hAnsi="Times New Roman"/>
          <w:sz w:val="17"/>
          <w:szCs w:val="17"/>
          <w:u w:val="single" w:color="auto"/>
          <w:color w:val="auto"/>
        </w:rPr>
        <w:t>asantos@tapimmune.com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1."/>
      <w:numFmt w:val="decimal"/>
      <w:start w:val="1"/>
    </w:lvl>
    <w:lvl w:ilvl="1">
      <w:lvlJc w:val="left"/>
      <w:lvlText w:val="(%2)"/>
      <w:numFmt w:val="lowerLetter"/>
      <w:start w:val="1"/>
    </w:lvl>
  </w:abstractNum>
  <w:abstractNum w:abstractNumId="2">
    <w:nsid w:val="3855585C"/>
    <w:multiLevelType w:val="hybridMultilevel"/>
    <w:lvl w:ilvl="0">
      <w:lvlJc w:val="left"/>
      <w:lvlText w:val="(%1)"/>
      <w:numFmt w:val="lowerLetter"/>
      <w:start w:val="3"/>
    </w:lvl>
  </w:abstractNum>
  <w:abstractNum w:abstractNumId="3">
    <w:nsid w:val="70A64E2A"/>
    <w:multiLevelType w:val="hybridMultilevel"/>
    <w:lvl w:ilvl="0">
      <w:lvlJc w:val="left"/>
      <w:lvlText w:val="(%1)"/>
      <w:numFmt w:val="lowerLetter"/>
      <w:start w:val="4"/>
    </w:lvl>
  </w:abstractNum>
  <w:abstractNum w:abstractNumId="4">
    <w:nsid w:val="6A2342E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5">
    <w:nsid w:val="2A487CB0"/>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6">
    <w:nsid w:val="1D4ED43B"/>
    <w:multiLevelType w:val="hybridMultilevel"/>
    <w:lvl w:ilvl="0">
      <w:lvlJc w:val="left"/>
      <w:lvlText w:val="%1"/>
      <w:numFmt w:val="lowerLetter"/>
      <w:start w:val="1"/>
    </w:lvl>
    <w:lvl w:ilvl="1">
      <w:lvlJc w:val="left"/>
      <w:lvlText w:val="(%2)"/>
      <w:numFmt w:val="decimal"/>
      <w:start w:val="2"/>
    </w:lvl>
  </w:abstractNum>
  <w:abstractNum w:abstractNumId="7">
    <w:nsid w:val="725A06FB"/>
    <w:multiLevelType w:val="hybridMultilevel"/>
    <w:lvl w:ilvl="0">
      <w:lvlJc w:val="left"/>
      <w:lvlText w:val="(%1)"/>
      <w:numFmt w:val="lowerLetter"/>
      <w:start w:val="2"/>
    </w:lvl>
    <w:lvl w:ilvl="1">
      <w:lvlJc w:val="left"/>
      <w:lvlText w:val="%2"/>
      <w:numFmt w:val="decimal"/>
      <w:start w:val="1"/>
    </w:lvl>
  </w:abstractNum>
  <w:abstractNum w:abstractNumId="8">
    <w:nsid w:val="2CD89A32"/>
    <w:multiLevelType w:val="hybridMultilevel"/>
    <w:lvl w:ilvl="0">
      <w:lvlJc w:val="left"/>
      <w:lvlText w:val="%1"/>
      <w:numFmt w:val="lowerRoman"/>
      <w:start w:val="1"/>
    </w:lvl>
    <w:lvl w:ilvl="1">
      <w:lvlJc w:val="left"/>
      <w:lvlText w:val="(%2)"/>
      <w:numFmt w:val="lowerLetter"/>
      <w:start w:val="4"/>
    </w:lvl>
    <w:lvl w:ilvl="2">
      <w:lvlJc w:val="left"/>
      <w:lvlText w:val="(%3)"/>
      <w:numFmt w:val="decimal"/>
      <w:start w:val="1"/>
    </w:lvl>
  </w:abstractNum>
  <w:abstractNum w:abstractNumId="9">
    <w:nsid w:val="57E4CCAF"/>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3"/>
    </w:lvl>
  </w:abstractNum>
  <w:abstractNum w:abstractNumId="10">
    <w:nsid w:val="7A6D8D3C"/>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1"/>
    </w:lvl>
  </w:abstractNum>
  <w:abstractNum w:abstractNumId="11">
    <w:nsid w:val="4B588F54"/>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12">
    <w:nsid w:val="542289E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
    <w:nsid w:val="6DE91B18"/>
    <w:multiLevelType w:val="hybridMultilevel"/>
    <w:lvl w:ilvl="0">
      <w:lvlJc w:val="left"/>
      <w:lvlText w:val="%1"/>
      <w:numFmt w:val="decimal"/>
      <w:start w:val="1"/>
    </w:lvl>
    <w:lvl w:ilvl="1">
      <w:lvlJc w:val="left"/>
      <w:lvlText w:val="(%2)"/>
      <w:numFmt w:val="lowerLetter"/>
      <w:start w:val="2"/>
    </w:lvl>
  </w:abstractNum>
  <w:abstractNum w:abstractNumId="14">
    <w:nsid w:val="38437FDB"/>
    <w:multiLevelType w:val="hybridMultilevel"/>
    <w:lvl w:ilvl="0">
      <w:lvlJc w:val="left"/>
      <w:lvlText w:val="%1."/>
      <w:numFmt w:val="decimal"/>
      <w:start w:val="6"/>
    </w:lvl>
    <w:lvl w:ilvl="1">
      <w:lvlJc w:val="left"/>
      <w:lvlText w:val="(%2)"/>
      <w:numFmt w:val="lowerLetter"/>
      <w:start w:val="1"/>
    </w:lvl>
  </w:abstractNum>
  <w:abstractNum w:abstractNumId="15">
    <w:nsid w:val="7644A45C"/>
    <w:multiLevelType w:val="hybridMultilevel"/>
    <w:lvl w:ilvl="0">
      <w:lvlJc w:val="left"/>
      <w:lvlText w:val="%1."/>
      <w:numFmt w:val="decimal"/>
      <w:start w:val="8"/>
    </w:lvl>
  </w:abstractNum>
  <w:abstractNum w:abstractNumId="16">
    <w:nsid w:val="32FFF902"/>
    <w:multiLevelType w:val="hybridMultilevel"/>
    <w:lvl w:ilvl="0">
      <w:lvlJc w:val="left"/>
      <w:lvlText w:val="%1."/>
      <w:numFmt w:val="decimal"/>
      <w:start w:val="11"/>
    </w:lvl>
    <w:lvl w:ilvl="1">
      <w:lvlJc w:val="left"/>
      <w:lvlText w:val="(%2)"/>
      <w:numFmt w:val="lowerLetter"/>
      <w:start w:val="1"/>
    </w:lvl>
  </w:abstractNum>
  <w:abstractNum w:abstractNumId="17">
    <w:nsid w:val="684A481A"/>
    <w:multiLevelType w:val="hybridMultilevel"/>
    <w:lvl w:ilvl="0">
      <w:lvlJc w:val="left"/>
      <w:lvlText w:val="%1."/>
      <w:numFmt w:val="decimal"/>
      <w:start w:val="13"/>
    </w:lvl>
    <w:lvl w:ilvl="1">
      <w:lvlJc w:val="left"/>
      <w:lvlText w:val="(%2)"/>
      <w:numFmt w:val="lowerLetter"/>
      <w:start w:val="1"/>
    </w:lvl>
  </w:abstractNum>
  <w:abstractNum w:abstractNumId="18">
    <w:nsid w:val="579478FE"/>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9">
    <w:nsid w:val="749ABB43"/>
    <w:multiLevelType w:val="hybridMultilevel"/>
    <w:lvl w:ilvl="0">
      <w:lvlJc w:val="left"/>
      <w:lvlText w:val="(%1)"/>
      <w:numFmt w:val="decimal"/>
      <w:start w:val="2"/>
    </w:lvl>
  </w:abstractNum>
  <w:abstractNum w:abstractNumId="20">
    <w:nsid w:val="3DC240FB"/>
    <w:multiLevelType w:val="hybridMultilevel"/>
    <w:lvl w:ilvl="0">
      <w:lvlJc w:val="left"/>
      <w:lvlText w:val="(%1)"/>
      <w:numFmt w:val="lowerLetter"/>
      <w:start w:val="3"/>
    </w:lvl>
  </w:abstractNum>
  <w:abstractNum w:abstractNumId="21">
    <w:nsid w:val="1BA026FA"/>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2">
    <w:nsid w:val="79A1DEAA"/>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3">
    <w:nsid w:val="75C6C33A"/>
    <w:multiLevelType w:val="hybridMultilevel"/>
    <w:lvl w:ilvl="0">
      <w:lvlJc w:val="left"/>
      <w:lvlText w:val="%1"/>
      <w:numFmt w:val="lowerRoman"/>
      <w:start w:val="1"/>
    </w:lvl>
    <w:lvl w:ilvl="1">
      <w:lvlJc w:val="left"/>
      <w:lvlText w:val="(%2)"/>
      <w:numFmt w:val="lowerLetter"/>
      <w:start w:val="2"/>
    </w:lvl>
    <w:lvl w:ilvl="2">
      <w:lvlJc w:val="left"/>
      <w:lvlText w:val="(%3)"/>
      <w:numFmt w:val="decimal"/>
      <w:start w:val="1"/>
    </w:lvl>
  </w:abstractNum>
  <w:abstractNum w:abstractNumId="24">
    <w:nsid w:val="12E685FB"/>
    <w:multiLevelType w:val="hybridMultilevel"/>
    <w:lvl w:ilvl="0">
      <w:lvlJc w:val="left"/>
      <w:lvlText w:val="(%1)"/>
      <w:numFmt w:val="lowerRoman"/>
      <w:start w:val="4"/>
    </w:lvl>
    <w:lvl w:ilvl="1">
      <w:lvlJc w:val="left"/>
      <w:lvlText w:val="%2"/>
      <w:numFmt w:val="lowerLetter"/>
      <w:start w:val="1"/>
    </w:lvl>
    <w:lvl w:ilvl="2">
      <w:lvlJc w:val="left"/>
      <w:lvlText w:val="%3"/>
      <w:numFmt w:val="decimal"/>
      <w:start w:val="1"/>
    </w:lvl>
  </w:abstractNum>
  <w:abstractNum w:abstractNumId="25">
    <w:nsid w:val="70C6A529"/>
    <w:multiLevelType w:val="hybridMultilevel"/>
    <w:lvl w:ilvl="0">
      <w:lvlJc w:val="left"/>
      <w:lvlText w:val="%1"/>
      <w:numFmt w:val="lowerRoman"/>
      <w:start w:val="1"/>
    </w:lvl>
    <w:lvl w:ilvl="1">
      <w:lvlJc w:val="left"/>
      <w:lvlText w:val="%2"/>
      <w:numFmt w:val="decimal"/>
      <w:start w:val="1"/>
    </w:lvl>
    <w:lvl w:ilvl="2">
      <w:lvlJc w:val="left"/>
      <w:lvlText w:val="(%3)"/>
      <w:numFmt w:val="decimal"/>
      <w:start w:val="3"/>
    </w:lvl>
  </w:abstractNum>
  <w:abstractNum w:abstractNumId="26">
    <w:nsid w:val="520EEDD1"/>
    <w:multiLevelType w:val="hybridMultilevel"/>
    <w:lvl w:ilvl="0">
      <w:lvlJc w:val="left"/>
      <w:lvlText w:val="(%1)"/>
      <w:numFmt w:val="lowerRoman"/>
      <w:start w:val="2"/>
    </w:lvl>
    <w:lvl w:ilvl="1">
      <w:lvlJc w:val="left"/>
      <w:lvlText w:val="%2."/>
      <w:numFmt w:val="decimal"/>
      <w:start w:val="3"/>
    </w:lvl>
    <w:lvl w:ilvl="2">
      <w:lvlJc w:val="left"/>
      <w:lvlText w:val="%3"/>
      <w:numFmt w:val="decimal"/>
      <w:start w:val="1"/>
    </w:lvl>
  </w:abstractNum>
  <w:abstractNum w:abstractNumId="27">
    <w:nsid w:val="374A3FE6"/>
    <w:multiLevelType w:val="hybridMultilevel"/>
    <w:lvl w:ilvl="0">
      <w:lvlJc w:val="left"/>
      <w:lvlText w:val="%1."/>
      <w:numFmt w:val="decimal"/>
      <w:start w:val="4"/>
    </w:lvl>
    <w:lvl w:ilvl="1">
      <w:lvlJc w:val="left"/>
      <w:lvlText w:val="(%2)"/>
      <w:numFmt w:val="lowerLetter"/>
      <w:start w:val="1"/>
    </w:lvl>
  </w:abstractNum>
  <w:abstractNum w:abstractNumId="28">
    <w:nsid w:val="4F4EF005"/>
    <w:multiLevelType w:val="hybridMultilevel"/>
    <w:lvl w:ilvl="0">
      <w:lvlJc w:val="left"/>
      <w:lvlText w:val="%1"/>
      <w:numFmt w:val="decimal"/>
      <w:start w:val="1"/>
    </w:lvl>
    <w:lvl w:ilvl="1">
      <w:lvlJc w:val="left"/>
      <w:lvlText w:val="(%2)"/>
      <w:numFmt w:val="lowerLetter"/>
      <w:start w:val="2"/>
    </w:lvl>
  </w:abstractNum>
  <w:abstractNum w:abstractNumId="29">
    <w:nsid w:val="23F9C13C"/>
    <w:multiLevelType w:val="hybridMultilevel"/>
    <w:lvl w:ilvl="0">
      <w:lvlJc w:val="left"/>
      <w:lvlText w:val="%1."/>
      <w:numFmt w:val="decimal"/>
      <w:start w:val="6"/>
    </w:lvl>
    <w:lvl w:ilvl="1">
      <w:lvlJc w:val="left"/>
      <w:lvlText w:val="(%2)"/>
      <w:numFmt w:val="lowerLetter"/>
      <w:start w:val="1"/>
    </w:lvl>
  </w:abstractNum>
  <w:abstractNum w:abstractNumId="30">
    <w:nsid w:val="649BB77C"/>
    <w:multiLevelType w:val="hybridMultilevel"/>
    <w:lvl w:ilvl="0">
      <w:lvlJc w:val="left"/>
      <w:lvlText w:val="%1."/>
      <w:numFmt w:val="decimal"/>
      <w:start w:val="8"/>
    </w:lvl>
    <w:lvl w:ilvl="1">
      <w:lvlJc w:val="left"/>
      <w:lvlText w:val="(%2)"/>
      <w:numFmt w:val="lowerLetter"/>
      <w:start w:val="1"/>
    </w:lvl>
  </w:abstractNum>
  <w:abstractNum w:abstractNumId="31">
    <w:nsid w:val="275AC794"/>
    <w:multiLevelType w:val="hybridMultilevel"/>
    <w:lvl w:ilvl="0">
      <w:lvlJc w:val="left"/>
      <w:lvlText w:val="%1"/>
      <w:numFmt w:val="decimal"/>
      <w:start w:val="1"/>
    </w:lvl>
    <w:lvl w:ilvl="1">
      <w:lvlJc w:val="left"/>
      <w:lvlText w:val="(%2)"/>
      <w:numFmt w:val="lowerLetter"/>
      <w:start w:val="2"/>
    </w:lvl>
  </w:abstractNum>
  <w:abstractNum w:abstractNumId="32">
    <w:nsid w:val="39386575"/>
    <w:multiLevelType w:val="hybridMultilevel"/>
    <w:lvl w:ilvl="0">
      <w:lvlJc w:val="left"/>
      <w:lvlText w:val="%1."/>
      <w:numFmt w:val="decimal"/>
      <w:start w:val="12"/>
    </w:lvl>
    <w:lvl w:ilvl="1">
      <w:lvlJc w:val="left"/>
      <w:lvlText w:val="(%2)"/>
      <w:numFmt w:val="lowerLetter"/>
      <w:start w:val="1"/>
    </w:lvl>
  </w:abstractNum>
  <w:abstractNum w:abstractNumId="33">
    <w:nsid w:val="1CF10FD8"/>
    <w:multiLevelType w:val="hybridMultilevel"/>
    <w:lvl w:ilvl="0">
      <w:lvlJc w:val="left"/>
      <w:lvlText w:val="(%1)"/>
      <w:numFmt w:val="decimal"/>
      <w:start w:val="3"/>
    </w:lvl>
  </w:abstractNum>
  <w:abstractNum w:abstractNumId="34">
    <w:nsid w:val="180115BE"/>
    <w:multiLevelType w:val="hybridMultilevel"/>
    <w:lvl w:ilvl="0">
      <w:lvlJc w:val="left"/>
      <w:lvlText w:val="(%1)"/>
      <w:numFmt w:val="lowerLetter"/>
      <w:start w:val="1"/>
    </w:lvl>
  </w:abstractNum>
  <w:abstractNum w:abstractNumId="35">
    <w:nsid w:val="235BA861"/>
    <w:multiLevelType w:val="hybridMultilevel"/>
    <w:lvl w:ilvl="0">
      <w:lvlJc w:val="left"/>
      <w:lvlText w:val="(%1)"/>
      <w:numFmt w:val="lowerLetter"/>
      <w:start w:val="1"/>
    </w:lvl>
  </w:abstractNum>
  <w:abstractNum w:abstractNumId="36">
    <w:nsid w:val="47398C89"/>
    <w:multiLevelType w:val="hybridMultilevel"/>
    <w:lvl w:ilvl="0">
      <w:lvlJc w:val="left"/>
      <w:lvlText w:val="%1"/>
      <w:numFmt w:val="lowerLetter"/>
      <w:start w:val="1"/>
    </w:lvl>
    <w:lvl w:ilvl="1">
      <w:lvlJc w:val="left"/>
      <w:lvlText w:val="(%2)"/>
      <w:numFmt w:val="lowerRoman"/>
      <w:start w:val="1"/>
    </w:lvl>
  </w:abstractNum>
  <w:abstractNum w:abstractNumId="37">
    <w:nsid w:val="354FE9F9"/>
    <w:multiLevelType w:val="hybridMultilevel"/>
    <w:lvl w:ilvl="0">
      <w:lvlJc w:val="left"/>
      <w:lvlText w:val="(%1)"/>
      <w:numFmt w:val="lowerLetter"/>
      <w:start w:val="2"/>
    </w:lvl>
    <w:lvl w:ilvl="1">
      <w:lvlJc w:val="left"/>
      <w:lvlText w:val="(%2)"/>
      <w:numFmt w:val="lowerRoman"/>
      <w:start w:val="1"/>
    </w:lvl>
  </w:abstractNum>
  <w:abstractNum w:abstractNumId="38">
    <w:nsid w:val="15B5AF5C"/>
    <w:multiLevelType w:val="hybridMultilevel"/>
    <w:lvl w:ilvl="0">
      <w:lvlJc w:val="left"/>
      <w:lvlText w:val="(%1)"/>
      <w:numFmt w:val="lowerRoman"/>
      <w:start w:val="6"/>
    </w:lvl>
  </w:abstractNum>
  <w:abstractNum w:abstractNumId="39">
    <w:nsid w:val="741226BB"/>
    <w:multiLevelType w:val="hybridMultilevel"/>
    <w:lvl w:ilvl="0">
      <w:lvlJc w:val="left"/>
      <w:lvlText w:val="(%1)"/>
      <w:numFmt w:val="lowerLetter"/>
      <w:start w:val="1"/>
    </w:lvl>
  </w:abstractNum>
  <w:abstractNum w:abstractNumId="40">
    <w:nsid w:val="D34B6A8"/>
    <w:multiLevelType w:val="hybridMultilevel"/>
    <w:lvl w:ilvl="0">
      <w:lvlJc w:val="left"/>
      <w:lvlText w:val="(%1)"/>
      <w:numFmt w:val="lowerLetter"/>
      <w:start w:val="2"/>
    </w:lvl>
  </w:abstractNum>
  <w:abstractNum w:abstractNumId="41">
    <w:nsid w:val="10233C99"/>
    <w:multiLevelType w:val="hybridMultilevel"/>
    <w:lvl w:ilvl="0">
      <w:lvlJc w:val="left"/>
      <w:lvlText w:val="(%1)"/>
      <w:numFmt w:val="lowerLetter"/>
      <w:start w:val="5"/>
    </w:lvl>
  </w:abstractNum>
  <w:abstractNum w:abstractNumId="42">
    <w:nsid w:val="3F6AB60F"/>
    <w:multiLevelType w:val="hybridMultilevel"/>
    <w:lvl w:ilvl="0">
      <w:lvlJc w:val="left"/>
      <w:lvlText w:val="(%1)"/>
      <w:numFmt w:val="lowerLetter"/>
      <w:start w:val="8"/>
    </w:lvl>
  </w:abstractNum>
  <w:abstractNum w:abstractNumId="43">
    <w:nsid w:val="61574095"/>
    <w:multiLevelType w:val="hybridMultilevel"/>
    <w:lvl w:ilvl="0">
      <w:lvlJc w:val="left"/>
      <w:lvlText w:val="%1"/>
      <w:numFmt w:val="lowerLetter"/>
      <w:start w:val="1"/>
    </w:lvl>
    <w:lvl w:ilvl="1">
      <w:lvlJc w:val="left"/>
      <w:lvlText w:val="(%2)"/>
      <w:numFmt w:val="lowerLetter"/>
      <w:start w:val="9"/>
    </w:lvl>
  </w:abstractNum>
  <w:abstractNum w:abstractNumId="44">
    <w:nsid w:val="7E0C57B1"/>
    <w:multiLevelType w:val="hybridMultilevel"/>
    <w:lvl w:ilvl="0">
      <w:lvlJc w:val="left"/>
      <w:lvlText w:val="(%1)"/>
      <w:numFmt w:val="lowerLetter"/>
      <w:start w:val="9"/>
    </w:lvl>
    <w:lvl w:ilvl="1">
      <w:lvlJc w:val="left"/>
      <w:lvlText w:val="(%2)"/>
      <w:numFmt w:val="lowerLetter"/>
      <w:start w:val="10"/>
    </w:lvl>
  </w:abstractNum>
  <w:abstractNum w:abstractNumId="45">
    <w:nsid w:val="77AE35EB"/>
    <w:multiLevelType w:val="hybridMultilevel"/>
    <w:lvl w:ilvl="0">
      <w:lvlJc w:val="left"/>
      <w:lvlText w:val="(%1)"/>
      <w:numFmt w:val="lowerLetter"/>
      <w:start w:val="12"/>
    </w:lvl>
  </w:abstractNum>
  <w:abstractNum w:abstractNumId="46">
    <w:nsid w:val="579BE4F1"/>
    <w:multiLevelType w:val="hybridMultilevel"/>
    <w:lvl w:ilvl="0">
      <w:lvlJc w:val="left"/>
      <w:lvlText w:val="(%1)"/>
      <w:numFmt w:val="lowerLetter"/>
      <w:start w:val="15"/>
    </w:lvl>
  </w:abstractNum>
  <w:abstractNum w:abstractNumId="47">
    <w:nsid w:val="310C50B3"/>
    <w:multiLevelType w:val="hybridMultilevel"/>
    <w:lvl w:ilvl="0">
      <w:lvlJc w:val="left"/>
      <w:lvlText w:val="%1"/>
      <w:numFmt w:val="lowerRoman"/>
      <w:start w:val="1"/>
    </w:lvl>
    <w:lvl w:ilvl="1">
      <w:lvlJc w:val="left"/>
      <w:lvlText w:val="(%2)"/>
      <w:numFmt w:val="lowerLetter"/>
      <w:start w:val="18"/>
    </w:lvl>
  </w:abstractNum>
  <w:abstractNum w:abstractNumId="48">
    <w:nsid w:val="5FF87E05"/>
    <w:multiLevelType w:val="hybridMultilevel"/>
    <w:lvl w:ilvl="0">
      <w:lvlJc w:val="left"/>
      <w:lvlText w:val="(%1)"/>
      <w:numFmt w:val="lowerRoman"/>
      <w:start w:val="4"/>
    </w:lvl>
    <w:lvl w:ilvl="1">
      <w:lvlJc w:val="left"/>
      <w:lvlText w:val="(%2)"/>
      <w:numFmt w:val="lowerLetter"/>
      <w:start w:val="19"/>
    </w:lvl>
  </w:abstractNum>
  <w:abstractNum w:abstractNumId="49">
    <w:nsid w:val="2F305DEF"/>
    <w:multiLevelType w:val="hybridMultilevel"/>
    <w:lvl w:ilvl="0">
      <w:lvlJc w:val="left"/>
      <w:lvlText w:val="(%1)"/>
      <w:numFmt w:val="lowerLetter"/>
      <w:start w:val="22"/>
    </w:lvl>
  </w:abstractNum>
  <w:abstractNum w:abstractNumId="50">
    <w:nsid w:val="25A70BF7"/>
    <w:multiLevelType w:val="hybridMultilevel"/>
    <w:lvl w:ilvl="0">
      <w:lvlJc w:val="left"/>
      <w:lvlText w:val="(%1)"/>
      <w:numFmt w:val="lowerLetter"/>
      <w:start w:val="25"/>
    </w:lvl>
  </w:abstractNum>
  <w:abstractNum w:abstractNumId="51">
    <w:nsid w:val="1DBABF00"/>
    <w:multiLevelType w:val="hybridMultilevel"/>
    <w:lvl w:ilvl="0">
      <w:lvlJc w:val="left"/>
      <w:lvlText w:val="(%1)"/>
      <w:numFmt w:val="lowerLetter"/>
      <w:start w:val="27"/>
    </w:lvl>
  </w:abstractNum>
  <w:abstractNum w:abstractNumId="52">
    <w:nsid w:val="4AD084E9"/>
    <w:multiLevelType w:val="hybridMultilevel"/>
    <w:lvl w:ilvl="0">
      <w:lvlJc w:val="left"/>
      <w:lvlText w:val="(%1)"/>
      <w:numFmt w:val="lowerLetter"/>
      <w:start w:val="28"/>
    </w:lvl>
  </w:abstractNum>
  <w:abstractNum w:abstractNumId="53">
    <w:nsid w:val="1F48EAA1"/>
    <w:multiLevelType w:val="hybridMultilevel"/>
    <w:lvl w:ilvl="0">
      <w:lvlJc w:val="left"/>
      <w:lvlText w:val="(%1)"/>
      <w:numFmt w:val="lowerLetter"/>
      <w:start w:val="31"/>
    </w:lvl>
  </w:abstractNum>
  <w:abstractNum w:abstractNumId="54">
    <w:nsid w:val="1381823A"/>
    <w:multiLevelType w:val="hybridMultilevel"/>
    <w:lvl w:ilvl="0">
      <w:lvlJc w:val="left"/>
      <w:lvlText w:val="(%1)"/>
      <w:numFmt w:val="lowerLetter"/>
      <w:start w:val="35"/>
    </w:lvl>
  </w:abstractNum>
  <w:abstractNum w:abstractNumId="55">
    <w:nsid w:val="5DB70AE5"/>
    <w:multiLevelType w:val="hybridMultilevel"/>
    <w:lvl w:ilvl="0">
      <w:lvlJc w:val="left"/>
      <w:lvlText w:val="(%1)"/>
      <w:numFmt w:val="lowerLetter"/>
      <w:start w:val="37"/>
    </w:lvl>
  </w:abstractNum>
  <w:abstractNum w:abstractNumId="56">
    <w:nsid w:val="100F8FCA"/>
    <w:multiLevelType w:val="hybridMultilevel"/>
    <w:lvl w:ilvl="0">
      <w:lvlJc w:val="left"/>
      <w:lvlText w:val="(%1)"/>
      <w:numFmt w:val="lowerLetter"/>
      <w:start w:val="1"/>
    </w:lvl>
  </w:abstractNum>
  <w:abstractNum w:abstractNumId="57">
    <w:nsid w:val="6590700B"/>
    <w:multiLevelType w:val="hybridMultilevel"/>
    <w:lvl w:ilvl="0">
      <w:lvlJc w:val="left"/>
      <w:lvlText w:val="(%1)"/>
      <w:numFmt w:val="lowerLetter"/>
      <w:start w:val="2"/>
    </w:lvl>
  </w:abstractNum>
  <w:abstractNum w:abstractNumId="58">
    <w:nsid w:val="15014ACB"/>
    <w:multiLevelType w:val="hybridMultilevel"/>
    <w:lvl w:ilvl="0">
      <w:lvlJc w:val="left"/>
      <w:lvlText w:val="(%1)"/>
      <w:numFmt w:val="lowerLetter"/>
      <w:start w:val="5"/>
    </w:lvl>
  </w:abstractNum>
  <w:abstractNum w:abstractNumId="59">
    <w:nsid w:val="5F5E7FD0"/>
    <w:multiLevelType w:val="hybridMultilevel"/>
    <w:lvl w:ilvl="0">
      <w:lvlJc w:val="left"/>
      <w:lvlText w:val="(%1)"/>
      <w:numFmt w:val="lowerLetter"/>
      <w:start w:val="9"/>
    </w:lvl>
  </w:abstractNum>
  <w:abstractNum w:abstractNumId="60">
    <w:nsid w:val="98A3148"/>
    <w:multiLevelType w:val="hybridMultilevel"/>
    <w:lvl w:ilvl="0">
      <w:lvlJc w:val="left"/>
      <w:lvlText w:val="(%1)"/>
      <w:numFmt w:val="lowerLetter"/>
      <w:start w:val="2"/>
    </w:lvl>
  </w:abstractNum>
  <w:abstractNum w:abstractNumId="61">
    <w:nsid w:val="799D0247"/>
    <w:multiLevelType w:val="hybridMultilevel"/>
    <w:lvl w:ilvl="0">
      <w:lvlJc w:val="left"/>
      <w:lvlText w:val="(%1)"/>
      <w:numFmt w:val="lowerLetter"/>
      <w:start w:val="12"/>
    </w:lvl>
  </w:abstractNum>
  <w:abstractNum w:abstractNumId="62">
    <w:nsid w:val="6B94764"/>
    <w:multiLevelType w:val="hybridMultilevel"/>
    <w:lvl w:ilvl="0">
      <w:lvlJc w:val="left"/>
      <w:lvlText w:val="(%1)"/>
      <w:numFmt w:val="lowerLetter"/>
      <w:start w:val="13"/>
    </w:lvl>
  </w:abstractNum>
  <w:abstractNum w:abstractNumId="63">
    <w:nsid w:val="42C296BD"/>
    <w:multiLevelType w:val="hybridMultilevel"/>
    <w:lvl w:ilvl="0">
      <w:lvlJc w:val="left"/>
      <w:lvlText w:val="(%1)"/>
      <w:numFmt w:val="lowerLetter"/>
      <w:start w:val="1"/>
    </w:lvl>
  </w:abstractNum>
  <w:abstractNum w:abstractNumId="64">
    <w:nsid w:val="168E121F"/>
    <w:multiLevelType w:val="hybridMultilevel"/>
    <w:lvl w:ilvl="0">
      <w:lvlJc w:val="left"/>
      <w:lvlText w:val="(%1)"/>
      <w:numFmt w:val="lowerLetter"/>
      <w:start w:val="4"/>
    </w:lvl>
  </w:abstractNum>
  <w:abstractNum w:abstractNumId="65">
    <w:nsid w:val="1EBA5D23"/>
    <w:multiLevelType w:val="hybridMultilevel"/>
    <w:lvl w:ilvl="0">
      <w:lvlJc w:val="left"/>
      <w:lvlText w:val="(%1)"/>
      <w:numFmt w:val="lowerLetter"/>
      <w:start w:val="8"/>
    </w:lvl>
  </w:abstractNum>
  <w:abstractNum w:abstractNumId="66">
    <w:nsid w:val="661E3F1E"/>
    <w:multiLevelType w:val="hybridMultilevel"/>
    <w:lvl w:ilvl="0">
      <w:lvlJc w:val="left"/>
      <w:lvlText w:val="(%1)"/>
      <w:numFmt w:val="lowerRoman"/>
      <w:start w:val="1"/>
    </w:lvl>
  </w:abstractNum>
  <w:abstractNum w:abstractNumId="67">
    <w:nsid w:val="5DC79EA8"/>
    <w:multiLevelType w:val="hybridMultilevel"/>
    <w:lvl w:ilvl="0">
      <w:lvlJc w:val="left"/>
      <w:lvlText w:val="(%1)"/>
      <w:numFmt w:val="lowerLetter"/>
      <w:start w:val="1"/>
    </w:lvl>
  </w:abstractNum>
  <w:abstractNum w:abstractNumId="68">
    <w:nsid w:val="540A471C"/>
    <w:multiLevelType w:val="hybridMultilevel"/>
    <w:lvl w:ilvl="0">
      <w:lvlJc w:val="left"/>
      <w:lvlText w:val="(%1)"/>
      <w:numFmt w:val="lowerLetter"/>
      <w:start w:val="3"/>
    </w:lvl>
  </w:abstractNum>
  <w:abstractNum w:abstractNumId="69">
    <w:nsid w:val="7BD3EE7B"/>
    <w:multiLevelType w:val="hybridMultilevel"/>
    <w:lvl w:ilvl="0">
      <w:lvlJc w:val="left"/>
      <w:lvlText w:val="%1"/>
      <w:numFmt w:val="lowerLetter"/>
      <w:start w:val="1"/>
    </w:lvl>
    <w:lvl w:ilvl="1">
      <w:lvlJc w:val="left"/>
      <w:lvlText w:val="(%2)"/>
      <w:numFmt w:val="lowerLetter"/>
      <w:start w:val="4"/>
    </w:lvl>
  </w:abstractNum>
  <w:abstractNum w:abstractNumId="70">
    <w:nsid w:val="51D9C564"/>
    <w:multiLevelType w:val="hybridMultilevel"/>
    <w:lvl w:ilvl="0">
      <w:lvlJc w:val="left"/>
      <w:lvlText w:val="(%1)"/>
      <w:numFmt w:val="lowerLetter"/>
      <w:start w:val="25"/>
    </w:lvl>
    <w:lvl w:ilvl="1">
      <w:lvlJc w:val="left"/>
      <w:lvlText w:val="%2"/>
      <w:numFmt w:val="lowerLetter"/>
      <w:start w:val="1"/>
    </w:lvl>
  </w:abstractNum>
  <w:abstractNum w:abstractNumId="71">
    <w:nsid w:val="613EFDC5"/>
    <w:multiLevelType w:val="hybridMultilevel"/>
    <w:lvl w:ilvl="0">
      <w:lvlJc w:val="left"/>
      <w:lvlText w:val="(%1)"/>
      <w:numFmt w:val="lowerLetter"/>
      <w:start w:val="5"/>
    </w:lvl>
  </w:abstractNum>
  <w:abstractNum w:abstractNumId="72">
    <w:nsid w:val="BF72B14"/>
    <w:multiLevelType w:val="hybridMultilevel"/>
    <w:lvl w:ilvl="0">
      <w:lvlJc w:val="left"/>
      <w:lvlText w:val="(%1)"/>
      <w:numFmt w:val="lowerLetter"/>
      <w:start w:val="6"/>
    </w:lvl>
  </w:abstractNum>
  <w:abstractNum w:abstractNumId="73">
    <w:nsid w:val="11447B73"/>
    <w:multiLevelType w:val="hybridMultilevel"/>
    <w:lvl w:ilvl="0">
      <w:lvlJc w:val="left"/>
      <w:lvlText w:val="A"/>
      <w:numFmt w:val="bullet"/>
      <w:start w:val="1"/>
    </w:lvl>
    <w:lvl w:ilvl="1">
      <w:lvlJc w:val="left"/>
      <w:lvlText w:val="%2."/>
      <w:numFmt w:val="decimal"/>
      <w:start w:val="1"/>
    </w:lvl>
    <w:lvl w:ilvl="2">
      <w:lvlJc w:val="left"/>
      <w:lvlText w:val="(%3)"/>
      <w:numFmt w:val="lowerRoman"/>
      <w:start w:val="1"/>
    </w:lvl>
  </w:abstractNum>
  <w:abstractNum w:abstractNumId="74">
    <w:nsid w:val="42963E5A"/>
    <w:multiLevelType w:val="hybridMultilevel"/>
    <w:lvl w:ilvl="0">
      <w:lvlJc w:val="left"/>
      <w:lvlText w:val="%1."/>
      <w:numFmt w:val="upperLetter"/>
      <w:start w:val="2"/>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
      <w:numFmt w:val="bullet"/>
      <w:start w:val="1"/>
    </w:lvl>
  </w:abstractNum>
  <w:abstractNum w:abstractNumId="77">
    <w:nsid w:val="1A32234B"/>
    <w:multiLevelType w:val="hybridMultilevel"/>
    <w:lvl w:ilvl="0">
      <w:lvlJc w:val="left"/>
      <w:lvlText w:val="(%1)"/>
      <w:numFmt w:val="decimal"/>
      <w:start w:val="212"/>
    </w:lvl>
  </w:abstractNum>
  <w:abstractNum w:abstractNumId="78">
    <w:nsid w:val="3B0FD379"/>
    <w:multiLevelType w:val="hybridMultilevel"/>
    <w:lvl w:ilvl="0">
      <w:lvlJc w:val="left"/>
      <w:lvlText w:val="(%1)"/>
      <w:numFmt w:val="decimal"/>
      <w:start w:val="212"/>
    </w:lvl>
  </w:abstractNum>
  <w:abstractNum w:abstractNumId="79">
    <w:nsid w:val="68EB2F63"/>
    <w:multiLevelType w:val="hybridMultilevel"/>
    <w:lvl w:ilvl="0">
      <w:lvlJc w:val="left"/>
      <w:lvlText w:val="(%1)"/>
      <w:numFmt w:val="decimal"/>
      <w:start w:val="90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2020-01-15T16:55:29Z</dcterms:created>
  <dcterms:modified xsi:type="dcterms:W3CDTF">2020-01-15T16:55:29Z</dcterms:modified>
</cp:coreProperties>
</file>