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333-232122</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June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142875</wp:posOffset>
            </wp:positionV>
            <wp:extent cx="259842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9842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$30,000,000 of Common Stock</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plus 345,357 Commitment Shares</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34" w:lineRule="exact"/>
        <w:rPr>
          <w:sz w:val="24"/>
          <w:szCs w:val="24"/>
          <w:color w:val="auto"/>
        </w:rPr>
      </w:pPr>
    </w:p>
    <w:p>
      <w:pPr>
        <w:ind w:right="140" w:firstLine="648"/>
        <w:spacing w:after="0" w:line="264" w:lineRule="auto"/>
        <w:rPr>
          <w:sz w:val="20"/>
          <w:szCs w:val="20"/>
          <w:color w:val="auto"/>
        </w:rPr>
      </w:pPr>
      <w:r>
        <w:rPr>
          <w:rFonts w:ascii="Arial" w:cs="Arial" w:eastAsia="Arial" w:hAnsi="Arial"/>
          <w:sz w:val="18"/>
          <w:szCs w:val="18"/>
          <w:color w:val="auto"/>
        </w:rPr>
        <w:t>Pursuant to this prospectus supplement and the accompanying prospectus, we are offering up to $30,000,000 aggregate amount plus 345,357 shares of our common stock, par value $0.001 per share, or Common Stock, to Aspire Capital Fund, LLC, or Aspire Capital, under a Common Stock Purchase Agreement entered into on February 28, 2020, or the Purchase Agreement.</w:t>
      </w:r>
    </w:p>
    <w:p>
      <w:pPr>
        <w:spacing w:after="0" w:line="181" w:lineRule="exact"/>
        <w:rPr>
          <w:sz w:val="24"/>
          <w:szCs w:val="24"/>
          <w:color w:val="auto"/>
        </w:rPr>
      </w:pPr>
    </w:p>
    <w:p>
      <w:pPr>
        <w:ind w:right="100" w:firstLine="648"/>
        <w:spacing w:after="0" w:line="257" w:lineRule="auto"/>
        <w:rPr>
          <w:sz w:val="20"/>
          <w:szCs w:val="20"/>
          <w:color w:val="auto"/>
        </w:rPr>
      </w:pPr>
      <w:r>
        <w:rPr>
          <w:rFonts w:ascii="Arial" w:cs="Arial" w:eastAsia="Arial" w:hAnsi="Arial"/>
          <w:sz w:val="18"/>
          <w:szCs w:val="18"/>
          <w:color w:val="auto"/>
        </w:rPr>
        <w:t>The shares offered include (i) 345,357 shares of Common Stock to be issued to Aspire Capital in consideration for entering into the Common Stock Purchase Agreement, or the Commitment Shares, and (ii) additional shares of Common Stock in an aggregate offering price of up to $30,000,000 which may be sold from time to time to Aspire Capital over the 30-month term of the Purchase Agreement, or the Purchase Shares. The purchase price for the Purchase Shares will be based upon one of two formulas set forth in the Purchase Agreement depending on the type of purchase notice we submit to Aspire Capital from time to time.</w:t>
      </w:r>
    </w:p>
    <w:p>
      <w:pPr>
        <w:spacing w:after="0" w:line="188" w:lineRule="exact"/>
        <w:rPr>
          <w:sz w:val="24"/>
          <w:szCs w:val="24"/>
          <w:color w:val="auto"/>
        </w:rPr>
      </w:pPr>
    </w:p>
    <w:p>
      <w:pPr>
        <w:ind w:right="320" w:firstLine="648"/>
        <w:spacing w:after="0" w:line="277" w:lineRule="auto"/>
        <w:rPr>
          <w:sz w:val="20"/>
          <w:szCs w:val="20"/>
          <w:color w:val="auto"/>
        </w:rPr>
      </w:pPr>
      <w:r>
        <w:rPr>
          <w:rFonts w:ascii="Arial" w:cs="Arial" w:eastAsia="Arial" w:hAnsi="Arial"/>
          <w:sz w:val="18"/>
          <w:szCs w:val="18"/>
          <w:color w:val="auto"/>
        </w:rPr>
        <w:t>Our Common Stock is listed on The Nasdaq Global Market under the symbol “MRKR.” On February 28, 2020, the last reported sale price of our Common Stock was $2.47 per share.</w:t>
      </w:r>
    </w:p>
    <w:p>
      <w:pPr>
        <w:spacing w:after="0" w:line="166" w:lineRule="exact"/>
        <w:rPr>
          <w:sz w:val="24"/>
          <w:szCs w:val="24"/>
          <w:color w:val="auto"/>
        </w:rPr>
      </w:pPr>
    </w:p>
    <w:p>
      <w:pPr>
        <w:ind w:right="20" w:firstLine="648"/>
        <w:spacing w:after="0" w:line="386" w:lineRule="auto"/>
        <w:rPr>
          <w:sz w:val="20"/>
          <w:szCs w:val="20"/>
          <w:color w:val="auto"/>
        </w:rPr>
      </w:pPr>
      <w:r>
        <w:rPr>
          <w:rFonts w:ascii="Arial" w:cs="Arial" w:eastAsia="Arial" w:hAnsi="Arial"/>
          <w:sz w:val="15"/>
          <w:szCs w:val="15"/>
          <w:b w:val="1"/>
          <w:bCs w:val="1"/>
          <w:color w:val="auto"/>
        </w:rPr>
        <w:t>Our business and an investment in our Common Stock involve significant risks. See “Risk Factors” beginning on page S-6 of this prospectus supplement and page 5 of the accompanying prospectus to read about factors that you should consider before making an investment decision.</w:t>
      </w:r>
    </w:p>
    <w:p>
      <w:pPr>
        <w:spacing w:after="0" w:line="93" w:lineRule="exact"/>
        <w:rPr>
          <w:sz w:val="24"/>
          <w:szCs w:val="24"/>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February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100" w:type="dxa"/>
            <w:vAlign w:val="bottom"/>
            <w:gridSpan w:val="4"/>
          </w:tcPr>
          <w:p>
            <w:pPr>
              <w:jc w:val="center"/>
              <w:ind w:right="430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100" w:type="dxa"/>
            <w:vAlign w:val="bottom"/>
            <w:gridSpan w:val="4"/>
          </w:tcPr>
          <w:p>
            <w:pPr>
              <w:jc w:val="center"/>
              <w:ind w:right="4300"/>
              <w:spacing w:after="0"/>
              <w:rPr>
                <w:sz w:val="20"/>
                <w:szCs w:val="20"/>
                <w:color w:val="auto"/>
              </w:rPr>
            </w:pPr>
            <w:r>
              <w:rPr>
                <w:rFonts w:ascii="Arial" w:cs="Arial" w:eastAsia="Arial" w:hAnsi="Arial"/>
                <w:sz w:val="18"/>
                <w:szCs w:val="18"/>
                <w:b w:val="1"/>
                <w:bCs w:val="1"/>
                <w:color w:val="auto"/>
                <w:w w:val="87"/>
              </w:rPr>
              <w:t>Prospectus Supplement</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100" w:type="dxa"/>
            <w:vAlign w:val="bottom"/>
            <w:gridSpan w:val="4"/>
          </w:tcPr>
          <w:p>
            <w:pPr>
              <w:ind w:left="64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66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S-1</w:t>
              </w:r>
            </w:hyperlink>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0" w:type="dxa"/>
            <w:vAlign w:val="bottom"/>
            <w:tcBorders>
              <w:top w:val="single" w:sz="8" w:color="0000EE"/>
            </w:tcBorders>
            <w:shd w:val="clear" w:color="auto" w:fill="CCEEFF"/>
          </w:tcPr>
          <w:p>
            <w:pPr>
              <w:spacing w:after="0"/>
              <w:rPr>
                <w:sz w:val="13"/>
                <w:szCs w:val="13"/>
                <w:color w:val="auto"/>
              </w:rPr>
            </w:pPr>
          </w:p>
        </w:tc>
        <w:tc>
          <w:tcPr>
            <w:tcW w:w="40" w:type="dxa"/>
            <w:vAlign w:val="bottom"/>
            <w:tcBorders>
              <w:top w:val="single" w:sz="8" w:color="0000EE"/>
            </w:tcBorders>
            <w:shd w:val="clear" w:color="auto" w:fill="CCEEFF"/>
          </w:tcPr>
          <w:p>
            <w:pPr>
              <w:spacing w:after="0"/>
              <w:rPr>
                <w:sz w:val="13"/>
                <w:szCs w:val="13"/>
                <w:color w:val="auto"/>
              </w:rPr>
            </w:pPr>
          </w:p>
        </w:tc>
        <w:tc>
          <w:tcPr>
            <w:tcW w:w="32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160" w:type="dxa"/>
            <w:vAlign w:val="bottom"/>
            <w:tcBorders>
              <w:top w:val="single" w:sz="8" w:color="0000EE"/>
            </w:tcBorders>
            <w:shd w:val="clear" w:color="auto" w:fill="CCEEFF"/>
          </w:tcPr>
          <w:p>
            <w:pPr>
              <w:spacing w:after="0"/>
              <w:rPr>
                <w:sz w:val="13"/>
                <w:szCs w:val="13"/>
                <w:color w:val="auto"/>
              </w:rPr>
            </w:pPr>
          </w:p>
        </w:tc>
        <w:tc>
          <w:tcPr>
            <w:tcW w:w="260" w:type="dxa"/>
            <w:vAlign w:val="bottom"/>
            <w:tcBorders>
              <w:top w:val="single" w:sz="8" w:color="0000EE"/>
            </w:tcBorders>
            <w:shd w:val="clear" w:color="auto" w:fill="CCEEFF"/>
          </w:tcPr>
          <w:p>
            <w:pPr>
              <w:spacing w:after="0"/>
              <w:rPr>
                <w:sz w:val="13"/>
                <w:szCs w:val="13"/>
                <w:color w:val="auto"/>
              </w:rPr>
            </w:pPr>
          </w:p>
        </w:tc>
        <w:tc>
          <w:tcPr>
            <w:tcW w:w="260" w:type="dxa"/>
            <w:vAlign w:val="bottom"/>
            <w:tcBorders>
              <w:top w:val="single" w:sz="8" w:color="0000EE"/>
            </w:tcBorders>
            <w:shd w:val="clear" w:color="auto" w:fill="CCEEFF"/>
          </w:tcPr>
          <w:p>
            <w:pPr>
              <w:spacing w:after="0"/>
              <w:rPr>
                <w:sz w:val="13"/>
                <w:szCs w:val="13"/>
                <w:color w:val="auto"/>
              </w:rPr>
            </w:pPr>
          </w:p>
        </w:tc>
        <w:tc>
          <w:tcPr>
            <w:tcW w:w="74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0000EE"/>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66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00" w:type="dxa"/>
            <w:vAlign w:val="bottom"/>
            <w:gridSpan w:val="12"/>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Prospectus Supplement Summary</w:t>
              </w:r>
            </w:hyperlink>
          </w:p>
        </w:tc>
        <w:tc>
          <w:tcPr>
            <w:tcW w:w="6660" w:type="dxa"/>
            <w:vAlign w:val="bottom"/>
          </w:tcPr>
          <w:p>
            <w:pPr>
              <w:spacing w:after="0"/>
              <w:rPr>
                <w:sz w:val="15"/>
                <w:szCs w:val="15"/>
                <w:color w:val="auto"/>
              </w:rPr>
            </w:pPr>
          </w:p>
        </w:tc>
        <w:tc>
          <w:tcPr>
            <w:tcW w:w="440" w:type="dxa"/>
            <w:vAlign w:val="bottom"/>
            <w:gridSpan w:val="3"/>
          </w:tcPr>
          <w:p>
            <w:pPr>
              <w:jc w:val="right"/>
              <w:ind w:right="1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S-2</w:t>
              </w:r>
            </w:hyperlink>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740" w:type="dxa"/>
            <w:vAlign w:val="bottom"/>
            <w:tcBorders>
              <w:top w:val="single" w:sz="8" w:color="0000EE"/>
            </w:tcBorders>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66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S-6</w:t>
              </w:r>
            </w:hyperlink>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0" w:type="dxa"/>
            <w:vAlign w:val="bottom"/>
            <w:tcBorders>
              <w:top w:val="single" w:sz="8" w:color="0000EE"/>
            </w:tcBorders>
            <w:shd w:val="clear" w:color="auto" w:fill="CCEEFF"/>
          </w:tcPr>
          <w:p>
            <w:pPr>
              <w:spacing w:after="0"/>
              <w:rPr>
                <w:sz w:val="13"/>
                <w:szCs w:val="13"/>
                <w:color w:val="auto"/>
              </w:rPr>
            </w:pPr>
          </w:p>
        </w:tc>
        <w:tc>
          <w:tcPr>
            <w:tcW w:w="40" w:type="dxa"/>
            <w:vAlign w:val="bottom"/>
            <w:tcBorders>
              <w:top w:val="single" w:sz="8" w:color="0000EE"/>
            </w:tcBorders>
            <w:shd w:val="clear" w:color="auto" w:fill="CCEEFF"/>
          </w:tcPr>
          <w:p>
            <w:pPr>
              <w:spacing w:after="0"/>
              <w:rPr>
                <w:sz w:val="13"/>
                <w:szCs w:val="13"/>
                <w:color w:val="auto"/>
              </w:rPr>
            </w:pPr>
          </w:p>
        </w:tc>
        <w:tc>
          <w:tcPr>
            <w:tcW w:w="32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66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00" w:type="dxa"/>
            <w:vAlign w:val="bottom"/>
            <w:gridSpan w:val="12"/>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Special Note Regarding Forward-Looking Statements</w:t>
              </w:r>
            </w:hyperlink>
          </w:p>
        </w:tc>
        <w:tc>
          <w:tcPr>
            <w:tcW w:w="6660" w:type="dxa"/>
            <w:vAlign w:val="bottom"/>
          </w:tcPr>
          <w:p>
            <w:pPr>
              <w:spacing w:after="0"/>
              <w:rPr>
                <w:sz w:val="15"/>
                <w:szCs w:val="15"/>
                <w:color w:val="auto"/>
              </w:rPr>
            </w:pPr>
          </w:p>
        </w:tc>
        <w:tc>
          <w:tcPr>
            <w:tcW w:w="440" w:type="dxa"/>
            <w:vAlign w:val="bottom"/>
            <w:gridSpan w:val="3"/>
          </w:tcPr>
          <w:p>
            <w:pPr>
              <w:jc w:val="right"/>
              <w:ind w:right="10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S-8</w:t>
              </w:r>
            </w:hyperlink>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7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16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44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66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S-9</w:t>
              </w:r>
            </w:hyperlink>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0" w:type="dxa"/>
            <w:vAlign w:val="bottom"/>
            <w:tcBorders>
              <w:top w:val="single" w:sz="8" w:color="0000EE"/>
            </w:tcBorders>
            <w:shd w:val="clear" w:color="auto" w:fill="CCEEFF"/>
          </w:tcPr>
          <w:p>
            <w:pPr>
              <w:spacing w:after="0"/>
              <w:rPr>
                <w:sz w:val="13"/>
                <w:szCs w:val="13"/>
                <w:color w:val="auto"/>
              </w:rPr>
            </w:pPr>
          </w:p>
        </w:tc>
        <w:tc>
          <w:tcPr>
            <w:tcW w:w="40" w:type="dxa"/>
            <w:vAlign w:val="bottom"/>
            <w:tcBorders>
              <w:top w:val="single" w:sz="8" w:color="0000EE"/>
            </w:tcBorders>
            <w:shd w:val="clear" w:color="auto" w:fill="CCEEFF"/>
          </w:tcPr>
          <w:p>
            <w:pPr>
              <w:spacing w:after="0"/>
              <w:rPr>
                <w:sz w:val="13"/>
                <w:szCs w:val="13"/>
                <w:color w:val="auto"/>
              </w:rPr>
            </w:pPr>
          </w:p>
        </w:tc>
        <w:tc>
          <w:tcPr>
            <w:tcW w:w="32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160" w:type="dxa"/>
            <w:vAlign w:val="bottom"/>
            <w:tcBorders>
              <w:top w:val="single" w:sz="8" w:color="0000EE"/>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66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00" w:type="dxa"/>
            <w:vAlign w:val="bottom"/>
            <w:gridSpan w:val="12"/>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Dilution</w:t>
              </w:r>
            </w:hyperlink>
          </w:p>
        </w:tc>
        <w:tc>
          <w:tcPr>
            <w:tcW w:w="6660" w:type="dxa"/>
            <w:vAlign w:val="bottom"/>
          </w:tcPr>
          <w:p>
            <w:pPr>
              <w:spacing w:after="0"/>
              <w:rPr>
                <w:sz w:val="15"/>
                <w:szCs w:val="15"/>
                <w:color w:val="auto"/>
              </w:rPr>
            </w:pPr>
          </w:p>
        </w:tc>
        <w:tc>
          <w:tcPr>
            <w:tcW w:w="440" w:type="dxa"/>
            <w:vAlign w:val="bottom"/>
            <w:gridSpan w:val="3"/>
          </w:tcPr>
          <w:p>
            <w:pPr>
              <w:jc w:val="right"/>
              <w:ind w:right="100"/>
              <w:spacing w:after="0" w:line="176" w:lineRule="exact"/>
              <w:rPr>
                <w:rFonts w:ascii="Arial" w:cs="Arial" w:eastAsia="Arial" w:hAnsi="Arial"/>
                <w:sz w:val="18"/>
                <w:szCs w:val="18"/>
                <w:color w:val="0000EE"/>
                <w:w w:val="84"/>
              </w:rPr>
            </w:pPr>
            <w:hyperlink w:anchor="page12">
              <w:r>
                <w:rPr>
                  <w:rFonts w:ascii="Arial" w:cs="Arial" w:eastAsia="Arial" w:hAnsi="Arial"/>
                  <w:sz w:val="18"/>
                  <w:szCs w:val="18"/>
                  <w:color w:val="0000EE"/>
                  <w:w w:val="84"/>
                </w:rPr>
                <w:t>S-10</w:t>
              </w:r>
            </w:hyperlink>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The Aspire Transaction</w:t>
              </w:r>
            </w:hyperlink>
          </w:p>
        </w:tc>
        <w:tc>
          <w:tcPr>
            <w:tcW w:w="66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100"/>
              <w:spacing w:after="0" w:line="176" w:lineRule="exact"/>
              <w:rPr>
                <w:rFonts w:ascii="Arial" w:cs="Arial" w:eastAsia="Arial" w:hAnsi="Arial"/>
                <w:sz w:val="18"/>
                <w:szCs w:val="18"/>
                <w:color w:val="0000EE"/>
                <w:w w:val="84"/>
              </w:rPr>
            </w:pPr>
            <w:hyperlink w:anchor="page13">
              <w:r>
                <w:rPr>
                  <w:rFonts w:ascii="Arial" w:cs="Arial" w:eastAsia="Arial" w:hAnsi="Arial"/>
                  <w:sz w:val="18"/>
                  <w:szCs w:val="18"/>
                  <w:color w:val="0000EE"/>
                  <w:w w:val="84"/>
                </w:rPr>
                <w:t>S-11</w:t>
              </w:r>
            </w:hyperlink>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0" w:type="dxa"/>
            <w:vAlign w:val="bottom"/>
            <w:tcBorders>
              <w:top w:val="single" w:sz="8" w:color="0000EE"/>
            </w:tcBorders>
            <w:shd w:val="clear" w:color="auto" w:fill="CCEEFF"/>
          </w:tcPr>
          <w:p>
            <w:pPr>
              <w:spacing w:after="0"/>
              <w:rPr>
                <w:sz w:val="13"/>
                <w:szCs w:val="13"/>
                <w:color w:val="auto"/>
              </w:rPr>
            </w:pPr>
          </w:p>
        </w:tc>
        <w:tc>
          <w:tcPr>
            <w:tcW w:w="40" w:type="dxa"/>
            <w:vAlign w:val="bottom"/>
            <w:tcBorders>
              <w:top w:val="single" w:sz="8" w:color="0000EE"/>
            </w:tcBorders>
            <w:shd w:val="clear" w:color="auto" w:fill="CCEEFF"/>
          </w:tcPr>
          <w:p>
            <w:pPr>
              <w:spacing w:after="0"/>
              <w:rPr>
                <w:sz w:val="13"/>
                <w:szCs w:val="13"/>
                <w:color w:val="auto"/>
              </w:rPr>
            </w:pPr>
          </w:p>
        </w:tc>
        <w:tc>
          <w:tcPr>
            <w:tcW w:w="32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160" w:type="dxa"/>
            <w:vAlign w:val="bottom"/>
            <w:tcBorders>
              <w:top w:val="single" w:sz="8" w:color="0000EE"/>
            </w:tcBorders>
            <w:shd w:val="clear" w:color="auto" w:fill="CCEEFF"/>
          </w:tcPr>
          <w:p>
            <w:pPr>
              <w:spacing w:after="0"/>
              <w:rPr>
                <w:sz w:val="13"/>
                <w:szCs w:val="13"/>
                <w:color w:val="auto"/>
              </w:rPr>
            </w:pPr>
          </w:p>
        </w:tc>
        <w:tc>
          <w:tcPr>
            <w:tcW w:w="260" w:type="dxa"/>
            <w:vAlign w:val="bottom"/>
            <w:tcBorders>
              <w:top w:val="single" w:sz="8" w:color="0000EE"/>
            </w:tcBorders>
            <w:shd w:val="clear" w:color="auto" w:fill="CCEEFF"/>
          </w:tcPr>
          <w:p>
            <w:pPr>
              <w:spacing w:after="0"/>
              <w:rPr>
                <w:sz w:val="13"/>
                <w:szCs w:val="13"/>
                <w:color w:val="auto"/>
              </w:rPr>
            </w:pPr>
          </w:p>
        </w:tc>
        <w:tc>
          <w:tcPr>
            <w:tcW w:w="260" w:type="dxa"/>
            <w:vAlign w:val="bottom"/>
            <w:tcBorders>
              <w:top w:val="single" w:sz="8" w:color="0000EE"/>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66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26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00" w:type="dxa"/>
            <w:vAlign w:val="bottom"/>
            <w:gridSpan w:val="12"/>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Plan of Distribution</w:t>
              </w:r>
            </w:hyperlink>
          </w:p>
        </w:tc>
        <w:tc>
          <w:tcPr>
            <w:tcW w:w="6660" w:type="dxa"/>
            <w:vAlign w:val="bottom"/>
          </w:tcPr>
          <w:p>
            <w:pPr>
              <w:spacing w:after="0"/>
              <w:rPr>
                <w:sz w:val="15"/>
                <w:szCs w:val="15"/>
                <w:color w:val="auto"/>
              </w:rPr>
            </w:pPr>
          </w:p>
        </w:tc>
        <w:tc>
          <w:tcPr>
            <w:tcW w:w="440" w:type="dxa"/>
            <w:vAlign w:val="bottom"/>
            <w:gridSpan w:val="3"/>
          </w:tcPr>
          <w:p>
            <w:pPr>
              <w:jc w:val="right"/>
              <w:ind w:right="100"/>
              <w:spacing w:after="0" w:line="176" w:lineRule="exact"/>
              <w:rPr>
                <w:rFonts w:ascii="Arial" w:cs="Arial" w:eastAsia="Arial" w:hAnsi="Arial"/>
                <w:sz w:val="18"/>
                <w:szCs w:val="18"/>
                <w:color w:val="0000EE"/>
                <w:w w:val="84"/>
              </w:rPr>
            </w:pPr>
            <w:hyperlink w:anchor="page17">
              <w:r>
                <w:rPr>
                  <w:rFonts w:ascii="Arial" w:cs="Arial" w:eastAsia="Arial" w:hAnsi="Arial"/>
                  <w:sz w:val="18"/>
                  <w:szCs w:val="18"/>
                  <w:color w:val="0000EE"/>
                  <w:w w:val="84"/>
                </w:rPr>
                <w:t>S-15</w:t>
              </w:r>
            </w:hyperlink>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Legal Matters</w:t>
              </w:r>
            </w:hyperlink>
          </w:p>
        </w:tc>
        <w:tc>
          <w:tcPr>
            <w:tcW w:w="66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100"/>
              <w:spacing w:after="0" w:line="176" w:lineRule="exact"/>
              <w:rPr>
                <w:rFonts w:ascii="Arial" w:cs="Arial" w:eastAsia="Arial" w:hAnsi="Arial"/>
                <w:sz w:val="18"/>
                <w:szCs w:val="18"/>
                <w:color w:val="0000EE"/>
                <w:w w:val="84"/>
              </w:rPr>
            </w:pPr>
            <w:hyperlink w:anchor="page18">
              <w:r>
                <w:rPr>
                  <w:rFonts w:ascii="Arial" w:cs="Arial" w:eastAsia="Arial" w:hAnsi="Arial"/>
                  <w:sz w:val="18"/>
                  <w:szCs w:val="18"/>
                  <w:color w:val="0000EE"/>
                  <w:w w:val="84"/>
                </w:rPr>
                <w:t>S-16</w:t>
              </w:r>
            </w:hyperlink>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0" w:type="dxa"/>
            <w:vAlign w:val="bottom"/>
            <w:tcBorders>
              <w:top w:val="single" w:sz="8" w:color="0000EE"/>
            </w:tcBorders>
            <w:shd w:val="clear" w:color="auto" w:fill="CCEEFF"/>
          </w:tcPr>
          <w:p>
            <w:pPr>
              <w:spacing w:after="0"/>
              <w:rPr>
                <w:sz w:val="13"/>
                <w:szCs w:val="13"/>
                <w:color w:val="auto"/>
              </w:rPr>
            </w:pPr>
          </w:p>
        </w:tc>
        <w:tc>
          <w:tcPr>
            <w:tcW w:w="40" w:type="dxa"/>
            <w:vAlign w:val="bottom"/>
            <w:tcBorders>
              <w:top w:val="single" w:sz="8" w:color="0000EE"/>
            </w:tcBorders>
            <w:shd w:val="clear" w:color="auto" w:fill="CCEEFF"/>
          </w:tcPr>
          <w:p>
            <w:pPr>
              <w:spacing w:after="0"/>
              <w:rPr>
                <w:sz w:val="13"/>
                <w:szCs w:val="13"/>
                <w:color w:val="auto"/>
              </w:rPr>
            </w:pPr>
          </w:p>
        </w:tc>
        <w:tc>
          <w:tcPr>
            <w:tcW w:w="32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66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26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00" w:type="dxa"/>
            <w:vAlign w:val="bottom"/>
            <w:gridSpan w:val="12"/>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Experts</w:t>
              </w:r>
            </w:hyperlink>
          </w:p>
        </w:tc>
        <w:tc>
          <w:tcPr>
            <w:tcW w:w="6660" w:type="dxa"/>
            <w:vAlign w:val="bottom"/>
          </w:tcPr>
          <w:p>
            <w:pPr>
              <w:spacing w:after="0"/>
              <w:rPr>
                <w:sz w:val="15"/>
                <w:szCs w:val="15"/>
                <w:color w:val="auto"/>
              </w:rPr>
            </w:pPr>
          </w:p>
        </w:tc>
        <w:tc>
          <w:tcPr>
            <w:tcW w:w="440" w:type="dxa"/>
            <w:vAlign w:val="bottom"/>
            <w:gridSpan w:val="3"/>
          </w:tcPr>
          <w:p>
            <w:pPr>
              <w:jc w:val="right"/>
              <w:ind w:right="100"/>
              <w:spacing w:after="0" w:line="176" w:lineRule="exact"/>
              <w:rPr>
                <w:rFonts w:ascii="Arial" w:cs="Arial" w:eastAsia="Arial" w:hAnsi="Arial"/>
                <w:sz w:val="18"/>
                <w:szCs w:val="18"/>
                <w:color w:val="0000EE"/>
                <w:w w:val="84"/>
              </w:rPr>
            </w:pPr>
            <w:hyperlink w:anchor="page18">
              <w:r>
                <w:rPr>
                  <w:rFonts w:ascii="Arial" w:cs="Arial" w:eastAsia="Arial" w:hAnsi="Arial"/>
                  <w:sz w:val="18"/>
                  <w:szCs w:val="18"/>
                  <w:color w:val="0000EE"/>
                  <w:w w:val="84"/>
                </w:rPr>
                <w:t>S-16</w:t>
              </w:r>
            </w:hyperlink>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Incorporation of Certain Information by Reference</w:t>
              </w:r>
            </w:hyperlink>
          </w:p>
        </w:tc>
        <w:tc>
          <w:tcPr>
            <w:tcW w:w="66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100"/>
              <w:spacing w:after="0" w:line="176" w:lineRule="exact"/>
              <w:rPr>
                <w:rFonts w:ascii="Arial" w:cs="Arial" w:eastAsia="Arial" w:hAnsi="Arial"/>
                <w:sz w:val="18"/>
                <w:szCs w:val="18"/>
                <w:color w:val="0000EE"/>
                <w:w w:val="84"/>
              </w:rPr>
            </w:pPr>
            <w:hyperlink w:anchor="page18">
              <w:r>
                <w:rPr>
                  <w:rFonts w:ascii="Arial" w:cs="Arial" w:eastAsia="Arial" w:hAnsi="Arial"/>
                  <w:sz w:val="18"/>
                  <w:szCs w:val="18"/>
                  <w:color w:val="0000EE"/>
                  <w:w w:val="84"/>
                </w:rPr>
                <w:t>S-16</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 w:type="dxa"/>
            <w:vAlign w:val="bottom"/>
            <w:tcBorders>
              <w:top w:val="single" w:sz="8" w:color="0000EE"/>
            </w:tcBorders>
            <w:shd w:val="clear" w:color="auto" w:fill="CCEEFF"/>
          </w:tcPr>
          <w:p>
            <w:pPr>
              <w:spacing w:after="0"/>
              <w:rPr>
                <w:sz w:val="13"/>
                <w:szCs w:val="13"/>
                <w:color w:val="auto"/>
              </w:rPr>
            </w:pPr>
          </w:p>
        </w:tc>
        <w:tc>
          <w:tcPr>
            <w:tcW w:w="40" w:type="dxa"/>
            <w:vAlign w:val="bottom"/>
            <w:tcBorders>
              <w:top w:val="single" w:sz="8" w:color="0000EE"/>
            </w:tcBorders>
            <w:shd w:val="clear" w:color="auto" w:fill="CCEEFF"/>
          </w:tcPr>
          <w:p>
            <w:pPr>
              <w:spacing w:after="0"/>
              <w:rPr>
                <w:sz w:val="13"/>
                <w:szCs w:val="13"/>
                <w:color w:val="auto"/>
              </w:rPr>
            </w:pPr>
          </w:p>
        </w:tc>
        <w:tc>
          <w:tcPr>
            <w:tcW w:w="32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160" w:type="dxa"/>
            <w:vAlign w:val="bottom"/>
            <w:tcBorders>
              <w:top w:val="single" w:sz="8" w:color="0000EE"/>
            </w:tcBorders>
            <w:shd w:val="clear" w:color="auto" w:fill="CCEEFF"/>
          </w:tcPr>
          <w:p>
            <w:pPr>
              <w:spacing w:after="0"/>
              <w:rPr>
                <w:sz w:val="13"/>
                <w:szCs w:val="13"/>
                <w:color w:val="auto"/>
              </w:rPr>
            </w:pPr>
          </w:p>
        </w:tc>
        <w:tc>
          <w:tcPr>
            <w:tcW w:w="260" w:type="dxa"/>
            <w:vAlign w:val="bottom"/>
            <w:tcBorders>
              <w:top w:val="single" w:sz="8" w:color="0000EE"/>
            </w:tcBorders>
            <w:shd w:val="clear" w:color="auto" w:fill="CCEEFF"/>
          </w:tcPr>
          <w:p>
            <w:pPr>
              <w:spacing w:after="0"/>
              <w:rPr>
                <w:sz w:val="13"/>
                <w:szCs w:val="13"/>
                <w:color w:val="auto"/>
              </w:rPr>
            </w:pPr>
          </w:p>
        </w:tc>
        <w:tc>
          <w:tcPr>
            <w:tcW w:w="260" w:type="dxa"/>
            <w:vAlign w:val="bottom"/>
            <w:tcBorders>
              <w:top w:val="single" w:sz="8" w:color="0000EE"/>
            </w:tcBorders>
            <w:shd w:val="clear" w:color="auto" w:fill="CCEEFF"/>
          </w:tcPr>
          <w:p>
            <w:pPr>
              <w:spacing w:after="0"/>
              <w:rPr>
                <w:sz w:val="13"/>
                <w:szCs w:val="13"/>
                <w:color w:val="auto"/>
              </w:rPr>
            </w:pPr>
          </w:p>
        </w:tc>
        <w:tc>
          <w:tcPr>
            <w:tcW w:w="74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0000EE"/>
            </w:tcBorders>
            <w:shd w:val="clear" w:color="auto" w:fill="CCEEFF"/>
          </w:tcPr>
          <w:p>
            <w:pPr>
              <w:spacing w:after="0"/>
              <w:rPr>
                <w:sz w:val="13"/>
                <w:szCs w:val="13"/>
                <w:color w:val="auto"/>
              </w:rPr>
            </w:pPr>
          </w:p>
        </w:tc>
        <w:tc>
          <w:tcPr>
            <w:tcW w:w="1160" w:type="dxa"/>
            <w:vAlign w:val="bottom"/>
            <w:tcBorders>
              <w:top w:val="single" w:sz="8" w:color="0000EE"/>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66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26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20" w:type="dxa"/>
            <w:vAlign w:val="bottom"/>
            <w:gridSpan w:val="4"/>
          </w:tcPr>
          <w:p>
            <w:pPr>
              <w:ind w:left="70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20" w:type="dxa"/>
            <w:vAlign w:val="bottom"/>
            <w:gridSpan w:val="4"/>
          </w:tcPr>
          <w:p>
            <w:pPr>
              <w:ind w:left="6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80" w:type="dxa"/>
            <w:vAlign w:val="bottom"/>
            <w:gridSpan w:val="14"/>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About this Prospectus</w:t>
              </w:r>
            </w:hyperlink>
          </w:p>
        </w:tc>
        <w:tc>
          <w:tcPr>
            <w:tcW w:w="6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ind w:left="40"/>
              <w:spacing w:after="0" w:line="176" w:lineRule="exact"/>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w:t>
              </w:r>
            </w:hyperlink>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0" w:type="dxa"/>
            <w:vAlign w:val="bottom"/>
            <w:tcBorders>
              <w:top w:val="single" w:sz="8" w:color="0000EE"/>
            </w:tcBorders>
            <w:shd w:val="clear" w:color="auto" w:fill="CCEEFF"/>
          </w:tcPr>
          <w:p>
            <w:pPr>
              <w:spacing w:after="0"/>
              <w:rPr>
                <w:sz w:val="13"/>
                <w:szCs w:val="13"/>
                <w:color w:val="auto"/>
              </w:rPr>
            </w:pPr>
          </w:p>
        </w:tc>
        <w:tc>
          <w:tcPr>
            <w:tcW w:w="140" w:type="dxa"/>
            <w:vAlign w:val="bottom"/>
            <w:tcBorders>
              <w:top w:val="single" w:sz="8" w:color="0000EE"/>
            </w:tcBorders>
            <w:shd w:val="clear" w:color="auto" w:fill="CCEEFF"/>
          </w:tcPr>
          <w:p>
            <w:pPr>
              <w:spacing w:after="0"/>
              <w:rPr>
                <w:sz w:val="13"/>
                <w:szCs w:val="13"/>
                <w:color w:val="auto"/>
              </w:rPr>
            </w:pPr>
          </w:p>
        </w:tc>
        <w:tc>
          <w:tcPr>
            <w:tcW w:w="22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160" w:type="dxa"/>
            <w:vAlign w:val="bottom"/>
            <w:tcBorders>
              <w:top w:val="single" w:sz="8" w:color="0000EE"/>
            </w:tcBorders>
            <w:shd w:val="clear" w:color="auto" w:fill="CCEEFF"/>
          </w:tcPr>
          <w:p>
            <w:pPr>
              <w:spacing w:after="0"/>
              <w:rPr>
                <w:sz w:val="13"/>
                <w:szCs w:val="13"/>
                <w:color w:val="auto"/>
              </w:rPr>
            </w:pPr>
          </w:p>
        </w:tc>
        <w:tc>
          <w:tcPr>
            <w:tcW w:w="260" w:type="dxa"/>
            <w:vAlign w:val="bottom"/>
            <w:tcBorders>
              <w:top w:val="single" w:sz="8" w:color="0000EE"/>
            </w:tcBorders>
            <w:shd w:val="clear" w:color="auto" w:fill="CCEEFF"/>
          </w:tcPr>
          <w:p>
            <w:pPr>
              <w:spacing w:after="0"/>
              <w:rPr>
                <w:sz w:val="13"/>
                <w:szCs w:val="13"/>
                <w:color w:val="auto"/>
              </w:rPr>
            </w:pPr>
          </w:p>
        </w:tc>
        <w:tc>
          <w:tcPr>
            <w:tcW w:w="140" w:type="dxa"/>
            <w:vAlign w:val="bottom"/>
            <w:tcBorders>
              <w:top w:val="single" w:sz="8" w:color="0000EE"/>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65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80" w:type="dxa"/>
            <w:vAlign w:val="bottom"/>
            <w:gridSpan w:val="14"/>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Summary</w:t>
              </w:r>
            </w:hyperlink>
          </w:p>
        </w:tc>
        <w:tc>
          <w:tcPr>
            <w:tcW w:w="6820" w:type="dxa"/>
            <w:vAlign w:val="bottom"/>
            <w:gridSpan w:val="4"/>
          </w:tcPr>
          <w:p>
            <w:pPr>
              <w:jc w:val="right"/>
              <w:ind w:right="10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80" w:type="dxa"/>
            <w:vAlign w:val="bottom"/>
            <w:gridSpan w:val="1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682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0" w:type="dxa"/>
            <w:vAlign w:val="bottom"/>
            <w:tcBorders>
              <w:top w:val="single" w:sz="8" w:color="0000EE"/>
            </w:tcBorders>
            <w:shd w:val="clear" w:color="auto" w:fill="CCEEFF"/>
          </w:tcPr>
          <w:p>
            <w:pPr>
              <w:spacing w:after="0"/>
              <w:rPr>
                <w:sz w:val="13"/>
                <w:szCs w:val="13"/>
                <w:color w:val="auto"/>
              </w:rPr>
            </w:pPr>
          </w:p>
        </w:tc>
        <w:tc>
          <w:tcPr>
            <w:tcW w:w="140" w:type="dxa"/>
            <w:vAlign w:val="bottom"/>
            <w:tcBorders>
              <w:top w:val="single" w:sz="8" w:color="0000EE"/>
            </w:tcBorders>
            <w:shd w:val="clear" w:color="auto" w:fill="CCEEFF"/>
          </w:tcPr>
          <w:p>
            <w:pPr>
              <w:spacing w:after="0"/>
              <w:rPr>
                <w:sz w:val="13"/>
                <w:szCs w:val="13"/>
                <w:color w:val="auto"/>
              </w:rPr>
            </w:pPr>
          </w:p>
        </w:tc>
        <w:tc>
          <w:tcPr>
            <w:tcW w:w="22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65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80" w:type="dxa"/>
            <w:vAlign w:val="bottom"/>
            <w:gridSpan w:val="14"/>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Special Note Regarding Forward-Looking Statements</w:t>
              </w:r>
            </w:hyperlink>
          </w:p>
        </w:tc>
        <w:tc>
          <w:tcPr>
            <w:tcW w:w="6820" w:type="dxa"/>
            <w:vAlign w:val="bottom"/>
            <w:gridSpan w:val="4"/>
          </w:tcPr>
          <w:p>
            <w:pPr>
              <w:jc w:val="right"/>
              <w:ind w:right="10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680" w:type="dxa"/>
            <w:vAlign w:val="bottom"/>
            <w:tcBorders>
              <w:top w:val="single" w:sz="8" w:color="0000EE"/>
            </w:tcBorders>
          </w:tcPr>
          <w:p>
            <w:pPr>
              <w:spacing w:after="0"/>
              <w:rPr>
                <w:sz w:val="13"/>
                <w:szCs w:val="13"/>
                <w:color w:val="auto"/>
              </w:rPr>
            </w:pPr>
          </w:p>
        </w:tc>
        <w:tc>
          <w:tcPr>
            <w:tcW w:w="78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7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80" w:type="dxa"/>
            <w:vAlign w:val="bottom"/>
            <w:gridSpan w:val="1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682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0" w:type="dxa"/>
            <w:vAlign w:val="bottom"/>
            <w:tcBorders>
              <w:top w:val="single" w:sz="8" w:color="0000EE"/>
            </w:tcBorders>
            <w:shd w:val="clear" w:color="auto" w:fill="CCEEFF"/>
          </w:tcPr>
          <w:p>
            <w:pPr>
              <w:spacing w:after="0"/>
              <w:rPr>
                <w:sz w:val="13"/>
                <w:szCs w:val="13"/>
                <w:color w:val="auto"/>
              </w:rPr>
            </w:pPr>
          </w:p>
        </w:tc>
        <w:tc>
          <w:tcPr>
            <w:tcW w:w="140" w:type="dxa"/>
            <w:vAlign w:val="bottom"/>
            <w:tcBorders>
              <w:top w:val="single" w:sz="8" w:color="0000EE"/>
            </w:tcBorders>
            <w:shd w:val="clear" w:color="auto" w:fill="CCEEFF"/>
          </w:tcPr>
          <w:p>
            <w:pPr>
              <w:spacing w:after="0"/>
              <w:rPr>
                <w:sz w:val="13"/>
                <w:szCs w:val="13"/>
                <w:color w:val="auto"/>
              </w:rPr>
            </w:pPr>
          </w:p>
        </w:tc>
        <w:tc>
          <w:tcPr>
            <w:tcW w:w="22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160" w:type="dxa"/>
            <w:vAlign w:val="bottom"/>
            <w:tcBorders>
              <w:top w:val="single" w:sz="8" w:color="0000EE"/>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65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80" w:type="dxa"/>
            <w:vAlign w:val="bottom"/>
            <w:gridSpan w:val="14"/>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Capital Stock</w:t>
              </w:r>
            </w:hyperlink>
          </w:p>
        </w:tc>
        <w:tc>
          <w:tcPr>
            <w:tcW w:w="6820" w:type="dxa"/>
            <w:vAlign w:val="bottom"/>
            <w:gridSpan w:val="4"/>
          </w:tcPr>
          <w:p>
            <w:pPr>
              <w:jc w:val="right"/>
              <w:ind w:right="10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80" w:type="dxa"/>
            <w:vAlign w:val="bottom"/>
            <w:gridSpan w:val="14"/>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Description of Debt Securities</w:t>
              </w:r>
            </w:hyperlink>
          </w:p>
        </w:tc>
        <w:tc>
          <w:tcPr>
            <w:tcW w:w="682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10</w:t>
              </w:r>
            </w:hyperlink>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0" w:type="dxa"/>
            <w:vAlign w:val="bottom"/>
            <w:tcBorders>
              <w:top w:val="single" w:sz="8" w:color="0000EE"/>
            </w:tcBorders>
            <w:shd w:val="clear" w:color="auto" w:fill="CCEEFF"/>
          </w:tcPr>
          <w:p>
            <w:pPr>
              <w:spacing w:after="0"/>
              <w:rPr>
                <w:sz w:val="13"/>
                <w:szCs w:val="13"/>
                <w:color w:val="auto"/>
              </w:rPr>
            </w:pPr>
          </w:p>
        </w:tc>
        <w:tc>
          <w:tcPr>
            <w:tcW w:w="140" w:type="dxa"/>
            <w:vAlign w:val="bottom"/>
            <w:tcBorders>
              <w:top w:val="single" w:sz="8" w:color="0000EE"/>
            </w:tcBorders>
            <w:shd w:val="clear" w:color="auto" w:fill="CCEEFF"/>
          </w:tcPr>
          <w:p>
            <w:pPr>
              <w:spacing w:after="0"/>
              <w:rPr>
                <w:sz w:val="13"/>
                <w:szCs w:val="13"/>
                <w:color w:val="auto"/>
              </w:rPr>
            </w:pPr>
          </w:p>
        </w:tc>
        <w:tc>
          <w:tcPr>
            <w:tcW w:w="22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160" w:type="dxa"/>
            <w:vAlign w:val="bottom"/>
            <w:tcBorders>
              <w:top w:val="single" w:sz="8" w:color="0000EE"/>
            </w:tcBorders>
            <w:shd w:val="clear" w:color="auto" w:fill="CCEEFF"/>
          </w:tcPr>
          <w:p>
            <w:pPr>
              <w:spacing w:after="0"/>
              <w:rPr>
                <w:sz w:val="13"/>
                <w:szCs w:val="13"/>
                <w:color w:val="auto"/>
              </w:rPr>
            </w:pPr>
          </w:p>
        </w:tc>
        <w:tc>
          <w:tcPr>
            <w:tcW w:w="260" w:type="dxa"/>
            <w:vAlign w:val="bottom"/>
            <w:tcBorders>
              <w:top w:val="single" w:sz="8" w:color="0000EE"/>
            </w:tcBorders>
            <w:shd w:val="clear" w:color="auto" w:fill="CCEEFF"/>
          </w:tcPr>
          <w:p>
            <w:pPr>
              <w:spacing w:after="0"/>
              <w:rPr>
                <w:sz w:val="13"/>
                <w:szCs w:val="13"/>
                <w:color w:val="auto"/>
              </w:rPr>
            </w:pPr>
          </w:p>
        </w:tc>
        <w:tc>
          <w:tcPr>
            <w:tcW w:w="140" w:type="dxa"/>
            <w:vAlign w:val="bottom"/>
            <w:tcBorders>
              <w:top w:val="single" w:sz="8" w:color="0000EE"/>
            </w:tcBorders>
            <w:shd w:val="clear" w:color="auto" w:fill="CCEEFF"/>
          </w:tcPr>
          <w:p>
            <w:pPr>
              <w:spacing w:after="0"/>
              <w:rPr>
                <w:sz w:val="13"/>
                <w:szCs w:val="13"/>
                <w:color w:val="auto"/>
              </w:rPr>
            </w:pPr>
          </w:p>
        </w:tc>
        <w:tc>
          <w:tcPr>
            <w:tcW w:w="160" w:type="dxa"/>
            <w:vAlign w:val="bottom"/>
            <w:tcBorders>
              <w:top w:val="single" w:sz="8" w:color="0000EE"/>
            </w:tcBorders>
            <w:shd w:val="clear" w:color="auto" w:fill="CCEEFF"/>
          </w:tcPr>
          <w:p>
            <w:pPr>
              <w:spacing w:after="0"/>
              <w:rPr>
                <w:sz w:val="13"/>
                <w:szCs w:val="13"/>
                <w:color w:val="auto"/>
              </w:rPr>
            </w:pPr>
          </w:p>
        </w:tc>
        <w:tc>
          <w:tcPr>
            <w:tcW w:w="320" w:type="dxa"/>
            <w:vAlign w:val="bottom"/>
            <w:tcBorders>
              <w:top w:val="single" w:sz="8" w:color="0000EE"/>
            </w:tcBorders>
            <w:shd w:val="clear" w:color="auto" w:fill="CCEEFF"/>
          </w:tcPr>
          <w:p>
            <w:pPr>
              <w:spacing w:after="0"/>
              <w:rPr>
                <w:sz w:val="13"/>
                <w:szCs w:val="13"/>
                <w:color w:val="auto"/>
              </w:rPr>
            </w:pPr>
          </w:p>
        </w:tc>
        <w:tc>
          <w:tcPr>
            <w:tcW w:w="140" w:type="dxa"/>
            <w:vAlign w:val="bottom"/>
            <w:tcBorders>
              <w:top w:val="single" w:sz="8" w:color="0000EE"/>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65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80" w:type="dxa"/>
            <w:vAlign w:val="bottom"/>
            <w:gridSpan w:val="14"/>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Description of Warrants</w:t>
              </w:r>
            </w:hyperlink>
          </w:p>
        </w:tc>
        <w:tc>
          <w:tcPr>
            <w:tcW w:w="6820" w:type="dxa"/>
            <w:vAlign w:val="bottom"/>
            <w:gridSpan w:val="4"/>
          </w:tcPr>
          <w:p>
            <w:pPr>
              <w:jc w:val="right"/>
              <w:ind w:right="10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80" w:type="dxa"/>
            <w:vAlign w:val="bottom"/>
            <w:gridSpan w:val="14"/>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Legal Ownership of Securities</w:t>
              </w:r>
            </w:hyperlink>
          </w:p>
        </w:tc>
        <w:tc>
          <w:tcPr>
            <w:tcW w:w="682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0" w:type="dxa"/>
            <w:vAlign w:val="bottom"/>
            <w:tcBorders>
              <w:top w:val="single" w:sz="8" w:color="0000EE"/>
            </w:tcBorders>
            <w:shd w:val="clear" w:color="auto" w:fill="CCEEFF"/>
          </w:tcPr>
          <w:p>
            <w:pPr>
              <w:spacing w:after="0"/>
              <w:rPr>
                <w:sz w:val="13"/>
                <w:szCs w:val="13"/>
                <w:color w:val="auto"/>
              </w:rPr>
            </w:pPr>
          </w:p>
        </w:tc>
        <w:tc>
          <w:tcPr>
            <w:tcW w:w="140" w:type="dxa"/>
            <w:vAlign w:val="bottom"/>
            <w:tcBorders>
              <w:top w:val="single" w:sz="8" w:color="0000EE"/>
            </w:tcBorders>
            <w:shd w:val="clear" w:color="auto" w:fill="CCEEFF"/>
          </w:tcPr>
          <w:p>
            <w:pPr>
              <w:spacing w:after="0"/>
              <w:rPr>
                <w:sz w:val="13"/>
                <w:szCs w:val="13"/>
                <w:color w:val="auto"/>
              </w:rPr>
            </w:pPr>
          </w:p>
        </w:tc>
        <w:tc>
          <w:tcPr>
            <w:tcW w:w="22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160" w:type="dxa"/>
            <w:vAlign w:val="bottom"/>
            <w:tcBorders>
              <w:top w:val="single" w:sz="8" w:color="0000EE"/>
            </w:tcBorders>
            <w:shd w:val="clear" w:color="auto" w:fill="CCEEFF"/>
          </w:tcPr>
          <w:p>
            <w:pPr>
              <w:spacing w:after="0"/>
              <w:rPr>
                <w:sz w:val="13"/>
                <w:szCs w:val="13"/>
                <w:color w:val="auto"/>
              </w:rPr>
            </w:pPr>
          </w:p>
        </w:tc>
        <w:tc>
          <w:tcPr>
            <w:tcW w:w="260" w:type="dxa"/>
            <w:vAlign w:val="bottom"/>
            <w:tcBorders>
              <w:top w:val="single" w:sz="8" w:color="0000EE"/>
            </w:tcBorders>
            <w:shd w:val="clear" w:color="auto" w:fill="CCEEFF"/>
          </w:tcPr>
          <w:p>
            <w:pPr>
              <w:spacing w:after="0"/>
              <w:rPr>
                <w:sz w:val="13"/>
                <w:szCs w:val="13"/>
                <w:color w:val="auto"/>
              </w:rPr>
            </w:pPr>
          </w:p>
        </w:tc>
        <w:tc>
          <w:tcPr>
            <w:tcW w:w="140" w:type="dxa"/>
            <w:vAlign w:val="bottom"/>
            <w:tcBorders>
              <w:top w:val="single" w:sz="8" w:color="0000EE"/>
            </w:tcBorders>
            <w:shd w:val="clear" w:color="auto" w:fill="CCEEFF"/>
          </w:tcPr>
          <w:p>
            <w:pPr>
              <w:spacing w:after="0"/>
              <w:rPr>
                <w:sz w:val="13"/>
                <w:szCs w:val="13"/>
                <w:color w:val="auto"/>
              </w:rPr>
            </w:pPr>
          </w:p>
        </w:tc>
        <w:tc>
          <w:tcPr>
            <w:tcW w:w="160" w:type="dxa"/>
            <w:vAlign w:val="bottom"/>
            <w:tcBorders>
              <w:top w:val="single" w:sz="8" w:color="0000EE"/>
            </w:tcBorders>
            <w:shd w:val="clear" w:color="auto" w:fill="CCEEFF"/>
          </w:tcPr>
          <w:p>
            <w:pPr>
              <w:spacing w:after="0"/>
              <w:rPr>
                <w:sz w:val="13"/>
                <w:szCs w:val="13"/>
                <w:color w:val="auto"/>
              </w:rPr>
            </w:pPr>
          </w:p>
        </w:tc>
        <w:tc>
          <w:tcPr>
            <w:tcW w:w="320" w:type="dxa"/>
            <w:vAlign w:val="bottom"/>
            <w:tcBorders>
              <w:top w:val="single" w:sz="8" w:color="0000EE"/>
            </w:tcBorders>
            <w:shd w:val="clear" w:color="auto" w:fill="CCEEFF"/>
          </w:tcPr>
          <w:p>
            <w:pPr>
              <w:spacing w:after="0"/>
              <w:rPr>
                <w:sz w:val="13"/>
                <w:szCs w:val="13"/>
                <w:color w:val="auto"/>
              </w:rPr>
            </w:pPr>
          </w:p>
        </w:tc>
        <w:tc>
          <w:tcPr>
            <w:tcW w:w="140" w:type="dxa"/>
            <w:vAlign w:val="bottom"/>
            <w:tcBorders>
              <w:top w:val="single" w:sz="8" w:color="0000EE"/>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65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80" w:type="dxa"/>
            <w:vAlign w:val="bottom"/>
            <w:gridSpan w:val="14"/>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Plan of Distribution</w:t>
              </w:r>
            </w:hyperlink>
          </w:p>
        </w:tc>
        <w:tc>
          <w:tcPr>
            <w:tcW w:w="6820" w:type="dxa"/>
            <w:vAlign w:val="bottom"/>
            <w:gridSpan w:val="4"/>
          </w:tcPr>
          <w:p>
            <w:pPr>
              <w:jc w:val="right"/>
              <w:ind w:right="10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80" w:type="dxa"/>
            <w:vAlign w:val="bottom"/>
            <w:gridSpan w:val="14"/>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Legal Matters</w:t>
              </w:r>
            </w:hyperlink>
          </w:p>
        </w:tc>
        <w:tc>
          <w:tcPr>
            <w:tcW w:w="682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0" w:type="dxa"/>
            <w:vAlign w:val="bottom"/>
            <w:tcBorders>
              <w:top w:val="single" w:sz="8" w:color="0000EE"/>
            </w:tcBorders>
            <w:shd w:val="clear" w:color="auto" w:fill="CCEEFF"/>
          </w:tcPr>
          <w:p>
            <w:pPr>
              <w:spacing w:after="0"/>
              <w:rPr>
                <w:sz w:val="13"/>
                <w:szCs w:val="13"/>
                <w:color w:val="auto"/>
              </w:rPr>
            </w:pPr>
          </w:p>
        </w:tc>
        <w:tc>
          <w:tcPr>
            <w:tcW w:w="140" w:type="dxa"/>
            <w:vAlign w:val="bottom"/>
            <w:tcBorders>
              <w:top w:val="single" w:sz="8" w:color="0000EE"/>
            </w:tcBorders>
            <w:shd w:val="clear" w:color="auto" w:fill="CCEEFF"/>
          </w:tcPr>
          <w:p>
            <w:pPr>
              <w:spacing w:after="0"/>
              <w:rPr>
                <w:sz w:val="13"/>
                <w:szCs w:val="13"/>
                <w:color w:val="auto"/>
              </w:rPr>
            </w:pPr>
          </w:p>
        </w:tc>
        <w:tc>
          <w:tcPr>
            <w:tcW w:w="22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65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80" w:type="dxa"/>
            <w:vAlign w:val="bottom"/>
            <w:gridSpan w:val="14"/>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Experts</w:t>
              </w:r>
            </w:hyperlink>
          </w:p>
        </w:tc>
        <w:tc>
          <w:tcPr>
            <w:tcW w:w="6820" w:type="dxa"/>
            <w:vAlign w:val="bottom"/>
            <w:gridSpan w:val="4"/>
          </w:tcPr>
          <w:p>
            <w:pPr>
              <w:jc w:val="right"/>
              <w:ind w:right="10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80" w:type="dxa"/>
            <w:vAlign w:val="bottom"/>
            <w:gridSpan w:val="14"/>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Where You Can Find More Information</w:t>
              </w:r>
            </w:hyperlink>
          </w:p>
        </w:tc>
        <w:tc>
          <w:tcPr>
            <w:tcW w:w="682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40" w:type="dxa"/>
            <w:vAlign w:val="bottom"/>
            <w:tcBorders>
              <w:top w:val="single" w:sz="8" w:color="0000EE"/>
            </w:tcBorders>
            <w:shd w:val="clear" w:color="auto" w:fill="CCEEFF"/>
          </w:tcPr>
          <w:p>
            <w:pPr>
              <w:spacing w:after="0"/>
              <w:rPr>
                <w:sz w:val="13"/>
                <w:szCs w:val="13"/>
                <w:color w:val="auto"/>
              </w:rPr>
            </w:pPr>
          </w:p>
        </w:tc>
        <w:tc>
          <w:tcPr>
            <w:tcW w:w="140" w:type="dxa"/>
            <w:vAlign w:val="bottom"/>
            <w:tcBorders>
              <w:top w:val="single" w:sz="8" w:color="0000EE"/>
            </w:tcBorders>
            <w:shd w:val="clear" w:color="auto" w:fill="CCEEFF"/>
          </w:tcPr>
          <w:p>
            <w:pPr>
              <w:spacing w:after="0"/>
              <w:rPr>
                <w:sz w:val="13"/>
                <w:szCs w:val="13"/>
                <w:color w:val="auto"/>
              </w:rPr>
            </w:pPr>
          </w:p>
        </w:tc>
        <w:tc>
          <w:tcPr>
            <w:tcW w:w="22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160" w:type="dxa"/>
            <w:vAlign w:val="bottom"/>
            <w:tcBorders>
              <w:top w:val="single" w:sz="8" w:color="0000EE"/>
            </w:tcBorders>
            <w:shd w:val="clear" w:color="auto" w:fill="CCEEFF"/>
          </w:tcPr>
          <w:p>
            <w:pPr>
              <w:spacing w:after="0"/>
              <w:rPr>
                <w:sz w:val="13"/>
                <w:szCs w:val="13"/>
                <w:color w:val="auto"/>
              </w:rPr>
            </w:pPr>
          </w:p>
        </w:tc>
        <w:tc>
          <w:tcPr>
            <w:tcW w:w="260" w:type="dxa"/>
            <w:vAlign w:val="bottom"/>
            <w:tcBorders>
              <w:top w:val="single" w:sz="8" w:color="0000EE"/>
            </w:tcBorders>
            <w:shd w:val="clear" w:color="auto" w:fill="CCEEFF"/>
          </w:tcPr>
          <w:p>
            <w:pPr>
              <w:spacing w:after="0"/>
              <w:rPr>
                <w:sz w:val="13"/>
                <w:szCs w:val="13"/>
                <w:color w:val="auto"/>
              </w:rPr>
            </w:pPr>
          </w:p>
        </w:tc>
        <w:tc>
          <w:tcPr>
            <w:tcW w:w="140" w:type="dxa"/>
            <w:vAlign w:val="bottom"/>
            <w:tcBorders>
              <w:top w:val="single" w:sz="8" w:color="0000EE"/>
            </w:tcBorders>
            <w:shd w:val="clear" w:color="auto" w:fill="CCEEFF"/>
          </w:tcPr>
          <w:p>
            <w:pPr>
              <w:spacing w:after="0"/>
              <w:rPr>
                <w:sz w:val="13"/>
                <w:szCs w:val="13"/>
                <w:color w:val="auto"/>
              </w:rPr>
            </w:pPr>
          </w:p>
        </w:tc>
        <w:tc>
          <w:tcPr>
            <w:tcW w:w="160" w:type="dxa"/>
            <w:vAlign w:val="bottom"/>
            <w:tcBorders>
              <w:top w:val="single" w:sz="8" w:color="0000EE"/>
            </w:tcBorders>
            <w:shd w:val="clear" w:color="auto" w:fill="CCEEFF"/>
          </w:tcPr>
          <w:p>
            <w:pPr>
              <w:spacing w:after="0"/>
              <w:rPr>
                <w:sz w:val="13"/>
                <w:szCs w:val="13"/>
                <w:color w:val="auto"/>
              </w:rPr>
            </w:pPr>
          </w:p>
        </w:tc>
        <w:tc>
          <w:tcPr>
            <w:tcW w:w="320" w:type="dxa"/>
            <w:vAlign w:val="bottom"/>
            <w:tcBorders>
              <w:top w:val="single" w:sz="8" w:color="0000EE"/>
            </w:tcBorders>
            <w:shd w:val="clear" w:color="auto" w:fill="CCEEFF"/>
          </w:tcPr>
          <w:p>
            <w:pPr>
              <w:spacing w:after="0"/>
              <w:rPr>
                <w:sz w:val="13"/>
                <w:szCs w:val="13"/>
                <w:color w:val="auto"/>
              </w:rPr>
            </w:pPr>
          </w:p>
        </w:tc>
        <w:tc>
          <w:tcPr>
            <w:tcW w:w="140" w:type="dxa"/>
            <w:vAlign w:val="bottom"/>
            <w:tcBorders>
              <w:top w:val="single" w:sz="8" w:color="0000EE"/>
            </w:tcBorders>
            <w:shd w:val="clear" w:color="auto" w:fill="CCEEFF"/>
          </w:tcPr>
          <w:p>
            <w:pPr>
              <w:spacing w:after="0"/>
              <w:rPr>
                <w:sz w:val="13"/>
                <w:szCs w:val="13"/>
                <w:color w:val="auto"/>
              </w:rPr>
            </w:pPr>
          </w:p>
        </w:tc>
        <w:tc>
          <w:tcPr>
            <w:tcW w:w="680" w:type="dxa"/>
            <w:vAlign w:val="bottom"/>
            <w:tcBorders>
              <w:top w:val="single" w:sz="8" w:color="0000EE"/>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65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80" w:type="dxa"/>
            <w:vAlign w:val="bottom"/>
            <w:gridSpan w:val="14"/>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Incorporation of Certain Information by Reference</w:t>
              </w:r>
            </w:hyperlink>
          </w:p>
        </w:tc>
        <w:tc>
          <w:tcPr>
            <w:tcW w:w="6820" w:type="dxa"/>
            <w:vAlign w:val="bottom"/>
            <w:gridSpan w:val="4"/>
          </w:tcPr>
          <w:p>
            <w:pPr>
              <w:jc w:val="right"/>
              <w:ind w:right="10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6890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6890385"/>
                    </a:xfrm>
                    <a:prstGeom prst="rect">
                      <a:avLst/>
                    </a:prstGeom>
                    <a:noFill/>
                  </pic:spPr>
                </pic:pic>
              </a:graphicData>
            </a:graphic>
          </wp:anchor>
        </w:drawing>
        <w:t>ABOUT THIS PROSPECTUS SUPPLEMENT</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This document is in two parts. The first part is this prospectus supplement, which describes the specific terms of the Common Stock we are offering. The second part, the accompanying prospectus dated June 25, 2019, gives more general information about our Common Stock. You should read this prospectus supplement and the accompanying prospectus, including the information incorporated by reference and any free writing prospectuses we have authorized for use in connection with this offering, in their entirety before making an investment decision.</w:t>
      </w:r>
    </w:p>
    <w:p>
      <w:pPr>
        <w:spacing w:after="0" w:line="17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have not authorized anyone to provide any information other than that contained or incorporated by reference in this prospectus supplement, the accompanying prospectus or in any free writing prospectus that we have authorized for use in connection with this offering. We take no responsibility for, and can provide no assurance as to the reliability of, any other information that others may give you. 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The information contained in this prospectus supplement, the accompanying prospectus, any free writing prospectus that we have authorized for use in connection with this offering, including the documents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the accompanying prospectus and any free writing prospectus that we have authorized for use in connection with this offering,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prospectus.</w:t>
      </w:r>
    </w:p>
    <w:p>
      <w:pPr>
        <w:spacing w:after="0" w:line="188" w:lineRule="exact"/>
        <w:rPr>
          <w:sz w:val="20"/>
          <w:szCs w:val="20"/>
          <w:color w:val="auto"/>
        </w:rPr>
      </w:pPr>
    </w:p>
    <w:p>
      <w:pPr>
        <w:ind w:right="1200" w:firstLine="648"/>
        <w:spacing w:after="0" w:line="277" w:lineRule="auto"/>
        <w:rPr>
          <w:sz w:val="20"/>
          <w:szCs w:val="20"/>
          <w:color w:val="auto"/>
        </w:rPr>
      </w:pPr>
      <w:r>
        <w:rPr>
          <w:rFonts w:ascii="Arial" w:cs="Arial" w:eastAsia="Arial" w:hAnsi="Arial"/>
          <w:sz w:val="18"/>
          <w:szCs w:val="18"/>
          <w:color w:val="auto"/>
        </w:rPr>
        <w:t>Unless the context requires otherwise, references to “we,” “us,” “our,” “the company” and “Marker Therapeutics” refer to Marker Therapeutics, Inc., formerly known as TapImmune, Inc., and its subsidiaries.</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This prospectus supplement and the accompanying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supplement and the accompanying prospectus and the documents incorporated herein by reference, these estimates involve risks and uncertainties and are subject to change based on various factors, including those discussed under the heading “Risk Factors” in this prospectus supplement and any related free writing prospectus, and under similar headings in the other documents that are incorporated by reference into this prospectus supplement and the accompanying prospectus. Accordingly, you should not place undue reliance on this information.</w:t>
      </w:r>
    </w:p>
    <w:p>
      <w:pPr>
        <w:spacing w:after="0" w:line="17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This prospectus supplement and the accompanying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More Information.”</w:t>
      </w:r>
    </w:p>
    <w:p>
      <w:pPr>
        <w:spacing w:after="0" w:line="188"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further note that the representations, warranties and covenants made by us in any agreement that is filed as an exhibit or incorporated by reference to the registration statement of which this prospectus supplement and accompanying prospectus form a part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5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This prospectus supplement and the accompanying prospectus, including the information incorporated by reference into this prospectus supplement and the accompanying prospectus, include trademarks, service marks and trade names owned by us or others. All trademarks used herein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40" w:top="1134" w:right="35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7301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7301865"/>
                    </a:xfrm>
                    <a:prstGeom prst="rect">
                      <a:avLst/>
                    </a:prstGeom>
                    <a:noFill/>
                  </pic:spPr>
                </pic:pic>
              </a:graphicData>
            </a:graphic>
          </wp:anchor>
        </w:drawing>
        <w:t>PROSPECTUS SUPPLEMENT SUMMARY</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This summary highlights certain information about us, this offering and information appearing elsewhere in this prospectus supplement, in the accompanying prospectus and in the documents we incorporate by reference. This summary is not complete and does not contain all of the information that you should consider before making an investment decision. To fully understand this offering and its consequences to you, you should read this entire prospectus supplement and the accompanying prospectus carefully, including the factors described under the heading “Risk Factors” in this prospectus supplement beginning on page S-6 and page 5 of the accompanying prospectus, together with any free writing prospectus we have authorized for use in connection with this offering and the financial statements and all other information incorporated by reference in this prospectus supplement and the accompanying prospectus.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are a clinical-stage immuno-oncology company specializing in the development and commercialization of novel T cell-based immunotherapies and innovative peptide-based vaccines for the treatment of hematological malignancies and solid tumor indications. We developed our lead product candidates from our MultiTAA-specific T cell technology, which is based on the selective expansion of non-engineered, tumor-specific T cells that recognize tumor associated antigens, or TAAs, which are tumor targets, and then kill tumor cells expressing those targets. These T cells are designed to recognize multiple tumor targets to produce broad spectrum anti-tumor activity. We are advancing two pipelines of product candidates as part of our MultiTAA-specific T cell program: the autologous T cells for the treatment of lymphoma, multiple myeloma, or MM, and selected solid tumors and the allogeneic T cells for the treatment of acute myeloid leukemia, or AML, and acute lymphoblastic leukemia, or ALL. Because we do not genetically engineer the MultiTAA-specific T cell therapies, we believe that our product candidates are easier and less expensive to manufacture, with reduced toxicities, than current engineered chimeric antigen receptor, or CAR-T, and T cell receptor-based therapies and may provide patients with meaningful clinical benefit. We are also developing innovative peptide-based immunotherapeutic vaccines for the treatment of metastatic solid tumors.</w:t>
      </w:r>
    </w:p>
    <w:p>
      <w:pPr>
        <w:spacing w:after="0" w:line="16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are pursuing post-transplant AML as the lead indication for our first company-sponsored MultiTAA-specific T cell program. The MultiTAA-specific T cell therapy has been well tolerated in an ongoing Phase 1/2 clinical trial conducted by our strategic partner Baylor College of Medicine, or BCM. As reported in March 2019, eleven of the thirteen patients in the adjuvant disease setting dosed with the MultiTAA-specific T cell therapy after receiving an allogeneic stem cell transplant survived, ranging from 6 weeks to 2.5 years post-infusion, with nine of these remaining patients in continuing complete remission. Survival of the six patients with active disease ranged from 4 to 21 months, as compared to a historical survival rate of approximately 4.5 months for patients who receive the standard of care post-transplant.</w:t>
      </w:r>
    </w:p>
    <w:p>
      <w:pPr>
        <w:spacing w:after="0" w:line="19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submitted an investigational new drug application to the United States Food and Drug Administration, or the FDA, to initiate a Phase 2 clinical trial of MultiTAA-specific T cell therapy, which we refer to as MT-401, in post-allogeneic hematopoietic stem cell transplant patients with AML in both the adjuvant and active disease setting, which may become pivotal pending the results of the interim analysis. The dose administered in this multicenter trial is the current maximum tolerated dose from the ongoing Phase 1/2 trial. In the adjuvant setting, patients will be randomized to either MultiTAA-specific T cell therapy at approximately 90 days post-transplant versus standard of care observation, while the active disease patients will receive MT-401 following relapse post-transplant as part of a single-arm group. In February 2020, we announced that the FDA has permitted us to initiate our Phase 2 clinical trial beginning with a safety lead-in portion of the trial.</w:t>
      </w:r>
    </w:p>
    <w:p>
      <w:pPr>
        <w:spacing w:after="0" w:line="17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recently reported interim data for an ongoing Phase 1/2 clinical trial of the MultiTAA-specific T cell therapy for the treatment of pancreatic adenocarcinoma being conducted by BCM. In this trial, we have observed a clinical benefit correlated with the post-infusion detection of tumor-reactive T cells in patient peripheral blood and within tumor biopsy samples in patients in the tumor-resection arm of the trial. These T cells exhibited activity against both targeted antigens and non-targeted TAAs, indicating induction of antigen spreading. To date, we have not observed any drug-related systemic or neurotoxicity in this trial.</w:t>
      </w:r>
    </w:p>
    <w:p>
      <w:pPr>
        <w:spacing w:after="0" w:line="18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are also evaluating the MultiTAA-specific T cell therapies in a Phase 2 clinical trial for the treatment of breast cancer and in Phase 1 clinical trials for the treatment of ALL, lymphoma, MM and sarcoma, all of which are being conducted by BCM. As of December 2019, the MultiTAA-specific T cell therapies have been generally well tolerated by all of the patients enrolled in clinical trials in hematological and solid tumor indications with no incidents of cytokine release syndrome or neurotoxicity, which are frequently associated with CD19 CAR-T therapies. Based on our observations in clinical trials in AML, pancreatic cancer, lymphoma, ALL and MM, we believe that the MultiTAA-specific T cell therapies have the potential to mediate a meaningful anti-tumor effect, as well as significant in vivo expansion of T cells. We may initiate additional Phase 2 clinical trials investigating other indications in 2020 in addition to our planned Phase 2 trial in post-transplant AML patients.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40" w:top="1134" w:right="359" w:bottom="1440" w:gutter="0" w:footer="0" w:header="0"/>
        </w:sectPr>
      </w:pPr>
    </w:p>
    <w:bookmarkStart w:id="4" w:name="page5"/>
    <w:bookmarkEnd w:id="4"/>
    <w:p>
      <w:pPr>
        <w:ind w:right="100" w:firstLine="648"/>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5612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5612765"/>
                    </a:xfrm>
                    <a:prstGeom prst="rect">
                      <a:avLst/>
                    </a:prstGeom>
                    <a:noFill/>
                  </pic:spPr>
                </pic:pic>
              </a:graphicData>
            </a:graphic>
          </wp:anchor>
        </w:drawing>
        <w:t>We believe that our therapies present promising innovations in immuno-oncology. We developed the MultiTAA-specific T cell therapy in collaboration with the Cell and Gene Therapy Center at BCM, which was founded by Dr. Malcolm K. Brenner, M.D., Ph.D., a recognized pioneer in immuno-oncology. BCM remains an important strategic partner and conducts early-stage clinical trials of the MultiTAA-specific T cell therapies pursuant to a sponsored research agreement. Our cell therapy founders include Drs. Brenner, Ann Leen, Ph.D., Juan Vera, M.D., Helen Heslop, M.D., DSc (Hon) and Cliona Rooney, Ph.D., who all have significant experience in this field. Drs. Brenner, Heslop, Rooney, James P. Allison and Padmanee Sharma serve on our Scientific Advisory Board.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clinical-stage pipeline, including clinical trials being conducted by BCM and other partners,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We were incorporated under the laws of the State of Nevada in 1991 under the name “TapImmune, Inc.” and reincorporated in Delaware in October 2018 under the name “Marker Therapeutics, Inc.” On October 17, 2018, we completed a business combination with a Delaware corporation that was then known as “Marker Therapeutics, Inc.,” or Private Marker, in accordance with the terms of the Agreement and Plan of Merger and Reorganization dated as of May 15, 2018, or the Merger Agreement, by and among us, Private Marker and Timberwolf Merger Sub, Inc., a Delaware corporation and a wholly owned subsidiary of TapImmune, or Merger Sub, pursuant to which, among other matters, Merger Sub merged with and into Private Marker, with Private Marker continuing as a wholly owned subsidiary of TapImmune and the surviving corporation of the merger. In connection with the merger, we changed our name from “TapImmune, Inc.” to “Marker Therapeutics, Inc.” and Private Marker changed its name to “Marker Cell Therapy, Inc.” and became our wholly owned subsidiary. Our principal executive offices are located at 3200 Southwest Freeway, Suite 2240, Houston, Texas 77027, and our telephone number is (713) 400-6400. Our website is located at </w:t>
      </w:r>
      <w:r>
        <w:rPr>
          <w:rFonts w:ascii="Arial" w:cs="Arial" w:eastAsia="Arial" w:hAnsi="Arial"/>
          <w:sz w:val="16"/>
          <w:szCs w:val="16"/>
          <w:i w:val="1"/>
          <w:iCs w:val="1"/>
          <w:color w:val="auto"/>
        </w:rPr>
        <w:t>http://www.markertherapeutics.com</w:t>
      </w:r>
      <w:r>
        <w:rPr>
          <w:rFonts w:ascii="Arial" w:cs="Arial" w:eastAsia="Arial" w:hAnsi="Arial"/>
          <w:sz w:val="16"/>
          <w:szCs w:val="16"/>
          <w:color w:val="auto"/>
        </w:rPr>
        <w:t>. We do not incorporate by reference into this prospectus the information on, or accessible through, our website, and you should not consider it as part of this prospectus.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40" w:top="1138"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1264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1264920"/>
                    </a:xfrm>
                    <a:prstGeom prst="rect">
                      <a:avLst/>
                    </a:prstGeom>
                    <a:noFill/>
                  </pic:spPr>
                </pic:pic>
              </a:graphicData>
            </a:graphic>
          </wp:anchor>
        </w:drawing>
        <w:t>Implications of Being a Smaller Reporting Company</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a “smaller reporting company” (and may continue to qualify as such even after we no longer qualify as an emerging growth company) and accordingly may provide less public disclosure than larger public companies, including the inclusion of only two years of audited financial statements and only two years of related selected financial data and management’s discussion and analysis of financial condition and results of operations disclosure.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340" w:top="1134" w:right="39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55181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5518150"/>
                    </a:xfrm>
                    <a:prstGeom prst="rect">
                      <a:avLst/>
                    </a:prstGeom>
                    <a:noFill/>
                  </pic:spPr>
                </pic:pic>
              </a:graphicData>
            </a:graphic>
          </wp:anchor>
        </w:drawing>
        <w:t>The Offering</w:t>
      </w:r>
    </w:p>
    <w:p>
      <w:pPr>
        <w:sectPr>
          <w:pgSz w:w="11900" w:h="16838" w:orient="portrait"/>
          <w:cols w:equalWidth="0" w:num="1">
            <w:col w:w="11160"/>
          </w:cols>
          <w:pgMar w:left="340" w:top="1134" w:right="39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offered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Up to $30,000,000 of shares of Common Stock plus 345,357 Commitment Shares</w:t>
      </w:r>
    </w:p>
    <w:p>
      <w:pPr>
        <w:spacing w:after="0" w:line="170" w:lineRule="exact"/>
        <w:rPr>
          <w:sz w:val="20"/>
          <w:szCs w:val="20"/>
          <w:color w:val="auto"/>
        </w:rPr>
      </w:pPr>
    </w:p>
    <w:p>
      <w:pPr>
        <w:sectPr>
          <w:pgSz w:w="11900" w:h="16838" w:orient="portrait"/>
          <w:cols w:equalWidth="0" w:num="2">
            <w:col w:w="4660" w:space="720"/>
            <w:col w:w="5780"/>
          </w:cols>
          <w:pgMar w:left="340" w:top="1134" w:right="399" w:bottom="1440" w:gutter="0" w:footer="0" w:header="0"/>
          <w:type w:val="continuous"/>
        </w:sectPr>
      </w:pPr>
    </w:p>
    <w:p>
      <w:pPr>
        <w:spacing w:after="0"/>
        <w:rPr>
          <w:sz w:val="20"/>
          <w:szCs w:val="20"/>
          <w:color w:val="auto"/>
        </w:rPr>
      </w:pPr>
      <w:r>
        <w:rPr>
          <w:rFonts w:ascii="Arial" w:cs="Arial" w:eastAsia="Arial" w:hAnsi="Arial"/>
          <w:sz w:val="16"/>
          <w:szCs w:val="16"/>
          <w:color w:val="auto"/>
        </w:rPr>
        <w:t>Common Stock to be outstanding after the offering</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7"/>
          <w:szCs w:val="17"/>
          <w:color w:val="auto"/>
        </w:rPr>
        <w:t>Up to 58,522,320 shares, assuming the issuance of 345,357 Commitment Shares and sales of 12,448,132 shares of Common Stock at an assumed price of $2.41 per share, which was the closing price of our Common Stock on The Nasdaq Global Market on February 27, 2020. The actual number of shares issued will vary depending on the sales prices under this offering.</w:t>
      </w:r>
    </w:p>
    <w:p>
      <w:pPr>
        <w:spacing w:after="0" w:line="173" w:lineRule="exact"/>
        <w:rPr>
          <w:sz w:val="20"/>
          <w:szCs w:val="20"/>
          <w:color w:val="auto"/>
        </w:rPr>
      </w:pPr>
    </w:p>
    <w:p>
      <w:pPr>
        <w:sectPr>
          <w:pgSz w:w="11900" w:h="16838" w:orient="portrait"/>
          <w:cols w:equalWidth="0" w:num="2">
            <w:col w:w="4660" w:space="720"/>
            <w:col w:w="5780"/>
          </w:cols>
          <w:pgMar w:left="340" w:top="1134" w:right="399" w:bottom="1440" w:gutter="0" w:footer="0" w:header="0"/>
          <w:type w:val="continuous"/>
        </w:sectPr>
      </w:pPr>
    </w:p>
    <w:p>
      <w:pPr>
        <w:spacing w:after="0"/>
        <w:rPr>
          <w:sz w:val="20"/>
          <w:szCs w:val="20"/>
          <w:color w:val="auto"/>
        </w:rPr>
      </w:pPr>
      <w:r>
        <w:rPr>
          <w:rFonts w:ascii="Arial" w:cs="Arial" w:eastAsia="Arial" w:hAnsi="Arial"/>
          <w:sz w:val="16"/>
          <w:szCs w:val="16"/>
          <w:color w:val="auto"/>
        </w:rPr>
        <w:t>Manner of offering</w:t>
      </w:r>
    </w:p>
    <w:p>
      <w:pPr>
        <w:spacing w:after="0" w:line="20" w:lineRule="exact"/>
        <w:rPr>
          <w:sz w:val="20"/>
          <w:szCs w:val="20"/>
          <w:color w:val="auto"/>
        </w:rPr>
      </w:pPr>
      <w:r>
        <w:rPr>
          <w:sz w:val="20"/>
          <w:szCs w:val="20"/>
          <w:color w:val="auto"/>
        </w:rPr>
        <w:br w:type="column"/>
      </w:r>
    </w:p>
    <w:p>
      <w:pPr>
        <w:jc w:val="both"/>
        <w:ind w:right="40"/>
        <w:spacing w:after="0" w:line="276" w:lineRule="auto"/>
        <w:rPr>
          <w:sz w:val="20"/>
          <w:szCs w:val="20"/>
          <w:color w:val="auto"/>
        </w:rPr>
      </w:pPr>
      <w:r>
        <w:rPr>
          <w:rFonts w:ascii="Arial" w:cs="Arial" w:eastAsia="Arial" w:hAnsi="Arial"/>
          <w:sz w:val="17"/>
          <w:szCs w:val="17"/>
          <w:color w:val="auto"/>
        </w:rPr>
        <w:t>Issuance of 345,357 Commitment Shares to Aspire Capital in consideration for entering into the Purchase Agreement and additional Purchase Shares to Aspire Capital from time to time, subject to certain minimum stock price requirements, and daily and other caps, for an aggregate offering price of up to $30,000,000. See “The Aspire Transaction” and “Plan of Distribution.”</w:t>
      </w:r>
    </w:p>
    <w:p>
      <w:pPr>
        <w:spacing w:after="0" w:line="173" w:lineRule="exact"/>
        <w:rPr>
          <w:sz w:val="20"/>
          <w:szCs w:val="20"/>
          <w:color w:val="auto"/>
        </w:rPr>
      </w:pPr>
    </w:p>
    <w:p>
      <w:pPr>
        <w:sectPr>
          <w:pgSz w:w="11900" w:h="16838" w:orient="portrait"/>
          <w:cols w:equalWidth="0" w:num="2">
            <w:col w:w="4660" w:space="720"/>
            <w:col w:w="5780"/>
          </w:cols>
          <w:pgMar w:left="340" w:top="1134" w:right="39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500"/>
        <w:spacing w:after="0" w:line="277" w:lineRule="auto"/>
        <w:rPr>
          <w:sz w:val="20"/>
          <w:szCs w:val="20"/>
          <w:color w:val="auto"/>
        </w:rPr>
      </w:pPr>
      <w:r>
        <w:rPr>
          <w:rFonts w:ascii="Arial" w:cs="Arial" w:eastAsia="Arial" w:hAnsi="Arial"/>
          <w:sz w:val="18"/>
          <w:szCs w:val="18"/>
          <w:color w:val="auto"/>
        </w:rPr>
        <w:t>We currently expect to use the net proceeds from this offering for general corporate purposes, including working capital.</w:t>
      </w:r>
    </w:p>
    <w:p>
      <w:pPr>
        <w:spacing w:after="0" w:line="170" w:lineRule="exact"/>
        <w:rPr>
          <w:sz w:val="20"/>
          <w:szCs w:val="20"/>
          <w:color w:val="auto"/>
        </w:rPr>
      </w:pPr>
    </w:p>
    <w:p>
      <w:pPr>
        <w:sectPr>
          <w:pgSz w:w="11900" w:h="16838" w:orient="portrait"/>
          <w:cols w:equalWidth="0" w:num="2">
            <w:col w:w="4660" w:space="720"/>
            <w:col w:w="5780"/>
          </w:cols>
          <w:pgMar w:left="340" w:top="1134" w:right="39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See “Risk Factors” beginning on page S-6 for a discussion of factors you should consider before buying shares of our Common Stock.</w:t>
      </w:r>
    </w:p>
    <w:p>
      <w:pPr>
        <w:spacing w:after="0" w:line="170" w:lineRule="exact"/>
        <w:rPr>
          <w:sz w:val="20"/>
          <w:szCs w:val="20"/>
          <w:color w:val="auto"/>
        </w:rPr>
      </w:pPr>
    </w:p>
    <w:p>
      <w:pPr>
        <w:sectPr>
          <w:pgSz w:w="11900" w:h="16838" w:orient="portrait"/>
          <w:cols w:equalWidth="0" w:num="2">
            <w:col w:w="4660" w:space="720"/>
            <w:col w:w="5780"/>
          </w:cols>
          <w:pgMar w:left="340" w:top="1134" w:right="399" w:bottom="1440" w:gutter="0" w:footer="0" w:header="0"/>
          <w:type w:val="continuous"/>
        </w:sectPr>
      </w:pPr>
    </w:p>
    <w:p>
      <w:pPr>
        <w:spacing w:after="0"/>
        <w:rPr>
          <w:sz w:val="20"/>
          <w:szCs w:val="20"/>
          <w:color w:val="auto"/>
        </w:rPr>
      </w:pPr>
      <w:r>
        <w:rPr>
          <w:rFonts w:ascii="Arial" w:cs="Arial" w:eastAsia="Arial" w:hAnsi="Arial"/>
          <w:sz w:val="16"/>
          <w:szCs w:val="16"/>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“MRKR”</w:t>
      </w:r>
    </w:p>
    <w:p>
      <w:pPr>
        <w:spacing w:after="0" w:line="200" w:lineRule="exact"/>
        <w:rPr>
          <w:sz w:val="20"/>
          <w:szCs w:val="20"/>
          <w:color w:val="auto"/>
        </w:rPr>
      </w:pPr>
    </w:p>
    <w:p>
      <w:pPr>
        <w:sectPr>
          <w:pgSz w:w="11900" w:h="16838" w:orient="portrait"/>
          <w:cols w:equalWidth="0" w:num="2">
            <w:col w:w="4660" w:space="720"/>
            <w:col w:w="5780"/>
          </w:cols>
          <w:pgMar w:left="340" w:top="1134" w:right="399" w:bottom="1440" w:gutter="0" w:footer="0" w:header="0"/>
          <w:type w:val="continuous"/>
        </w:sectPr>
      </w:pPr>
    </w:p>
    <w:p>
      <w:pPr>
        <w:spacing w:after="0" w:line="25" w:lineRule="exact"/>
        <w:rPr>
          <w:sz w:val="20"/>
          <w:szCs w:val="20"/>
          <w:color w:val="auto"/>
        </w:rPr>
      </w:pPr>
    </w:p>
    <w:p>
      <w:pPr>
        <w:ind w:left="20" w:right="100" w:firstLine="635"/>
        <w:spacing w:after="0" w:line="277" w:lineRule="auto"/>
        <w:rPr>
          <w:sz w:val="20"/>
          <w:szCs w:val="20"/>
          <w:color w:val="auto"/>
        </w:rPr>
      </w:pPr>
      <w:r>
        <w:rPr>
          <w:rFonts w:ascii="Arial" w:cs="Arial" w:eastAsia="Arial" w:hAnsi="Arial"/>
          <w:sz w:val="18"/>
          <w:szCs w:val="18"/>
          <w:color w:val="auto"/>
        </w:rPr>
        <w:t>The number of shares of Common Stock to be outstanding after the offering is based on 45,728,831 shares outstanding as of December 31, 2019 and excludes:</w:t>
      </w:r>
    </w:p>
    <w:p>
      <w:pPr>
        <w:spacing w:after="0" w:line="170" w:lineRule="exact"/>
        <w:rPr>
          <w:sz w:val="20"/>
          <w:szCs w:val="20"/>
          <w:color w:val="auto"/>
        </w:rPr>
      </w:pPr>
    </w:p>
    <w:p>
      <w:pPr>
        <w:ind w:left="720" w:right="120" w:hanging="317"/>
        <w:spacing w:after="0" w:line="277"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4,983,314 shares of our common stock issuable upon the exercise of stock options outstanding as of December 31, 2019, at a weighted-average exercise price of $7.79 per share;</w:t>
      </w:r>
    </w:p>
    <w:p>
      <w:pPr>
        <w:spacing w:after="0" w:line="170" w:lineRule="exact"/>
        <w:rPr>
          <w:rFonts w:ascii="Arial" w:cs="Arial" w:eastAsia="Arial" w:hAnsi="Arial"/>
          <w:sz w:val="18"/>
          <w:szCs w:val="18"/>
          <w:color w:val="auto"/>
        </w:rPr>
      </w:pPr>
    </w:p>
    <w:p>
      <w:pPr>
        <w:ind w:left="720" w:right="360" w:hanging="317"/>
        <w:spacing w:after="0" w:line="277"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22,664,000 shares of our common stock issuable upon the exercise of warrants outstanding as of December 31, 2019, at a weighted-average exercise price of $4.71 per share; and</w:t>
      </w:r>
    </w:p>
    <w:p>
      <w:pPr>
        <w:spacing w:after="0" w:line="170" w:lineRule="exact"/>
        <w:rPr>
          <w:rFonts w:ascii="Arial" w:cs="Arial" w:eastAsia="Arial" w:hAnsi="Arial"/>
          <w:sz w:val="18"/>
          <w:szCs w:val="18"/>
          <w:color w:val="auto"/>
        </w:rPr>
      </w:pPr>
    </w:p>
    <w:p>
      <w:pPr>
        <w:ind w:left="720" w:hanging="317"/>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2,493,036 shares of our common stock reserved for future issuance under our 2014 Omnibus Stock Ownership Plan.</w:t>
      </w:r>
    </w:p>
    <w:p>
      <w:pPr>
        <w:spacing w:after="0" w:line="225" w:lineRule="exact"/>
        <w:rPr>
          <w:sz w:val="20"/>
          <w:szCs w:val="20"/>
          <w:color w:val="auto"/>
        </w:rPr>
      </w:pPr>
    </w:p>
    <w:p>
      <w:pPr>
        <w:ind w:left="20" w:right="560" w:firstLine="635"/>
        <w:spacing w:after="0" w:line="277" w:lineRule="auto"/>
        <w:rPr>
          <w:sz w:val="20"/>
          <w:szCs w:val="20"/>
          <w:color w:val="auto"/>
        </w:rPr>
      </w:pPr>
      <w:r>
        <w:rPr>
          <w:rFonts w:ascii="Arial" w:cs="Arial" w:eastAsia="Arial" w:hAnsi="Arial"/>
          <w:sz w:val="18"/>
          <w:szCs w:val="18"/>
          <w:color w:val="auto"/>
        </w:rPr>
        <w:t>Unless otherwise noted, the information in this prospectus supplement reflects and assumes no exercise of outstanding options or warrants subsequent to December 31,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340" w:top="1134" w:right="39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This prospectus supplement does not describe all of those risks. You should consider the risk factors described in this prospectus under the caption “Risks Related to This Offering and Our Common Stock” below, as well as the those described under the caption “Risk Factors” in the documents incorporated by reference herein, including our most recent Annual Report on Form 10-K and subsequent Quarterly Reports on Form 10-Q as filed with the Securities and Exchange Commission, or SEC, together with the other information contained or incorporated by reference in this prospectus supplement and the accompanying prospectus, and in any free writing prospectus that we have authorized for use in connection with this offering, before making an investment decision. Each of the risk factors could adversely affect our business, results of operations, financial condition and cash flows, as well as adversely affect the value of an investment in our Common Stock, and the occurrence of any of these risks might cause you to lose all or part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Sales of our Common Stock to Aspire Capital may cause substantial dilution to our existing stockholders and the sale of the shares of our Common Stock acquired by Aspire Capital could cause the price of our Common Stock to decline.</w:t>
      </w:r>
    </w:p>
    <w:p>
      <w:pPr>
        <w:spacing w:after="0" w:line="17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This prospectus supplement relates to the 345,357 Commitment Shares and the Purchase Shares that we may issue and sell to Aspire Capital from time to time pursuant to the Purchase Agreement. It is anticipated that the Purchase Shares offered to Aspire Capital in this offering will be sold over a period of up to 30 months from the date of this prospectus supplement. The number of shares ultimately offered for sale to Aspire Capital under this prospectus supplement is dependent upon the number of shares we elect to sell to Aspire Capital under the Purchase Agreement. Depending upon market liquidity at the time, sales of shares of our Common Stock under the Purchase Agreement may cause the trading price of our Common Stock to decline.</w:t>
      </w:r>
    </w:p>
    <w:p>
      <w:pPr>
        <w:spacing w:after="0" w:line="158" w:lineRule="exact"/>
        <w:rPr>
          <w:sz w:val="20"/>
          <w:szCs w:val="20"/>
          <w:color w:val="auto"/>
        </w:rPr>
      </w:pPr>
    </w:p>
    <w:p>
      <w:pPr>
        <w:jc w:val="both"/>
        <w:ind w:right="60" w:firstLine="648"/>
        <w:spacing w:after="0" w:line="285" w:lineRule="auto"/>
        <w:rPr>
          <w:sz w:val="20"/>
          <w:szCs w:val="20"/>
          <w:color w:val="auto"/>
        </w:rPr>
      </w:pPr>
      <w:r>
        <w:rPr>
          <w:rFonts w:ascii="Arial" w:cs="Arial" w:eastAsia="Arial" w:hAnsi="Arial"/>
          <w:sz w:val="16"/>
          <w:szCs w:val="16"/>
          <w:color w:val="auto"/>
        </w:rPr>
        <w:t>Aspire Capital may ultimately purchase all, some or none of the shares of Common Stock that, together with the Commitment Shares, is the subject of this prospectus supplement. After Aspire Capital has acquired shares under the Purchase Agreement, it may sell all, some or none of those shares. Sales to Aspire Capital by us pursuant to the Purchase Agreement under this prospectus supplement may result in substantial dilution to the interests of other holders of our Common Stock. The sale of a substantial number of shares of our Common Stock to Aspire Capital in this offering, or anticipation of such sales, could make it more difficult for us to sell equity or equity-related securities in the future at a time and at a price that we might otherwise wish to effect sales.</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However, we have the right to control the timing and amount of any sales of our shares to Aspire Capital and the Purchase Agreement may be terminated by us at any time at our discretion without any cost to us.</w:t>
      </w:r>
    </w:p>
    <w:p>
      <w:pPr>
        <w:spacing w:after="0" w:line="18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a right to sell up to 100,000 Purchase Shares per day under our Purchase Agreement with Aspire Capital, which total may be increased by mutual agreement up to an additional 2,000,000 Purchase Shares per day. The extent to which we rely on Aspire Capital as a source of funding will depend on a number of factors, including the prevailing market price of our Common Stock and the extent to which we are able to secure working capital from other sources. The aggregate number of shares that we can sell to Aspire Capital under the Purchase Agreement may in no case exceed 9,232,814 shares of our Common Stock (which is equal to approximately 19.99% of the Common Stock outstanding on the date of the Purchase Agreement), including the Commitment Shares, or the Exchange Cap, unless stockholder approval is obtained to issue more, in which case the Exchange Cap will not apply.</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Future sales of a significant number of shares of our Common Stock in the public markets, or the perception that such sales could occur, could depress the market price of shares of our Common Stock.</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Sales of a substantial number of our shares of Common Stock in the public markets, or the perception that such sales could occur, could depress the market price of our shares of Common Stock and impair our ability to raise capital through the sale of additional equity securities. A substantial number of shares of Common Stock are being offered by this prospectus supplement, and we cannot predict if and when Aspire Capital may sell such shares in the public markets. We cannot predict the number of these shares that might be sold nor the effect that future sales of our shares of Common Stock would have on the market price of our shares of Common Stock.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8" w:name="page9"/>
    <w:bookmarkEnd w:id="8"/>
    <w:p>
      <w:pPr>
        <w:ind w:right="8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proceeds from this offering and may invest or spend the proceeds in ways with which you do not agree and in ways that may not yield a return.</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will have broad discretion over the use of proceeds from this offering. You may not agree with our decisions, and our use of the proceeds may not yield any return on your investment in us. Our failure to apply the net proceeds of this offering effectively could result in financial losses that could materially impair our ability to pursue our growth strategy, cause the price of our Common Stock to decline, delay development of our product candidates, or require us to raise additional capital.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subsequent financings may adversely impact our stockholders.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To finance our future business plans and working capital needs, we will have to raise funds through the issuance of equity or debt securities in addition to sales in the Aspire transaction. Depending on the type and the terms of any financing we pursue, stockholders’ rights and the value of their investment in our Common Stock could be reduced. A financing could involve one or more types of securities including common stock, convertible debt or warrants to acquire common stock. These securities could be issued at or below the then prevailing market price for our Common Stock. In addition, if we issue secured debt securities, the holders of the debt would have a claim to our assets that would be senior to the rights of stockholders until the debt is paid. Interest on these debt securities would increase costs and negatively impact operating results. If the issuance of new securities results in diminished rights to holders of our Common Stock, the market price of our Common Stock could be negatively impacted.</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any return to investors is expected to come, if at all, only from potential increases in the price of our Common Stock.</w:t>
      </w:r>
    </w:p>
    <w:p>
      <w:pPr>
        <w:spacing w:after="0" w:line="17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At the present time, we intend to use available funds to finance our operations. Accordingly, while payment of dividends rests within the discretion of our board of directors, we have no intention of paying any such dividends in the foreseeable future. Any return to investors is expected to come, if at all, only from potential increases in the price of our Common Stock.</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This prospectus supplement, the accompanying prospectus and the documents we have filed with the SEC that are incorporated by reference contain “forward-looking statements” within the meaning of Section 27A of the Securities Act of 1933, as amended, or the Securities Act, and Section 21E of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193" w:lineRule="exact"/>
        <w:rPr>
          <w:sz w:val="20"/>
          <w:szCs w:val="20"/>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progress and results of clinical trials of MultiTAA-specific T cell therapies and our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any submission of filings for regulatory approval of product candidates and our ability to obtain and maintain regulatory approvals for product candidates for any indication;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commercialize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product candidates;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market acceptance and opportunity for and clinical utility of product candidates, if approved for commercial use;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manufacturing capabilities and strategy, including the ease, scalability and commercial viability of our manufacturing methods and processes;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scope of any approved indications for product candidates;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benefits of and our ability to maintain our relationships and collaborations with the Baylor College of Medicine and other potential collaboration or strategic relationships;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use the MultiTAA-specific T cell platform to develop future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estimates of our expenses, ongoing losses, future revenue, capital requirements and our needs for or ability to obtain additional funding;</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position for our product candidates, and the scope of such protection;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competitive position and the development of and projections relating to our competitors or our industry;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in any free writing prospectuses we may authorize for use in connection with this offering, and in our most recent Annual Report on Form 10-K and in our most recent Quarterly Report on Form 10-Q, as well as any amendments thereto reflected in subsequent filings with the SEC, which are incorporated by reference into this prospectus supplement and accompanying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supplement and the accompanying prospectus,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will retain broad discretion over the use of the net proceeds from this offering. We currently expect to use the net proceeds from this offering for working capital and general corporate purposes. Pending the application of the net proceeds, we expect to invest the proceeds in investment-grade, interest-bearing instruments or other securities.</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Our net tangible book value as of December 31, 2019 was $44.1 million, or $0.96 per share of Common Stock. Net tangible book value per share represents the amount of our total tangible assets less total liabilities, divided by the 45,728,831 shares of our common stock outstanding on December 31, 2019.</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After giving effect to the issuance of the 345,357 Commitment Shares and the sale of additional shares of our Common Stock in the aggregate amount of $30,000,000 at an assumed offering price of $2.41 per share, the last reported sale price of our Common Stock on The Nasdaq Global Market on February 27, 2020, and after deducting estimated offering expenses payable by us, our net tangible book value as of December 31, 2019, would have been $74.1 million, or $1.27 per share of Common Stock. This represents an immediate increase in the net tangible book value of $0.31 per share to our existing stockholders and an immediate and substantial dilution in net tangible book value of $1.14 per share to Aspire Capital. The following table illustrates this per share dilution: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Assumed offering price per share</w:t>
            </w:r>
          </w:p>
        </w:tc>
        <w:tc>
          <w:tcPr>
            <w:tcW w:w="5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Net tangible book value per share as of December 31, 2019</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0.96</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per share attributable to Aspire Capital</w:t>
            </w:r>
          </w:p>
        </w:tc>
        <w:tc>
          <w:tcPr>
            <w:tcW w:w="5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dilution per share to Aspire Capital</w:t>
            </w:r>
          </w:p>
        </w:tc>
        <w:tc>
          <w:tcPr>
            <w:tcW w:w="5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above discussion and table are based on 45,728,831 shares of our Common Stock outstanding as of December 31, 2019 and excludes:</w:t>
      </w:r>
    </w:p>
    <w:p>
      <w:pPr>
        <w:spacing w:after="0" w:line="237" w:lineRule="exact"/>
        <w:rPr>
          <w:sz w:val="20"/>
          <w:szCs w:val="20"/>
          <w:color w:val="auto"/>
        </w:rPr>
      </w:pPr>
    </w:p>
    <w:p>
      <w:pPr>
        <w:ind w:left="740" w:right="360" w:hanging="327"/>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4,983,314 shares of our common stock issuable upon the exercise of stock options outstanding as of December 31, 2019, at a weighted-average exercise price of $7.79 per share;</w:t>
      </w:r>
    </w:p>
    <w:p>
      <w:pPr>
        <w:spacing w:after="0" w:line="170" w:lineRule="exact"/>
        <w:rPr>
          <w:rFonts w:ascii="Arial" w:cs="Arial" w:eastAsia="Arial" w:hAnsi="Arial"/>
          <w:sz w:val="18"/>
          <w:szCs w:val="18"/>
          <w:color w:val="auto"/>
        </w:rPr>
      </w:pPr>
    </w:p>
    <w:p>
      <w:pPr>
        <w:ind w:left="740" w:right="600" w:hanging="327"/>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22,664,000 shares of our common stock issuable upon the exercise of warrants outstanding as of December 31, 2019, at a weighted-average exercise price of $4.71 per share; and</w:t>
      </w:r>
    </w:p>
    <w:p>
      <w:pPr>
        <w:spacing w:after="0" w:line="170"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2,493,036 shares of our common stock reserved for future issuance under our 2014 Omnibus Stock Ownership Plan.</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To the extent that outstanding options have been or may be exercised or other shares issued, Aspire Capital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THE ASPIRE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On February 28, 2020, we entered into the Purchase Agreement with Aspire Capital, which provides that, upon the terms and subject to the conditions and limitations set forth therein, Aspire Capital is committed to purchase up to an aggregate of $30,000,000 Purchase Shares from time to time over the 30-month term of the Purchase Agreement. As consideration for entering into the Purchase Agreement, we agreed to issue 345,357 Commitment Shares.</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are filing this prospectus supplement with regard to the offering of our Common Stock consisting of (i) the Commitment Shares and (ii) the Purchase Shares that we may sell to Aspire Capital pursuant to the Purchase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Shares under the Purchase Agreement</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 February 28, 2020, the conditions necessary for purchases under the Purchase Agreement to commence were satisfied. On any business day over the 30-month term of the Purchase Agreement, we have the right, in our sole discretion, to present Aspire Capital with a purchase notice, or a Purchase Notice, directing Aspire Capital to purchase up to 100,000 Purchase Shares per business day, provided that Aspire Capital will not be required to buy Purchase Shares pursuant to a Purchase Notice that was received by Aspire Capital on any business day on which the last closing trade price of our Common Stock on The Nasdaq Global Market (or alternative national exchange in accordance with the Purchase Agreement) is below $0.25. We and Aspire Capital also may mutually agree to increase the number of shares that may be sold to as much as an additional 2,000,000 Purchase Shares per business day. The purchase price per Purchase Share pursuant to such Purchase Notice, or the Purchase Price, is the lower of:</w:t>
      </w:r>
    </w:p>
    <w:p>
      <w:pPr>
        <w:spacing w:after="0" w:line="178"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lowest sale price for our Common Stock on the date of sale; or</w:t>
      </w:r>
    </w:p>
    <w:p>
      <w:pPr>
        <w:spacing w:after="0" w:line="225"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average of the three lowest closing sale prices for our Common Stock during the 10 consecutive business days ending on the business day immediately preceding the purchase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applicable Purchase Price will be determined prior to delivery of any Purchase Notice.</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addition, on any date on which we submit a Purchase Notice to Aspire Capital for 100,000 Purchase Shares, we also have the right, in our sole discretion, to present Aspire Capital with a volume-weighted average price purchase notice, or a VWAP Purchase Notice, directing Aspire Capital to purchase an amount of our Common Stock equal to up to 30% of the aggregate shares of our Common Stock traded on the next business day, or the VWAP Purchase Date, subject to a maximum number of shares determined by us, or the VWAP Purchase Share Volume Maximum. The purchase price per Purchase Share pursuant to such VWAP Purchase Notice, or the VWAP Purchase Price, shall be the lesser of the closing sale on the VWAP Purchase Date or 97% of the volume weighted average price for our Common Stock traded on (i) the VWAP Purchase Date if the aggregate shares to be purchased on that date does not exceed the VWAP Purchase Share Volume Maximum, or (ii) the portion of such business day until such time as the aggregate shares to be purchased will equal the VWAP Purchase Share Volume Maximum.</w:t>
      </w:r>
    </w:p>
    <w:p>
      <w:pPr>
        <w:spacing w:after="0" w:line="17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number of Purchase Shares covered by and timing of each Purchase Notice are determined by us, at our sole discretion. The aggregate number of shares that we can sell to Aspire Capital under the Purchase Agreement may in no case exceed the Exchange Cap of 9,232,814 shares of our Common Stock (which is equal to approximately 19.9% of our Common Stock outstanding on the date of the Purchase Agreement), including the Commitment Shares, unless (i) stockholder approval is obtained to issue more, in which case the Exchange Cap will not apply, or (ii) stockholder approval has not been obtained and at any time the Exchange Cap is reached and at all times thereafter the average price paid for all shares issued under the Purchase Agreement (including the Commitment Shares) is equal to or greater than a price equal to $2.41, which is the closing sale price immediately preceding the execution of the Purchase Agreement; provided that at no time shall Aspire Capital (together with its affiliates) beneficially own more than 19.99% of our Common Stock. Aspire Capital has no right to require any sales by us, but is obligated to make purchases from us as we direct in accordance with the Purchase Agreement. There are no limitations on use of proceeds, financial or business covenants, restrictions on future fundings, rights of first refusal, participation rights, penalties or liquidated damages in the Purchase Agreement. We did not pay any additional amounts to reimburse or otherwise compensate Aspire Capital in connection with the transaction. The Purchase Agreement may be terminated by us at any time, at our discretion, without any penalty or cost to us.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Aspire Capital may terminate the Purchase Agreement upon the occurrence of any of the following events of default:</w:t>
      </w:r>
    </w:p>
    <w:p>
      <w:pPr>
        <w:spacing w:after="0" w:line="225" w:lineRule="exact"/>
        <w:rPr>
          <w:sz w:val="20"/>
          <w:szCs w:val="20"/>
          <w:color w:val="auto"/>
        </w:rPr>
      </w:pPr>
    </w:p>
    <w:p>
      <w:pPr>
        <w:ind w:left="980" w:hanging="324"/>
        <w:spacing w:after="0" w:line="290"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effectiveness of any registration statement that is required to be maintained effective pursuant to the terms of the registration rights agreement between us and Aspire Capital lapses for any reason (including, without limitation, the issuance of a stop order) or is unavailable for sale of shares of our Common Stock in accordance with the terms of the registration rights agreement, and such lapse or unavailability continues for a period of 10 consecutive business days or for more than an aggregate of 30 business days in any 365-day period, which is not in connection with a post-effective amendment to any such registration statement or the filing of a new registration statement; provided, however, that in connection with any post-effective amendment to such registration statement or filing of a new registration statement that is required to be declared effective by the SEC, such lapse or unavailability may continue for a period of no more than 30 consecutive business days, which such period shall be extended for an additional 30 business days if we receive a comment letter from the SEC in connection therewith;</w:t>
      </w:r>
    </w:p>
    <w:p>
      <w:pPr>
        <w:spacing w:after="0" w:line="166" w:lineRule="exact"/>
        <w:rPr>
          <w:rFonts w:ascii="Arial" w:cs="Arial" w:eastAsia="Arial" w:hAnsi="Arial"/>
          <w:sz w:val="16"/>
          <w:szCs w:val="16"/>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suspension from trading or failure of our Common Stock to be listed on our principal market for a period of three consecutive business days;</w:t>
      </w:r>
    </w:p>
    <w:p>
      <w:pPr>
        <w:spacing w:after="0" w:line="248" w:lineRule="exact"/>
        <w:rPr>
          <w:rFonts w:ascii="Arial" w:cs="Arial" w:eastAsia="Arial" w:hAnsi="Arial"/>
          <w:sz w:val="16"/>
          <w:szCs w:val="16"/>
          <w:color w:val="auto"/>
        </w:rPr>
      </w:pPr>
    </w:p>
    <w:p>
      <w:pPr>
        <w:ind w:left="980" w:right="260" w:hanging="324"/>
        <w:spacing w:after="0" w:line="34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delisting of our Common Stock from our principal market, provided our Common Stock is not immediately thereafter trading on the New York Stock Exchange, the NYSE American, the Nasdaq Global Select Market, the Nasdaq Global Market, or the Nasdaq Capital Market;</w:t>
      </w:r>
    </w:p>
    <w:p>
      <w:pPr>
        <w:spacing w:after="0" w:line="123" w:lineRule="exact"/>
        <w:rPr>
          <w:rFonts w:ascii="Arial" w:cs="Arial" w:eastAsia="Arial" w:hAnsi="Arial"/>
          <w:sz w:val="16"/>
          <w:szCs w:val="16"/>
          <w:color w:val="auto"/>
        </w:rPr>
      </w:pPr>
    </w:p>
    <w:p>
      <w:pPr>
        <w:ind w:left="980" w:right="4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transfer agent’s failure to issue to Aspire Capital shares of our Common Stock which Aspire Capital is entitled to receive under the Purchase Agreement within five business days after an applicable purchase date;</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breach by us of the representations or warranties or covenants contained in the Purchase Agreement or any related agreements which could have a material adverse effect, subject to a cure period of five business days;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become insolvent;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Exchange Cap is reached unless and until stockholder approval has been obtained.</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So long as an Event of Default has occurred and is continuing, or if any event which, after notice and/or lapse of time, would become an Event of Default, has occurred and is continuing, or so long as the closing price of our common stock is below the Floor Price, we may not require and Aspire Capital has no obligation to purchase any shares of our common stock under the Purchase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Purchase Agreement will be automatically terminated in the event of any participation in insolvency or bankruptcy proceedings by or against us.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Termination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terminate the Purchase Agreement at any time, in our discretion, without any cost or penalty.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Short-Selling or Hedging by Aspire Capital</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Aspire Capital has agreed that neither it nor any of its agents, representatives and affiliates shall engage in any direct or indirect short-selling or hedging of our Common Stock during any time prior to the termination of the Purchase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Effect of Performance of the Purchase Agreement on Our Stockholders</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Purchase Agreement does not limit the ability of Aspire Capital to sell any or all of the shares it currently owns or receives in this offering. It is anticipated that shares sold to Aspire Capital in this offering will be sold to Aspire Capital over a period of up to 30 months from the date of the Purchase Agreement. The subsequent resale by Aspire Capital of our Common Stock may cause the market price of our Common Stock to decline or to be highly volatile. Aspire Capital may ultimately purchase all, some or none of the shares of Common Stock that, together with the Commitment Shares, is the subject of this prospectus supplement. Aspire Capital may resell all, some or none of the Commitment Shares and any Purchase Shares it acquires. Therefore, sales to Aspire Capital by us pursuant to the Purchase Agreement and this prospectus supplement also may result in substantial dilution to the interests of other holders of our Common Stock. However, we have the right to control the timing and amount of any sales of our shares to Aspire Capital and the Purchase Agreement may be terminated by us at any time at our discretion without any cost to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 of Potential Proceeds to be Received under the Purchase Agreement</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Under the Purchase Agreement, we may sell Purchase Shares having an aggregate offering price of up to $30,000,000 to Aspire Capital from time to time. The number of shares ultimately offered for sale to Aspire Capital in this offering is dependent upon the number of shares we elect to sell to Aspire Capital under the Purchase Agreement. In addition, Aspire Capital will not be required to buy Purchase Shares pursuant to a Purchase Notice that was received by Aspire Capital on any business day on which the last closing trade price of our Common Stock on The Nasdaq Global Market (or alternative national exchange in accordance with the Purchase Agreement) is below $0.25. The following table sets forth the amount of proceeds we would receive from Aspire Capital from the sale of shares at varying purchase prices: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8"/>
              </w:rPr>
              <w:t>Proceeds from the</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7"/>
              </w:rPr>
              <w:t>Sale of Shares to</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3"/>
              </w:rPr>
              <w:t>Aspire Capital Under</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Percentage of</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8"/>
              </w:rPr>
              <w:t>the Purchase</w:t>
            </w:r>
          </w:p>
        </w:tc>
        <w:tc>
          <w:tcPr>
            <w:tcW w:w="2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Number of Shares to be</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 Shares</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9"/>
              </w:rPr>
              <w:t>Agreement</w:t>
            </w:r>
          </w:p>
        </w:tc>
        <w:tc>
          <w:tcPr>
            <w:tcW w:w="2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Issued in this Offering at</w:t>
            </w:r>
          </w:p>
        </w:tc>
        <w:tc>
          <w:tcPr>
            <w:tcW w:w="2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After Giving Effect to the</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Assumed Average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8"/>
              </w:rPr>
              <w:t>Registered in this</w:t>
            </w:r>
          </w:p>
        </w:tc>
        <w:tc>
          <w:tcPr>
            <w:tcW w:w="2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the Assumed Average</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Purchased Shares Issued</w:t>
            </w:r>
          </w:p>
        </w:tc>
        <w:tc>
          <w:tcPr>
            <w:tcW w:w="86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186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b w:val="1"/>
                <w:bCs w:val="1"/>
                <w:color w:val="auto"/>
              </w:rPr>
              <w:t>Purchase Price</w:t>
            </w:r>
          </w:p>
        </w:tc>
        <w:tc>
          <w:tcPr>
            <w:tcW w:w="4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Offering</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Purchase Price (1)</w:t>
            </w:r>
          </w:p>
        </w:tc>
        <w:tc>
          <w:tcPr>
            <w:tcW w:w="200" w:type="dxa"/>
            <w:vAlign w:val="bottom"/>
            <w:tcBorders>
              <w:bottom w:val="single" w:sz="8" w:color="CCEEFF"/>
            </w:tcBorders>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 Aspire Capital (2)</w:t>
            </w:r>
          </w:p>
        </w:tc>
        <w:tc>
          <w:tcPr>
            <w:tcW w:w="160" w:type="dxa"/>
            <w:vAlign w:val="bottom"/>
            <w:tcBorders>
              <w:bottom w:val="single" w:sz="8" w:color="CCEEFF"/>
            </w:tcBorders>
          </w:tcPr>
          <w:p>
            <w:pPr>
              <w:spacing w:after="0"/>
              <w:rPr>
                <w:sz w:val="20"/>
                <w:szCs w:val="20"/>
                <w:color w:val="auto"/>
              </w:rPr>
            </w:pPr>
          </w:p>
        </w:tc>
        <w:tc>
          <w:tcPr>
            <w:tcW w:w="860" w:type="dxa"/>
            <w:vAlign w:val="bottom"/>
          </w:tcPr>
          <w:p>
            <w:pPr>
              <w:spacing w:after="0"/>
              <w:rPr>
                <w:sz w:val="20"/>
                <w:szCs w:val="20"/>
                <w:color w:val="auto"/>
              </w:rPr>
            </w:pPr>
          </w:p>
        </w:tc>
      </w:tr>
      <w:tr>
        <w:trPr>
          <w:trHeight w:val="210"/>
        </w:trPr>
        <w:tc>
          <w:tcPr>
            <w:tcW w:w="880" w:type="dxa"/>
            <w:vAlign w:val="bottom"/>
          </w:tcPr>
          <w:p>
            <w:pPr>
              <w:spacing w:after="0"/>
              <w:rPr>
                <w:sz w:val="18"/>
                <w:szCs w:val="18"/>
                <w:color w:val="auto"/>
              </w:rPr>
            </w:pPr>
          </w:p>
        </w:tc>
        <w:tc>
          <w:tcPr>
            <w:tcW w:w="1860" w:type="dxa"/>
            <w:vAlign w:val="bottom"/>
            <w:shd w:val="clear" w:color="auto" w:fill="CCEEFF"/>
          </w:tcPr>
          <w:p>
            <w:pPr>
              <w:jc w:val="right"/>
              <w:ind w:right="1701"/>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2,221,864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8,887,457</w:t>
            </w:r>
          </w:p>
        </w:tc>
        <w:tc>
          <w:tcPr>
            <w:tcW w:w="2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860" w:type="dxa"/>
            <w:vAlign w:val="bottom"/>
          </w:tcPr>
          <w:p>
            <w:pPr>
              <w:jc w:val="right"/>
              <w:ind w:right="1701"/>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8,887,457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8,887,457</w:t>
            </w:r>
          </w:p>
        </w:tc>
        <w:tc>
          <w:tcPr>
            <w:tcW w:w="200" w:type="dxa"/>
            <w:vAlign w:val="bottom"/>
          </w:tcPr>
          <w:p>
            <w:pPr>
              <w:spacing w:after="0"/>
              <w:rPr>
                <w:sz w:val="18"/>
                <w:szCs w:val="18"/>
                <w:color w:val="auto"/>
              </w:rPr>
            </w:pP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16.17%</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860" w:type="dxa"/>
            <w:vAlign w:val="bottom"/>
            <w:shd w:val="clear" w:color="auto" w:fill="CCEEFF"/>
          </w:tcPr>
          <w:p>
            <w:pPr>
              <w:jc w:val="right"/>
              <w:ind w:right="1701"/>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13,331,186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8,887,457</w:t>
            </w:r>
          </w:p>
        </w:tc>
        <w:tc>
          <w:tcPr>
            <w:tcW w:w="2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860" w:type="dxa"/>
            <w:vAlign w:val="bottom"/>
          </w:tcPr>
          <w:p>
            <w:pPr>
              <w:jc w:val="right"/>
              <w:ind w:right="1701"/>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2.41</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21,418,771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8,887,457</w:t>
            </w:r>
          </w:p>
        </w:tc>
        <w:tc>
          <w:tcPr>
            <w:tcW w:w="200" w:type="dxa"/>
            <w:vAlign w:val="bottom"/>
          </w:tcPr>
          <w:p>
            <w:pPr>
              <w:spacing w:after="0"/>
              <w:rPr>
                <w:sz w:val="18"/>
                <w:szCs w:val="18"/>
                <w:color w:val="auto"/>
              </w:rPr>
            </w:pP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16.17%</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1860" w:type="dxa"/>
            <w:vAlign w:val="bottom"/>
            <w:shd w:val="clear" w:color="auto" w:fill="CCEEFF"/>
          </w:tcPr>
          <w:p>
            <w:pPr>
              <w:jc w:val="right"/>
              <w:ind w:right="1701"/>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2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86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1860" w:type="dxa"/>
            <w:vAlign w:val="bottom"/>
          </w:tcPr>
          <w:p>
            <w:pPr>
              <w:jc w:val="right"/>
              <w:ind w:right="1701"/>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10.00</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30,000,000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tcPr>
          <w:p>
            <w:pPr>
              <w:spacing w:after="0"/>
              <w:rPr>
                <w:sz w:val="20"/>
                <w:szCs w:val="20"/>
                <w:color w:val="auto"/>
              </w:rPr>
            </w:pP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6.11%</w:t>
            </w:r>
          </w:p>
        </w:tc>
        <w:tc>
          <w:tcPr>
            <w:tcW w:w="860" w:type="dxa"/>
            <w:vAlign w:val="bottom"/>
          </w:tcPr>
          <w:p>
            <w:pPr>
              <w:spacing w:after="0"/>
              <w:rPr>
                <w:sz w:val="20"/>
                <w:szCs w:val="20"/>
                <w:color w:val="auto"/>
              </w:rPr>
            </w:pPr>
          </w:p>
        </w:tc>
      </w:tr>
      <w:tr>
        <w:trPr>
          <w:trHeight w:val="634"/>
        </w:trPr>
        <w:tc>
          <w:tcPr>
            <w:tcW w:w="8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ind w:left="1980"/>
              <w:spacing w:after="0"/>
              <w:rPr>
                <w:sz w:val="20"/>
                <w:szCs w:val="20"/>
                <w:color w:val="auto"/>
              </w:rPr>
            </w:pPr>
            <w:r>
              <w:rPr>
                <w:rFonts w:ascii="Arial" w:cs="Arial" w:eastAsia="Arial" w:hAnsi="Arial"/>
                <w:sz w:val="18"/>
                <w:szCs w:val="18"/>
                <w:color w:val="auto"/>
                <w:w w:val="89"/>
              </w:rPr>
              <w:t>S-13</w:t>
            </w:r>
          </w:p>
        </w:tc>
        <w:tc>
          <w:tcPr>
            <w:tcW w:w="2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5" w:name="page16"/>
    <w:bookmarkEnd w:id="15"/>
    <w:p>
      <w:pPr>
        <w:ind w:left="620" w:right="200" w:hanging="612"/>
        <w:spacing w:after="0" w:line="264"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the total number of Purchase Shares (but not Commitment Shares) which we would have sold under the Purchase Agreement at the corresponding assumed purchase price set forth in the adjacent column, up to an aggregate purchase price of $30,000,000, subject to the Exchange Cap.</w:t>
      </w:r>
    </w:p>
    <w:p>
      <w:pPr>
        <w:spacing w:after="0" w:line="181" w:lineRule="exact"/>
        <w:rPr>
          <w:rFonts w:ascii="Arial" w:cs="Arial" w:eastAsia="Arial" w:hAnsi="Arial"/>
          <w:sz w:val="18"/>
          <w:szCs w:val="18"/>
          <w:color w:val="auto"/>
        </w:rPr>
      </w:pPr>
    </w:p>
    <w:p>
      <w:pPr>
        <w:ind w:left="620" w:right="320" w:hanging="612"/>
        <w:spacing w:after="0" w:line="259"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denominator is based on 45,728,831 shares outstanding as of December 31, 2019, plus the (i) 345,357 Commitment Shares issued to Aspire Capital and (ii) number of shares set forth in the adjacent column which we would have sold to Aspire Capital. The numerator is based on the number of shares which we may issue to Aspire Capital under the Purchase Agreement (that are the subject of this offering) at the corresponding assumed purchase price set forth in the adjacent column.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Aspire Capital</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Aspire Capital Partners LLC, or the Aspire Partners, is the Managing Member of Aspire Capital Fund LLC, or Aspire Fund. SGM Holdings Corp, or SGM, is the Managing Member of Aspire Partners. Mr. Steven G. Martin is the president and sole shareholder of SGM, as well as a principal of Aspire Partners. Mr. Erik J. Brown is the president and sole shareholder of Red Cedar Capital Corp, or Red Cedar, which is a principal of Aspire Partners. Mr. Christos Komissopoulos is president and sole shareholder of Chrisko Investors Inc., or Chrisko, which is a principal of Aspire Partners. Mr. William F. Blank,</w:t>
      </w:r>
    </w:p>
    <w:p>
      <w:pPr>
        <w:spacing w:after="0" w:line="2" w:lineRule="exact"/>
        <w:rPr>
          <w:sz w:val="20"/>
          <w:szCs w:val="20"/>
          <w:color w:val="auto"/>
        </w:rPr>
      </w:pPr>
    </w:p>
    <w:p>
      <w:pPr>
        <w:ind w:right="60" w:firstLine="8"/>
        <w:spacing w:after="0" w:line="254" w:lineRule="auto"/>
        <w:tabs>
          <w:tab w:leader="none" w:pos="225"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president and sole shareholder of WML Ventures Corp., or WML Ventures, which is a principal of Aspire Partners. Each of Aspire Partners, SGM, Red Cedar, Chrisko, WML Ventures, Mr. Martin, Mr. Brown, Mr. Komissopoulos and Mr. Blank may be deemed to be a beneficial owner of our Common Stock held by Aspire Fund. Each of Aspire Partners, SGM, Red Cedar, Chrisko, WML Ventures, Mr. Martin, Mr. Brown, Mr. Komissopoulos and Mr. Blank disclaims beneficial ownership of our Common Stock held by Aspire Fund.</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6" w:name="page17"/>
    <w:bookmarkEnd w:id="16"/>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Aspire Capital is an “underwriter” within the meaning of the Securities Act.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Neither we nor Aspire Capital can presently estimate the amount of compensation that any agent will receive. We know of no existing arrangements between Aspire Capital, any other stockholder, broker, dealer, underwriter, or agent relating to the sale or distribution of the shares offered by this prospectus supplement. At the time a particular offer of shares is made, a prospectus supplement, if required, will be distributed that will set forth the names of any agents, underwriters, or dealers and any other required information.</w:t>
      </w:r>
    </w:p>
    <w:p>
      <w:pPr>
        <w:spacing w:after="0" w:line="187"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will pay all of the expenses incident to the registration, offering, and sale of the shares to Aspire Capital. We have agreed to indemnify Aspire Capital and certain other persons against certain liabilities in connection with the offering of shares of Common Stock offered hereby, including liabilities arising under the Securities Act or, if such indemnity is unavailable, to contribute amounts required to be paid in respect of such liabilities. Aspire Capital has agreed to indemnify us against liabilities under the Securities Act that may arise from certain written information furnished to us by Aspire Capital specifically for use in this prospectus or, if such indemnity is unavailable, to contribute amounts required to be paid in respect of such liabilities.</w:t>
      </w:r>
    </w:p>
    <w:p>
      <w:pPr>
        <w:spacing w:after="0" w:line="15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2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Aspire Capital and its affiliates have agreed not to engage in any direct or indirect short selling or hedging of our Common Stock during the term of the Purchase Agreement.</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have advised Aspire Capital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spacing w:after="0" w:line="17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may suspend the sale of shares to Aspire Capital pursuant to this prospectus for certain periods of time for certain reasons, including if the prospectus is required to be supplemented or amended to include additional material information.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offering will terminate on the date that all shares offered by this prospectus have been sold to Aspire Capital.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Cooley LLP, New York, New York, will pass upon the validity of the issuance of the securities being sold in this offering.</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Marcum LLP, independent registered public accounting firm, has audited our consolidated financial statements as of and for the years ended December 31, 2018 and 2017 and the effectiveness of our internal control over financial reporting as of December 31, 2018 as set forth in its reports, which are included in our 2018 Annual Report on Form 10-K and incorporated by reference in this prospectus supplement and elsewhere in the registration statement. Our 2018 and 2017 financial statements are incorporated by reference in reliance on Marcum LLP’s report, given on their authority as experts in accounting and auditing.</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to you by referring you to another document filed separately with the SEC. The SEC file number for the documents incorporated by reference in this prospectus supplement is 001-37939. The documents incorporated by reference into this prospectus supplement contain important information that you should read about us.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incorporated by reference into this document:</w:t>
      </w:r>
    </w:p>
    <w:p>
      <w:pPr>
        <w:spacing w:after="0" w:line="225"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u w:val="single" w:color="auto"/>
          <w:color w:val="0000EE"/>
        </w:rPr>
      </w:pPr>
      <w:hyperlink r:id="rId30">
        <w:r>
          <w:rPr>
            <w:rFonts w:ascii="Arial" w:cs="Arial" w:eastAsia="Arial" w:hAnsi="Arial"/>
            <w:sz w:val="18"/>
            <w:szCs w:val="18"/>
            <w:u w:val="single" w:color="auto"/>
            <w:color w:val="0000EE"/>
          </w:rPr>
          <w:t>our Annual Report on Form 10-K for the fiscal year ended December 31, 2018, filed with the SEC on March 15, 2019;</w:t>
        </w:r>
      </w:hyperlink>
    </w:p>
    <w:p>
      <w:pPr>
        <w:spacing w:after="0" w:line="225" w:lineRule="exact"/>
        <w:rPr>
          <w:rFonts w:ascii="Arial" w:cs="Arial" w:eastAsia="Arial" w:hAnsi="Arial"/>
          <w:sz w:val="18"/>
          <w:szCs w:val="18"/>
          <w:u w:val="single" w:color="auto"/>
          <w:color w:val="0000EE"/>
        </w:rPr>
      </w:pPr>
    </w:p>
    <w:p>
      <w:pPr>
        <w:ind w:left="980" w:right="160" w:hanging="324"/>
        <w:spacing w:after="0" w:line="277" w:lineRule="auto"/>
        <w:tabs>
          <w:tab w:leader="none" w:pos="980" w:val="left"/>
        </w:tabs>
        <w:numPr>
          <w:ilvl w:val="0"/>
          <w:numId w:val="8"/>
        </w:numPr>
        <w:rPr>
          <w:rFonts w:ascii="Arial" w:cs="Arial" w:eastAsia="Arial" w:hAnsi="Arial"/>
          <w:sz w:val="18"/>
          <w:szCs w:val="18"/>
          <w:u w:val="single" w:color="auto"/>
          <w:color w:val="0000EE"/>
        </w:rPr>
      </w:pPr>
      <w:hyperlink r:id="rId31">
        <w:r>
          <w:rPr>
            <w:rFonts w:ascii="Arial" w:cs="Arial" w:eastAsia="Arial" w:hAnsi="Arial"/>
            <w:sz w:val="18"/>
            <w:szCs w:val="18"/>
            <w:color w:val="auto"/>
          </w:rPr>
          <w:t xml:space="preserve">the information specifically incorporated by reference into our </w:t>
        </w:r>
        <w:r>
          <w:rPr>
            <w:rFonts w:ascii="Arial" w:cs="Arial" w:eastAsia="Arial" w:hAnsi="Arial"/>
            <w:sz w:val="18"/>
            <w:szCs w:val="18"/>
            <w:u w:val="single" w:color="auto"/>
            <w:color w:val="0000EE"/>
          </w:rPr>
          <w:t>Annual Report on Form 10-K for the year ended December 31, 2018 from our</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Definitive Proxy Statement on Schedule 14A, filed with the SEC on March 28, 2019;</w:t>
        </w:r>
      </w:hyperlink>
    </w:p>
    <w:p>
      <w:pPr>
        <w:spacing w:after="0" w:line="170" w:lineRule="exact"/>
        <w:rPr>
          <w:rFonts w:ascii="Arial" w:cs="Arial" w:eastAsia="Arial" w:hAnsi="Arial"/>
          <w:sz w:val="18"/>
          <w:szCs w:val="18"/>
          <w:u w:val="single" w:color="auto"/>
          <w:color w:val="0000EE"/>
        </w:rPr>
      </w:pPr>
    </w:p>
    <w:p>
      <w:pPr>
        <w:ind w:left="980" w:hanging="324"/>
        <w:spacing w:after="0" w:line="277" w:lineRule="auto"/>
        <w:tabs>
          <w:tab w:leader="none" w:pos="980" w:val="left"/>
        </w:tabs>
        <w:numPr>
          <w:ilvl w:val="0"/>
          <w:numId w:val="8"/>
        </w:numPr>
        <w:rPr>
          <w:rFonts w:ascii="Arial" w:cs="Arial" w:eastAsia="Arial" w:hAnsi="Arial"/>
          <w:sz w:val="18"/>
          <w:szCs w:val="18"/>
          <w:color w:val="0000EE"/>
        </w:rPr>
      </w:pPr>
      <w:hyperlink r:id="rId32">
        <w:r>
          <w:rPr>
            <w:rFonts w:ascii="Arial" w:cs="Arial" w:eastAsia="Arial" w:hAnsi="Arial"/>
            <w:sz w:val="18"/>
            <w:szCs w:val="18"/>
            <w:color w:val="auto"/>
          </w:rPr>
          <w:t xml:space="preserve">our Quarterly Reports on Form 10-Q for the quarters ended March 31, 2019, June 30, 2019 and September 30, 2019, filed with the SEC on </w:t>
        </w:r>
        <w:r>
          <w:rPr>
            <w:rFonts w:ascii="Arial" w:cs="Arial" w:eastAsia="Arial" w:hAnsi="Arial"/>
            <w:sz w:val="18"/>
            <w:szCs w:val="18"/>
            <w:u w:val="single" w:color="auto"/>
            <w:color w:val="0000EE"/>
          </w:rPr>
          <w:t>May</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10, 2019</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3">
        <w:r>
          <w:rPr>
            <w:rFonts w:ascii="Arial" w:cs="Arial" w:eastAsia="Arial" w:hAnsi="Arial"/>
            <w:sz w:val="18"/>
            <w:szCs w:val="18"/>
            <w:u w:val="single" w:color="auto"/>
            <w:color w:val="0000EE"/>
          </w:rPr>
          <w:t xml:space="preserve">August 9, 2019 </w:t>
        </w:r>
      </w:hyperlink>
      <w:hyperlink r:id="rId32">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34">
        <w:r>
          <w:rPr>
            <w:rFonts w:ascii="Arial" w:cs="Arial" w:eastAsia="Arial" w:hAnsi="Arial"/>
            <w:sz w:val="18"/>
            <w:szCs w:val="18"/>
            <w:u w:val="single" w:color="auto"/>
            <w:color w:val="0000EE"/>
          </w:rPr>
          <w:t>November 12, 2019</w:t>
        </w:r>
      </w:hyperlink>
      <w:hyperlink r:id="rId32">
        <w:r>
          <w:rPr>
            <w:rFonts w:ascii="Arial" w:cs="Arial" w:eastAsia="Arial" w:hAnsi="Arial"/>
            <w:sz w:val="18"/>
            <w:szCs w:val="18"/>
            <w:color w:val="000000"/>
          </w:rPr>
          <w:t>, respectively;</w:t>
        </w:r>
      </w:hyperlink>
    </w:p>
    <w:p>
      <w:pPr>
        <w:spacing w:after="0" w:line="170" w:lineRule="exact"/>
        <w:rPr>
          <w:rFonts w:ascii="Arial" w:cs="Arial" w:eastAsia="Arial" w:hAnsi="Arial"/>
          <w:sz w:val="18"/>
          <w:szCs w:val="18"/>
          <w:color w:val="0000EE"/>
        </w:rPr>
      </w:pPr>
    </w:p>
    <w:p>
      <w:pPr>
        <w:ind w:left="980" w:right="180" w:hanging="324"/>
        <w:spacing w:after="0" w:line="264" w:lineRule="auto"/>
        <w:tabs>
          <w:tab w:leader="none" w:pos="980" w:val="left"/>
        </w:tabs>
        <w:numPr>
          <w:ilvl w:val="0"/>
          <w:numId w:val="8"/>
        </w:numPr>
        <w:rPr>
          <w:rFonts w:ascii="Arial" w:cs="Arial" w:eastAsia="Arial" w:hAnsi="Arial"/>
          <w:sz w:val="18"/>
          <w:szCs w:val="18"/>
          <w:color w:val="0000EE"/>
        </w:rPr>
      </w:pPr>
      <w:hyperlink r:id="rId35">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January 4,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15,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15,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25,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28,</w:t>
        </w:r>
      </w:hyperlink>
      <w:r>
        <w:rPr>
          <w:rFonts w:ascii="Arial" w:cs="Arial" w:eastAsia="Arial" w:hAnsi="Arial"/>
          <w:sz w:val="18"/>
          <w:szCs w:val="18"/>
          <w:color w:val="auto"/>
        </w:rPr>
        <w:t xml:space="preserve"> </w:t>
      </w:r>
      <w:hyperlink r:id="rId35">
        <w:r>
          <w:rPr>
            <w:rFonts w:ascii="Arial" w:cs="Arial" w:eastAsia="Arial" w:hAnsi="Arial"/>
            <w:sz w:val="18"/>
            <w:szCs w:val="18"/>
            <w:u w:val="single" w:color="auto"/>
            <w:color w:val="0000EE"/>
          </w:rPr>
          <w:t>2019</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6">
        <w:r>
          <w:rPr>
            <w:rFonts w:ascii="Arial" w:cs="Arial" w:eastAsia="Arial" w:hAnsi="Arial"/>
            <w:sz w:val="18"/>
            <w:szCs w:val="18"/>
            <w:u w:val="single" w:color="auto"/>
            <w:color w:val="0000EE"/>
          </w:rPr>
          <w:t>April 17, 2019</w:t>
        </w:r>
      </w:hyperlink>
      <w:hyperlink r:id="rId35">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7">
        <w:r>
          <w:rPr>
            <w:rFonts w:ascii="Arial" w:cs="Arial" w:eastAsia="Arial" w:hAnsi="Arial"/>
            <w:sz w:val="18"/>
            <w:szCs w:val="18"/>
            <w:u w:val="single" w:color="auto"/>
            <w:color w:val="0000EE"/>
          </w:rPr>
          <w:t>May 10, 2019</w:t>
        </w:r>
      </w:hyperlink>
      <w:hyperlink r:id="rId35">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8">
        <w:r>
          <w:rPr>
            <w:rFonts w:ascii="Arial" w:cs="Arial" w:eastAsia="Arial" w:hAnsi="Arial"/>
            <w:sz w:val="18"/>
            <w:szCs w:val="18"/>
            <w:u w:val="single" w:color="auto"/>
            <w:color w:val="0000EE"/>
          </w:rPr>
          <w:t>July 19, 2019</w:t>
        </w:r>
      </w:hyperlink>
      <w:hyperlink r:id="rId35">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9">
        <w:r>
          <w:rPr>
            <w:rFonts w:ascii="Arial" w:cs="Arial" w:eastAsia="Arial" w:hAnsi="Arial"/>
            <w:sz w:val="18"/>
            <w:szCs w:val="18"/>
            <w:u w:val="single" w:color="auto"/>
            <w:color w:val="0000EE"/>
          </w:rPr>
          <w:t>July 22, 2019</w:t>
        </w:r>
      </w:hyperlink>
      <w:hyperlink r:id="rId35">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0">
        <w:r>
          <w:rPr>
            <w:rFonts w:ascii="Arial" w:cs="Arial" w:eastAsia="Arial" w:hAnsi="Arial"/>
            <w:sz w:val="18"/>
            <w:szCs w:val="18"/>
            <w:u w:val="single" w:color="auto"/>
            <w:color w:val="0000EE"/>
          </w:rPr>
          <w:t>August 6, 2019</w:t>
        </w:r>
      </w:hyperlink>
      <w:hyperlink r:id="rId35">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1">
        <w:r>
          <w:rPr>
            <w:rFonts w:ascii="Arial" w:cs="Arial" w:eastAsia="Arial" w:hAnsi="Arial"/>
            <w:sz w:val="18"/>
            <w:szCs w:val="18"/>
            <w:u w:val="single" w:color="auto"/>
            <w:color w:val="0000EE"/>
          </w:rPr>
          <w:t xml:space="preserve">February 11, 2020 </w:t>
        </w:r>
      </w:hyperlink>
      <w:hyperlink r:id="rId35">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42">
        <w:r>
          <w:rPr>
            <w:rFonts w:ascii="Arial" w:cs="Arial" w:eastAsia="Arial" w:hAnsi="Arial"/>
            <w:sz w:val="18"/>
            <w:szCs w:val="18"/>
            <w:u w:val="single" w:color="auto"/>
            <w:color w:val="0000EE"/>
          </w:rPr>
          <w:t>March 2, 2020</w:t>
        </w:r>
      </w:hyperlink>
      <w:hyperlink r:id="rId35">
        <w:r>
          <w:rPr>
            <w:rFonts w:ascii="Arial" w:cs="Arial" w:eastAsia="Arial" w:hAnsi="Arial"/>
            <w:sz w:val="18"/>
            <w:szCs w:val="18"/>
            <w:color w:val="000000"/>
          </w:rPr>
          <w:t>, to the extent the</w:t>
        </w:r>
      </w:hyperlink>
      <w:r>
        <w:rPr>
          <w:rFonts w:ascii="Arial" w:cs="Arial" w:eastAsia="Arial" w:hAnsi="Arial"/>
          <w:sz w:val="18"/>
          <w:szCs w:val="18"/>
          <w:color w:val="0000EE"/>
        </w:rPr>
        <w:t xml:space="preserve"> </w:t>
      </w:r>
      <w:r>
        <w:rPr>
          <w:rFonts w:ascii="Arial" w:cs="Arial" w:eastAsia="Arial" w:hAnsi="Arial"/>
          <w:sz w:val="18"/>
          <w:szCs w:val="18"/>
          <w:color w:val="000000"/>
        </w:rPr>
        <w:t>information in such reports is filed and not furnished; and</w:t>
      </w:r>
    </w:p>
    <w:p>
      <w:pPr>
        <w:spacing w:after="0" w:line="181" w:lineRule="exact"/>
        <w:rPr>
          <w:rFonts w:ascii="Arial" w:cs="Arial" w:eastAsia="Arial" w:hAnsi="Arial"/>
          <w:sz w:val="18"/>
          <w:szCs w:val="18"/>
          <w:color w:val="0000EE"/>
        </w:rPr>
      </w:pPr>
    </w:p>
    <w:p>
      <w:pPr>
        <w:jc w:val="both"/>
        <w:ind w:left="980" w:right="140" w:hanging="324"/>
        <w:spacing w:after="0" w:line="264" w:lineRule="auto"/>
        <w:tabs>
          <w:tab w:leader="none" w:pos="980" w:val="left"/>
        </w:tabs>
        <w:numPr>
          <w:ilvl w:val="0"/>
          <w:numId w:val="8"/>
        </w:numPr>
        <w:rPr>
          <w:rFonts w:ascii="Arial" w:cs="Arial" w:eastAsia="Arial" w:hAnsi="Arial"/>
          <w:sz w:val="18"/>
          <w:szCs w:val="18"/>
          <w:color w:val="0000EE"/>
        </w:rPr>
      </w:pPr>
      <w:hyperlink r:id="rId43">
        <w:r>
          <w:rPr>
            <w:rFonts w:ascii="Arial" w:cs="Arial" w:eastAsia="Arial" w:hAnsi="Arial"/>
            <w:sz w:val="18"/>
            <w:szCs w:val="18"/>
            <w:u w:val="single" w:color="auto"/>
            <w:color w:val="0000EE"/>
          </w:rPr>
          <w:t>the description of our common stock set forth in the registration statement on Form 8-A registering our common stock under Section 12 of the</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Exchange Act, which was filed with the SEC on November 3, 2016, including any amendments or reports filed for purposes of updating such</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description</w:t>
        </w:r>
        <w:r>
          <w:rPr>
            <w:rFonts w:ascii="Arial" w:cs="Arial" w:eastAsia="Arial" w:hAnsi="Arial"/>
            <w:sz w:val="18"/>
            <w:szCs w:val="18"/>
            <w:color w:val="000000"/>
          </w:rPr>
          <w:t>.</w:t>
        </w:r>
      </w:hyperlink>
    </w:p>
    <w:p>
      <w:pPr>
        <w:spacing w:after="0" w:line="181" w:lineRule="exact"/>
        <w:rPr>
          <w:rFonts w:ascii="Arial" w:cs="Arial" w:eastAsia="Arial" w:hAnsi="Arial"/>
          <w:sz w:val="18"/>
          <w:szCs w:val="18"/>
          <w:u w:val="single" w:color="auto"/>
          <w:color w:val="0000EE"/>
        </w:rPr>
      </w:pPr>
    </w:p>
    <w:p>
      <w:pPr>
        <w:ind w:firstLine="648"/>
        <w:spacing w:after="0" w:line="297" w:lineRule="auto"/>
        <w:rPr>
          <w:sz w:val="20"/>
          <w:szCs w:val="20"/>
          <w:color w:val="auto"/>
        </w:rPr>
      </w:pPr>
      <w:r>
        <w:rPr>
          <w:rFonts w:ascii="Arial" w:cs="Arial" w:eastAsia="Arial" w:hAnsi="Arial"/>
          <w:sz w:val="16"/>
          <w:szCs w:val="16"/>
          <w:color w:val="auto"/>
        </w:rPr>
        <w:t>We also incorporate by reference into this prospectus supplement all documents (other than current reports furnished under Item 2.02 or Item 7.01 of Form 8-K and exhibits filed on such form that are related to such items) that are filed by us with the SEC pursuant to Sections 13(a), 13(c), 14 or 15(d) of the Exchange Act (i) after the date of the initial filing of the registration statement of which this prospectus supplement forms a part and prior to effectiveness of the registration statement, or (ii) after the date of this prospectus supplement but prior to the termination of the offering. These documents include periodic reports, such as Annual Reports on Form 10-K, Quarterly Reports on Form 10-Q and Current Reports on Form 8-K, as well as proxy statements.</w:t>
      </w:r>
    </w:p>
    <w:p>
      <w:pPr>
        <w:spacing w:after="0" w:line="374" w:lineRule="exact"/>
        <w:rPr>
          <w:rFonts w:ascii="Arial" w:cs="Arial" w:eastAsia="Arial" w:hAnsi="Arial"/>
          <w:sz w:val="18"/>
          <w:szCs w:val="18"/>
          <w:u w:val="single" w:color="auto"/>
          <w:color w:val="0000EE"/>
        </w:rPr>
      </w:pPr>
    </w:p>
    <w:p>
      <w:pPr>
        <w:jc w:val="center"/>
        <w:ind w:right="-59"/>
        <w:spacing w:after="0"/>
        <w:rPr>
          <w:sz w:val="20"/>
          <w:szCs w:val="20"/>
          <w:color w:val="auto"/>
        </w:rPr>
      </w:pPr>
      <w:r>
        <w:rPr>
          <w:rFonts w:ascii="Arial" w:cs="Arial" w:eastAsia="Arial" w:hAnsi="Arial"/>
          <w:sz w:val="18"/>
          <w:szCs w:val="18"/>
          <w:color w:val="auto"/>
        </w:rPr>
        <w:t>S-16</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18" w:name="page19"/>
    <w:bookmarkEnd w:id="18"/>
    <w:p>
      <w:pPr>
        <w:ind w:right="60" w:firstLine="648"/>
        <w:spacing w:after="0" w:line="279" w:lineRule="auto"/>
        <w:rPr>
          <w:sz w:val="20"/>
          <w:szCs w:val="20"/>
          <w:color w:val="auto"/>
        </w:rPr>
      </w:pPr>
      <w:r>
        <w:rPr>
          <w:rFonts w:ascii="Arial" w:cs="Arial" w:eastAsia="Arial" w:hAnsi="Arial"/>
          <w:sz w:val="17"/>
          <w:szCs w:val="17"/>
          <w:color w:val="auto"/>
        </w:rPr>
        <w:t>We will provide to each person, including any beneficial owner, to whom a prospectus is delivered, without charge upon written or oral request, a copy of any or all of the documents that are incorporated by reference into this prospectus supplement and the accompanying prospectus but not delivered with the prospectus, including exhibits that are specifically incorporated by reference into such documents. You should direct any requests for documents to Marker Therapeutics, Inc., Attn: Corporate Secretary, 3200 Southwest Freeway, Suite 2240, Houston, Texas 77027.</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Any statement contained in this prospectus supplement or contained in a document incorporated or deemed to be incorporated by reference into this prospectus supplement will be deemed to be modified or superseded to the extent that a statement contained in this prospectus supplement or any subsequently filed supplement to the accompanying prospectus, or document deemed to be incorporated by reference into this prospectus supplement, modifies or supersedes such statement.</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8" w:right="359" w:bottom="1440" w:gutter="0" w:footer="0" w:header="0"/>
        </w:sectPr>
      </w:pPr>
    </w:p>
    <w:bookmarkStart w:id="19" w:name="page20"/>
    <w:bookmarkEnd w:id="19"/>
    <w:p>
      <w:pPr>
        <w:ind w:right="300"/>
        <w:spacing w:after="0" w:line="264" w:lineRule="auto"/>
        <w:rPr>
          <w:sz w:val="20"/>
          <w:szCs w:val="20"/>
          <w:color w:val="auto"/>
        </w:rPr>
      </w:pPr>
      <w:r>
        <w:rPr>
          <w:rFonts w:ascii="Arial" w:cs="Arial" w:eastAsia="Arial" w:hAnsi="Arial"/>
          <w:sz w:val="18"/>
          <w:szCs w:val="18"/>
          <w:color w:val="FF4040"/>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JUNE 14,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154940</wp:posOffset>
            </wp:positionV>
            <wp:extent cx="2504440" cy="5657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250444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1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From time to time, we may offer and sell up to $200,000,000 of any combination of the securities described in this prospectus in one or more offerings. We may also offer securities as may be issuable upon conversion, redemption, repurchase, exchange or exercise of any securities registered hereunder, including any applicable anti-dilution provisions.</w:t>
      </w:r>
    </w:p>
    <w:p>
      <w:pPr>
        <w:spacing w:after="0" w:line="18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This prospectus provides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prospectus may not be used to consummate a sale of any securities unless accompanied by a prospectus supplement.</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will sell these securities directly to investors, through agents designated from time to time or to or through underwriters or dealers, on a continuous or delayed basis. For additional information on the methods of sale, you should refer to the section entitled “Plan of Distribution” in this prospectus and in the applicable prospectus supplement.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spacing w:after="0" w:line="193" w:lineRule="exact"/>
        <w:rPr>
          <w:sz w:val="20"/>
          <w:szCs w:val="20"/>
          <w:color w:val="auto"/>
        </w:rPr>
      </w:pPr>
    </w:p>
    <w:p>
      <w:pPr>
        <w:jc w:val="both"/>
        <w:ind w:right="320" w:firstLine="324"/>
        <w:spacing w:after="0" w:line="286" w:lineRule="auto"/>
        <w:rPr>
          <w:sz w:val="20"/>
          <w:szCs w:val="20"/>
          <w:color w:val="auto"/>
        </w:rPr>
      </w:pPr>
      <w:r>
        <w:rPr>
          <w:rFonts w:ascii="Arial" w:cs="Arial" w:eastAsia="Arial" w:hAnsi="Arial"/>
          <w:sz w:val="17"/>
          <w:szCs w:val="17"/>
          <w:color w:val="auto"/>
        </w:rPr>
        <w:t>Our common stock is traded on the Nasdaq Capital Market under the symbol “MRKR.” On June 13, 2019, the last reported sale price of our common stock was $6.10 per share. The applicable prospectus supplement will contain information, where applicable, as to any other listing on the Nasdaq Capital Market or any securities market or other exchange of the securities, if any, covered by the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148590</wp:posOffset>
            </wp:positionV>
            <wp:extent cx="18097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b w:val="1"/>
          <w:bCs w:val="1"/>
          <w:i w:val="1"/>
          <w:iCs w:val="1"/>
          <w:color w:val="auto"/>
        </w:rPr>
        <w:t>Investing in our securities involves a high degree of risk. You should review carefully the risks and uncertainties described under the heading “Risk Factors” contained in the applicable prospectus supplement and any related free writing prospectus we have authorized for use in connection with a specific offering, and under similar headings in the other documents that are incorporated by reference into this prospectus as described on page 5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161925</wp:posOffset>
            </wp:positionV>
            <wp:extent cx="18097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right="240" w:firstLine="324"/>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157480</wp:posOffset>
            </wp:positionV>
            <wp:extent cx="18097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ind w:left="4060"/>
              <w:spacing w:after="0"/>
              <w:rPr>
                <w:sz w:val="20"/>
                <w:szCs w:val="20"/>
                <w:color w:val="auto"/>
              </w:rPr>
            </w:pPr>
            <w:r>
              <w:rPr>
                <w:rFonts w:ascii="Arial" w:cs="Arial" w:eastAsia="Arial" w:hAnsi="Arial"/>
                <w:sz w:val="18"/>
                <w:szCs w:val="18"/>
                <w:color w:val="auto"/>
              </w:rPr>
              <w:t>The date of this prospectus is</w:t>
            </w:r>
          </w:p>
        </w:tc>
        <w:tc>
          <w:tcPr>
            <w:tcW w:w="4900" w:type="dxa"/>
            <w:vAlign w:val="bottom"/>
          </w:tcPr>
          <w:p>
            <w:pPr>
              <w:jc w:val="right"/>
              <w:ind w:right="3950"/>
              <w:spacing w:after="0"/>
              <w:rPr>
                <w:sz w:val="20"/>
                <w:szCs w:val="20"/>
                <w:color w:val="auto"/>
              </w:rPr>
            </w:pPr>
            <w:r>
              <w:rPr>
                <w:rFonts w:ascii="Arial" w:cs="Arial" w:eastAsia="Arial" w:hAnsi="Arial"/>
                <w:sz w:val="18"/>
                <w:szCs w:val="18"/>
                <w:color w:val="auto"/>
              </w:rPr>
              <w:t>, 2019.</w:t>
            </w:r>
          </w:p>
        </w:tc>
      </w:tr>
      <w:tr>
        <w:trPr>
          <w:trHeight w:val="675"/>
        </w:trPr>
        <w:tc>
          <w:tcPr>
            <w:tcW w:w="65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20" w:type="dxa"/>
            <w:vAlign w:val="bottom"/>
            <w:gridSpan w:val="3"/>
          </w:tcPr>
          <w:p>
            <w:pPr>
              <w:ind w:left="94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ABOUT THIS PROSPECTUS</w:t>
              </w:r>
            </w:hyperlink>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line="176" w:lineRule="exact"/>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SUMMARY</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SPECIAL NOTE REGARDING FORWARD-LOOKING STATEMENTS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CAPITAL STOCK</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DESCRIPTION OF DEBT SECURITIES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10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DESCRIPTION OF WARRANTS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16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LEGAL OWNERSHIP OF SECURITIES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18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PLAN OF DISTRIBUTION</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21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LEGAL MATTERS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23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EXPERTS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23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WHERE YOU CAN FIND MORE INFORMATION</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23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14"/>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INCORPORATION OF CERTAIN INFORMATION BY REFERENCE</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24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13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59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This prospectus is a part of a registration statement on Form S-3 that we filed with the Securities and Exchange Commission, or SEC, utilizing a “shelf” registration process. Under this shelf registration statement, we may sell any combination of the securities described in this prospectus in one or more offerings up to a total aggregate offering price of $200,000,000. This prospectus provides you with a general description of the securities we may offer.</w:t>
      </w:r>
    </w:p>
    <w:p>
      <w:pPr>
        <w:spacing w:after="0" w:line="14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174" w:lineRule="exact"/>
        <w:rPr>
          <w:sz w:val="20"/>
          <w:szCs w:val="20"/>
          <w:color w:val="auto"/>
        </w:rPr>
      </w:pPr>
    </w:p>
    <w:p>
      <w:pPr>
        <w:ind w:right="800" w:firstLine="324"/>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16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78"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87"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related notes, and the exhibits to the registration statement of which this prospectus is a part, before making your investment decision.</w:t>
      </w:r>
    </w:p>
    <w:p>
      <w:pPr>
        <w:spacing w:after="0" w:line="17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Unless the context indicates otherwise, as used in this prospectus, unless the context otherwise requires, references to "we," "us," "our," "the company" and "Marker Therapeutics" refer to Marker Therapeutics, Inc., formerly known as TapImmune, Inc., and its subsidiaries. 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 and ™, but such references should not be construed as any indication that their respective owners will not assert, to the fullest extent under applicable law, their rights thereto.</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We are a clinical-stage immuno-oncology company specializing in the development and commercialization of novel T cell-based immunotherapies and innovative peptide-based vaccines for the treatment of hematological malignancies and solid tumor indications. We developed our lead product candidates from our MultiTAA T cell technology, which is based on the selective expansion of non-engineered, tumor-specific T cells that recognize tumor associated antigens, or TAAs, which are tumor targets, and then kill tumor cells expressing those targets. These T cells are designed to recognize multiple tumor targets to produce broad spectrum anti-tumor activity. We are advancing two MultiTAA T cell pipelines: our autologous T cells for the treatment of lymphoma, multiple myeloma and selected solid tumors and our allogeneic T cells for the treatment of acute myeloid leukemia, or AML, and acute lymphoblastic leukemia, or ALL. Because we do not genetically engineer our MultiTAA therapies, we believe that our product candidates are easier and less expensive to manufacture, with reduced toxicities, than current engineered CAR-T and T cell receptor-based therapies, and may provide patients with meaningful clinical benefit. We are also developing innovative peptide-based immunotherapeutic vaccines for the treatment of metastatic solid tumors, as well as PolyStart, a proprietary nucleic acid-based antigen expression technology designed to improve the ability of the immune system to recognize and destroy diseased cells.</w:t>
      </w:r>
    </w:p>
    <w:p>
      <w:pPr>
        <w:spacing w:after="0" w:line="16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are pursuing post-transplant AML as the lead indication for our MultiTAA program. Our MultiTAA therapy was well tolerated in our recent Phase 1 clinical trial, with no drug-related serious adverse events. Eleven of the thirteen patients in the adjuvant disease setting dosed with our MultiTAA therapy after receiving an allogeneic stem cell transplant survived, ranging from 6 weeks to 2.5 years post-infusion as of March 2019, with nine of these patients in continuing complete remission. As of March 2019, survival of the six patients with active disease ranged from 4 to 21 months, as compared to a historical survival rate of 4 months for patients who receive the standard of care post-transplant. We intend to submit an investigational new drug application to the United States Food and Drug Administration in the third quarter of 2019 to initiate a Phase 2 clinical trial in post-allogeneic hematopoietic stem cell transplant patients with AML in both the adjuvant and active disease setting.</w:t>
      </w:r>
    </w:p>
    <w:p>
      <w:pPr>
        <w:spacing w:after="0" w:line="17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We are also evaluating our MultiTAA therapy in a Phase 2 clinical trial for the treatment of breast cancer and in Phase 1 clinical trials for the treatment of ALL, lymphoma, multiple myeloma, pancreatic cancer and sarcoma. As of March 2019, our MultiTAA therapy has been well tolerated in all clinical trials in hematological and solid tumor indications with no drug-related serious adverse events, including cytokine release syndrome or neurotoxicity. In our clinical trials in lymphoma, ALL and multiple myeloma, we observed that our MultiTAA therapies have shown the potential to mediate a meaningful anti-tumor effect, as well as significant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expansion of T cells. We may initiate additional Phase 2 clinical trials in other indications in 2019 in addition to our planned Phase 2 trial in post-transplant AML patients. We plan to report additional interim data from an ongoing Phase 1/2 clinical trial in pancreatic cancer in the third quarter of 2019.</w:t>
      </w:r>
    </w:p>
    <w:p>
      <w:pPr>
        <w:spacing w:after="0" w:line="18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addition to our MultiTAA therapies, we are developing peptide-based immunotherapeutic vaccines that are designed to precisely target breast and ovarian cancer cells, in contrast to standard therapies for the treatment of cancer that target both cancer cells and normal cells. We are currently evaluating TPIV100/110 for the treatment of breast cancers that overexpress human epidermal growth factor receptor 2 in a Phase 1b clinical trial and TPIV200 for the treatment of breast and ovarian cancers that overexpress folate receptor alpha in multiple Phase 2 clinical trials, including in ovarian cancer, for which we expect to report interim data in the fourth quarter of 2019, and triple negative breast cancer, for which we recently reported that 26 of the 27 patients evaluated for immunogenicity showed significant immune response to treatment as of March 2019. We believe that our peptide vaccines and our PolyStart technology, which is currently in preclinical development, can be used as both standalone therapies and as complementary therapies that enhance the efficacy of other immunotherapy approaches.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ind w:right="120" w:firstLine="324"/>
        <w:spacing w:after="0" w:line="255" w:lineRule="auto"/>
        <w:rPr>
          <w:sz w:val="20"/>
          <w:szCs w:val="20"/>
          <w:color w:val="auto"/>
        </w:rPr>
      </w:pPr>
      <w:r>
        <w:rPr>
          <w:rFonts w:ascii="Arial" w:cs="Arial" w:eastAsia="Arial" w:hAnsi="Arial"/>
          <w:sz w:val="18"/>
          <w:szCs w:val="18"/>
          <w:color w:val="auto"/>
        </w:rPr>
        <w:t>We believe that our therapies present promising innovations in immuno-oncology. We developed our MultiTAA therapy in collaboration with the Cell and Gene Therapy Center at Baylor College of Medicine, which was founded by Dr. Malcolm K. Brenner, M.D., Ph.D., a recognized pioneer in immuno-oncology. Baylor College of Medicine remains an important strategic partner and conducts early-stage clinical trials of our MultiTAA therapies pursuant to a sponsored research agreement. Our cell therapy founders include Drs. Brenner, Ann Leen, Ph.D., Juan Vera, M.D., Helen Heslop, M.D., DSc (Hon) and Cliona Rooney, Ph.D., who all have significant experience in this field. Drs. Brenner, Heslop, Rooney, James P. Allison and Padmanee Sharma serve on our Scientific Advisory Board.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clinical-stage pipeline, including clinical trials being conducted by Baylor College of Medicine,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574030" cy="2967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5574030"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MAPP: autologous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LAPP: allogeneic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120" w:firstLine="401"/>
        <w:spacing w:after="0" w:line="270" w:lineRule="auto"/>
        <w:rPr>
          <w:sz w:val="20"/>
          <w:szCs w:val="20"/>
          <w:color w:val="auto"/>
        </w:rPr>
      </w:pPr>
      <w:r>
        <w:rPr>
          <w:rFonts w:ascii="Arial" w:cs="Arial" w:eastAsia="Arial" w:hAnsi="Arial"/>
          <w:sz w:val="17"/>
          <w:szCs w:val="17"/>
          <w:color w:val="auto"/>
        </w:rPr>
        <w:t xml:space="preserve">We were incorporated under the laws of the State of Nevada in 1991 under the name “TapImmune, Inc.” and reincorporated in Delaware in October 2018 under the name “Marker Therapeutics, Inc.” On October 17, 2018, we completed a business combination with a Delaware corporation that was then known as “Marker Therapeutics, Inc.,” or Private Marker, in accordance with the terms of the Agreement and Plan of Merger and Reorganization dated as of May 15, 2018, or the Merger Agreement, by and among us, Private Marker and Timberwolf Merger Sub, Inc., a Delaware corporation and a wholly owned subsidiary of TapImmune, or Merger Sub, pursuant to which, among other matters, Merger Sub merged with and into Private Marker, with Private Marker continuing as a wholly owned subsidiary of TapImmune and the surviving corporation of the merger. In connection with the merger, we changed our name from “TapImmune, Inc.” to “Marker Therapeutics, Inc.” and Private Marker changed its name to “Marker Cell Therapy, Inc.” and became our wholly owned subsidiary. Our principal executive offices are located at 3200 Southwest Freeway, Suite 2240, Houston, Texas 77027, and our telephone number is (713) 400-6400. Our website is located at </w:t>
      </w:r>
      <w:r>
        <w:rPr>
          <w:rFonts w:ascii="Arial" w:cs="Arial" w:eastAsia="Arial" w:hAnsi="Arial"/>
          <w:sz w:val="17"/>
          <w:szCs w:val="17"/>
          <w:i w:val="1"/>
          <w:iCs w:val="1"/>
          <w:color w:val="auto"/>
        </w:rPr>
        <w:t>http://www.markertherapeutics.com</w:t>
      </w:r>
      <w:r>
        <w:rPr>
          <w:rFonts w:ascii="Arial" w:cs="Arial" w:eastAsia="Arial" w:hAnsi="Arial"/>
          <w:sz w:val="17"/>
          <w:szCs w:val="17"/>
          <w:color w:val="auto"/>
        </w:rPr>
        <w:t>. We do not incorporate by reference into this prospectus the information on, or accessible through, our website, and you should not consider it as part of this prospectus.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may offer shares of our common stock and preferred stock, various series of debt securities and/or warrants to purchase any of such securities, either individually or in combination, up to a total aggregate offering price of $200,000,000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9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maturity;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original issue discount,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redemption, conversion, exchange or sinking fund terms, if any;</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ranking;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restrictive covenants,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important U.S. federal income tax considerations.</w:t>
      </w:r>
    </w:p>
    <w:p>
      <w:pPr>
        <w:spacing w:after="0" w:line="2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18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names of those underwriters or agents;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estimated net proceeds to us.</w:t>
      </w:r>
    </w:p>
    <w:p>
      <w:pPr>
        <w:spacing w:after="0" w:line="211" w:lineRule="exact"/>
        <w:rPr>
          <w:sz w:val="20"/>
          <w:szCs w:val="20"/>
          <w:color w:val="auto"/>
        </w:rPr>
      </w:pPr>
    </w:p>
    <w:p>
      <w:pPr>
        <w:jc w:val="both"/>
        <w:ind w:right="100" w:firstLine="324"/>
        <w:spacing w:after="0" w:line="257" w:lineRule="auto"/>
        <w:rPr>
          <w:sz w:val="20"/>
          <w:szCs w:val="20"/>
          <w:color w:val="auto"/>
        </w:rPr>
      </w:pP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We may issue shares of our common stock from time to time. Holders of our common stock are entitled to one vote for each share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ratably any dividends as may be declared by our board of directors, subject to any preferential dividend rights of any series of preferred stock that we may designate and issue in the future.</w:t>
      </w:r>
    </w:p>
    <w:p>
      <w:pPr>
        <w:spacing w:after="0" w:line="18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the event of our liquidation, dissolution or winding up, the holders of common stock are entitled to receive ratably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188" w:lineRule="exact"/>
        <w:rPr>
          <w:sz w:val="20"/>
          <w:szCs w:val="20"/>
          <w:color w:val="auto"/>
        </w:rPr>
      </w:pPr>
    </w:p>
    <w:p>
      <w:pPr>
        <w:ind w:right="80" w:firstLine="238"/>
        <w:spacing w:after="0" w:line="259"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We may issue shares of our preferred stock from time to time, in one or more series. Under our certificate of incorporation,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has the authority, without further action by the stockholders, to issue up to 5,000,000 shares of preferred stock, par value $0.001 per share. You should refer to our certificate of incorporation and our bylaws, both of which are included as exhibits to the registration statement of which this prospectus is a part.</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5" w:name="page26"/>
    <w:bookmarkEnd w:id="25"/>
    <w:p>
      <w:pPr>
        <w:ind w:right="20" w:firstLine="324"/>
        <w:spacing w:after="0" w:line="290" w:lineRule="auto"/>
        <w:rPr>
          <w:sz w:val="20"/>
          <w:szCs w:val="20"/>
          <w:color w:val="auto"/>
        </w:rPr>
      </w:pPr>
      <w:r>
        <w:rPr>
          <w:rFonts w:ascii="Arial" w:cs="Arial" w:eastAsia="Arial" w:hAnsi="Arial"/>
          <w:sz w:val="16"/>
          <w:szCs w:val="16"/>
          <w:color w:val="auto"/>
        </w:rPr>
        <w:t>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66"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If we offer a specific series of preferred stock under this prospectus, we will describe the terms of the preferred stock in the prospectus supplement for such offering and will file a copy of the certificate of designation establishing the terms of the preferred stock with the SEC. We urge you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b w:val="1"/>
          <w:bCs w:val="1"/>
          <w:i w:val="1"/>
          <w:iCs w:val="1"/>
          <w:color w:val="auto"/>
        </w:rPr>
        <w:t>Debt Securities</w:t>
      </w:r>
      <w:r>
        <w:rPr>
          <w:rFonts w:ascii="Arial" w:cs="Arial" w:eastAsia="Arial" w:hAnsi="Arial"/>
          <w:sz w:val="18"/>
          <w:szCs w:val="18"/>
          <w:color w:val="auto"/>
        </w:rPr>
        <w:t>. We may issue debt securities from time to time, in one or more series, as either senior or subordinated debt or as senior or subordinated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the holder’s option and would be at prescribed conversion rates.</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stock, preferred stock and/or debt securities in one or more series. We may issue warrants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independently or together with common stock, preferred stock and/or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that may be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 before the issuance of such warrants.</w:t>
      </w:r>
    </w:p>
    <w:p>
      <w:pPr>
        <w:spacing w:after="0" w:line="166"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Any warrants issued under this prospectus will be evidenced by warrant certificates. Warrants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6" w:name="page27"/>
    <w:bookmarkEnd w:id="26"/>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Annual Report on Form 10-K for the year ended December 31, 2018, as updated by any subsequently filed periodic reports and other documents that are incorporated by reference into this prospectus, before deciding whether to purchase any of the securities being registered pursuant to the registration statement of which this prospectus is a part. Each of the risk factors described in the documents referenced above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This prospectus and the documents incorporated by reference herein contain forward-looking statements. These are based on our management’s current beliefs, expectations and assumptions about future events, conditions and results and on information currently available to us. Discussions containing these forward-looking statements may be found, among other places, in the sections entitled “Business,” “Risk Factors” and “Management’s Discussion and Analysis of Financial Condition and Results of Operations” contained in the documents incorporated by reference herein.</w:t>
      </w:r>
    </w:p>
    <w:p>
      <w:pPr>
        <w:spacing w:after="0" w:line="154"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Any statements in this prospectus, or incorporated herein, about our expectations, beliefs, plans, objectives, assumptions or future events or performance are not historical facts and are forward-looking statements. Within the meaning of Section 27A of the Securities Act and Section 21E of the Securities Exchange Act of 1934, as amended, or the Exchange Act, these forward-looking statements include statements regarding:</w:t>
      </w:r>
    </w:p>
    <w:p>
      <w:pPr>
        <w:spacing w:after="0" w:line="166" w:lineRule="exact"/>
        <w:rPr>
          <w:sz w:val="20"/>
          <w:szCs w:val="20"/>
          <w:color w:val="auto"/>
        </w:rPr>
      </w:pPr>
    </w:p>
    <w:p>
      <w:pPr>
        <w:ind w:left="980" w:right="40" w:hanging="324"/>
        <w:spacing w:after="0" w:line="256"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progress and results of clinical trials of our MultiTAA therapies and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p>
      <w:pPr>
        <w:ind w:left="980" w:right="44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any submission of filings for regulatory approval of our product candidates and our ability to obtain and maintain regulatory approvals for our product candidates for any indication;</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our product candidates;</w:t>
      </w:r>
    </w:p>
    <w:p>
      <w:pPr>
        <w:spacing w:after="0" w:line="9" w:lineRule="exact"/>
        <w:rPr>
          <w:rFonts w:ascii="Arial" w:cs="Arial" w:eastAsia="Arial" w:hAnsi="Arial"/>
          <w:sz w:val="18"/>
          <w:szCs w:val="18"/>
          <w:color w:val="auto"/>
        </w:rPr>
      </w:pPr>
    </w:p>
    <w:p>
      <w:pPr>
        <w:ind w:left="980" w:right="6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market acceptance and opportunity for and clinical utility of our product candidates, if approved for commercial use;</w:t>
      </w:r>
    </w:p>
    <w:p>
      <w:pPr>
        <w:ind w:left="980" w:right="60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manufacturing capabilities and strategy, including the, ease, scalability and commercial viability of our manufacturing methods and processes;</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expectations regarding the scope of any approved indications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benefits of and our ability to maintain our relationships and collaborations with the Baylor College of Medicine and other potential collaboration or strategic relationships;</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use our MultiTAA platform to develop future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estimates of our expenses, ongoing losses, future revenue, capital requirements and our needs for or ability to obtain additional funding;</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position for our product candidates, and the scope of such protection;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competitive position and the development of and projections relating to our competitors or our industry;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211" w:lineRule="exact"/>
        <w:rPr>
          <w:sz w:val="20"/>
          <w:szCs w:val="20"/>
          <w:color w:val="auto"/>
        </w:rPr>
      </w:pPr>
    </w:p>
    <w:p>
      <w:pPr>
        <w:ind w:right="40" w:firstLine="369"/>
        <w:spacing w:after="0" w:line="276" w:lineRule="auto"/>
        <w:rPr>
          <w:sz w:val="20"/>
          <w:szCs w:val="20"/>
          <w:color w:val="auto"/>
        </w:rPr>
      </w:pPr>
      <w:r>
        <w:rPr>
          <w:rFonts w:ascii="Arial" w:cs="Arial" w:eastAsia="Arial" w:hAnsi="Arial"/>
          <w:sz w:val="17"/>
          <w:szCs w:val="17"/>
          <w:color w:val="auto"/>
        </w:rPr>
        <w:t>In some cases, you can identify forward-looking statements by the words “may,” “might,” “can,” “will,” “to be,” “could,” “would,” “should,” “expect,” “intend,” “plan,” “objective,” “anticipate,” “believe,” “estimate,” “predict,” “project,” “potential,” “likely,” “continue” and “ongoing,” or the negative of these terms, or other comparable terminology intended to identify statements about the future, although not all forward-looking statements contain these words.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27" w:name="page28"/>
    <w:bookmarkEnd w:id="27"/>
    <w:p>
      <w:pPr>
        <w:ind w:firstLine="324"/>
        <w:spacing w:after="0" w:line="272" w:lineRule="auto"/>
        <w:rPr>
          <w:sz w:val="20"/>
          <w:szCs w:val="20"/>
          <w:color w:val="auto"/>
        </w:rPr>
      </w:pPr>
      <w:r>
        <w:rPr>
          <w:rFonts w:ascii="Arial" w:cs="Arial" w:eastAsia="Arial" w:hAnsi="Arial"/>
          <w:sz w:val="17"/>
          <w:szCs w:val="17"/>
          <w:color w:val="auto"/>
        </w:rPr>
        <w:t>You should refer to the “Risk Factors” section contained in the applicable prospectus supplement and any related free writing prospectus, and under similar headings in the other documents that are incorporated by reference into this prospectus, for a discussion of important factors that may cause our actual results to differ materially from those expressed or implied by our forward-looking statements. Given these risks, uncertainties and other factors, many of which are beyond our control, we cannot assure you that the forward-looking statements in this prospectus will prove to be accurate, and you should not place undue reliance on these forward-looking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78"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Except as required by law, we assume no obligation to update these forward-looking statements publicly, or to revise any forward-looking statements to reflect events or developments occurring after the date of this prospectus, even if new information becomes available in the future.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will retain broad discretion over the use of the net proceeds from the sale of the securities offered hereby. Except as described in any applicable prospectus supplement or in any free writing prospectuses that we may authorize to be provided to you in connection with a specific offering, we currently intend to use the net proceeds from the sale of the securities offered hereby for working capital, capital expenditures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Pending these uses, we intend to invest the net proceeds in investment-grade, interest-bearing securities.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i w:val="1"/>
          <w:iCs w:val="1"/>
          <w:color w:val="auto"/>
        </w:rPr>
        <w:t>The following description of our capital stock and provisions of our certificate of incorporation and bylaws are summaries. You should also refer to the certificate of incorporation and the bylaws, which are filed as exhibits to the registration statement of which this prospectus is part.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80" w:firstLine="330"/>
        <w:spacing w:after="0" w:line="286" w:lineRule="auto"/>
        <w:rPr>
          <w:sz w:val="20"/>
          <w:szCs w:val="20"/>
          <w:color w:val="auto"/>
        </w:rPr>
      </w:pPr>
      <w:r>
        <w:rPr>
          <w:rFonts w:ascii="Arial" w:cs="Arial" w:eastAsia="Arial" w:hAnsi="Arial"/>
          <w:sz w:val="17"/>
          <w:szCs w:val="17"/>
          <w:color w:val="auto"/>
        </w:rPr>
        <w:t>Our certificate of incorporation authorizes us to issue up to 150,000,000 shares of common stock, $0.001 par value per share, and 5,000,000 shares of preferred stock, $0.001 par value per share. Our board of directors may establish the rights and preferences of the preferred stock from time to time. As of March 31, 2019, we had outstanding 45,484,483 shares of common stock and no shares of preferred stock outstanding.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and do not have cumulative voting rights. As a result, the holders of a plurality of the shares of common stock entitled to vote in any election of directors can elect all of the directors standing for election, if they should so choose.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Holders of common stock are entitled to receive ratably any dividends as may be declared by our board of directors, subject to any preferential dividend rights of any series of preferred stock that we may designate and issue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25" w:lineRule="exact"/>
        <w:rPr>
          <w:sz w:val="20"/>
          <w:szCs w:val="20"/>
          <w:color w:val="auto"/>
        </w:rPr>
      </w:pPr>
    </w:p>
    <w:p>
      <w:pPr>
        <w:ind w:right="700" w:firstLine="324"/>
        <w:spacing w:after="0" w:line="342" w:lineRule="auto"/>
        <w:rPr>
          <w:sz w:val="20"/>
          <w:szCs w:val="20"/>
          <w:color w:val="auto"/>
        </w:rPr>
      </w:pPr>
      <w:r>
        <w:rPr>
          <w:rFonts w:ascii="Arial" w:cs="Arial" w:eastAsia="Arial" w:hAnsi="Arial"/>
          <w:sz w:val="16"/>
          <w:szCs w:val="16"/>
          <w:color w:val="auto"/>
        </w:rPr>
        <w:t>In the event of our liquidation, dissolution or winding up, the holders of common stock are entitled to receive ratably our net assets available for distribution to stockholders after the payment of all debts and other liabilities and subject to the prior rights of any outstanding preferred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and Preferences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Holders of common stock have no preemptive, subscription, redemption or conversion rights.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Pursuant to our certificate of incorporation, our board of directors has the authority, without further action by our stockholders, from time to time, to designate and issue up to 5,000,000 shares of preferred stock in one or more series. Our board of directors may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2"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Our board of directors will fix the designations, voting powers, preferences and rights of each series, as well as the qualifications, limitations or restrictions thereof, of the preferred stock of each series that we offer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9" w:name="page30"/>
    <w:bookmarkEnd w:id="29"/>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we are offering;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purchase price per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dividend rate per share, dividend period and payment dates and method of calculation for dividends;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right, if any, to defer payment of dividends and the maximum length of any such deferral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those redemption and repurchase rights;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9" w:lineRule="exact"/>
        <w:rPr>
          <w:rFonts w:ascii="Arial" w:cs="Arial" w:eastAsia="Arial" w:hAnsi="Arial"/>
          <w:sz w:val="18"/>
          <w:szCs w:val="18"/>
          <w:color w:val="auto"/>
        </w:rPr>
      </w:pPr>
    </w:p>
    <w:p>
      <w:pPr>
        <w:ind w:left="660" w:right="220" w:hanging="32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spacing w:after="0" w:line="1" w:lineRule="exact"/>
        <w:rPr>
          <w:rFonts w:ascii="Arial" w:cs="Arial" w:eastAsia="Arial" w:hAnsi="Arial"/>
          <w:sz w:val="16"/>
          <w:szCs w:val="16"/>
          <w:color w:val="auto"/>
        </w:rPr>
      </w:pPr>
    </w:p>
    <w:p>
      <w:pPr>
        <w:ind w:left="660" w:right="2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period, the exchange price, or how it will be calculated, and under what circumstances it may be adjusted;</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preemption rights,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interests in the preferred stock will be represented by depositary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the preferred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relative ranking and preferences of the preferred stock as to dividend rights and rights if we liquidate, dissolve or wind up our affairs;</w:t>
      </w:r>
    </w:p>
    <w:p>
      <w:pPr>
        <w:spacing w:after="0" w:line="20" w:lineRule="exact"/>
        <w:rPr>
          <w:rFonts w:ascii="Arial" w:cs="Arial" w:eastAsia="Arial" w:hAnsi="Arial"/>
          <w:sz w:val="17"/>
          <w:szCs w:val="17"/>
          <w:color w:val="auto"/>
        </w:rPr>
      </w:pPr>
    </w:p>
    <w:p>
      <w:pPr>
        <w:ind w:left="660" w:right="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specific terms, rights, preferences, privileges, qualifications or restrictions of the preferred stock.</w:t>
      </w:r>
    </w:p>
    <w:p>
      <w:pPr>
        <w:spacing w:after="0" w:line="21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General Corporation Law of the State of Delaware, or DGCL,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88"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The issuance of preferred stock could adversely affect the voting power of holders of common stock and reduce the likelihood that common stockholders will receive dividend payments and payments upon liquidation. The issuance could have the effect of decreasing the market price of the common stock. The issuance of preferred stock also could have the effect of delaying, deterring or preventing a change in control of 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203 of the Delaware General Corporation Law</w:t>
      </w:r>
    </w:p>
    <w:p>
      <w:pPr>
        <w:spacing w:after="0" w:line="225"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24" w:lineRule="exact"/>
        <w:rPr>
          <w:sz w:val="20"/>
          <w:szCs w:val="20"/>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left="660" w:righ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25"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70"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Incorporation and Bylaws</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Because our stockholders do not have cumulative voting rights, stockholders holding a plurality of the shares of our common stock outstanding will be able to elect all of our directors. Our bylaws also provide that directors may be removed by the stockholders upon the vote of a majority of the shares entitled to vote an election of directors, and if a director was elected by a voting group of stockholders, only stockholders from that voting group may vote to remove such director, and such vacancy may be filled only by the stockholders of that voting group.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65"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Our bylaws provide that only a majority of the authorized directors on our board of directors, the chairman of the board or the chief executive officer to call a special meeting of stockholders. Our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combination of these provisions may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transfer agent and registrar for our common stock is Island Stock Transfer, with offices at 15500 Roosevelt Boulevard, Clearwater, FL 33760. The transfer agent for any series of preferred stock that we may offer under this prospectus will be named and described in the prospectus supplement for that series.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Nasdaq</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Nasdaq Capital Market under the symbol “MRKR.”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73"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5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71"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describe in the applicable prospectus supplement the terms of the series of debt securities being offered, including:</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of the series of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limit upon the aggregate principal amount that may be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maturity date or 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form of the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debt securities rank as senior debt, senior subordinated debt, subordinated debt or any combination thereof, and the terms of any subordination;</w:t>
      </w:r>
    </w:p>
    <w:p>
      <w:pPr>
        <w:spacing w:after="0" w:line="170"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ind w:left="328" w:right="220" w:hanging="328"/>
        <w:spacing w:after="0" w:line="308" w:lineRule="auto"/>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46" w:lineRule="exact"/>
        <w:rPr>
          <w:rFonts w:ascii="Arial" w:cs="Arial" w:eastAsia="Arial" w:hAnsi="Arial"/>
          <w:sz w:val="17"/>
          <w:szCs w:val="17"/>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328" w:right="80" w:hanging="328"/>
        <w:spacing w:after="0" w:line="342" w:lineRule="auto"/>
        <w:tabs>
          <w:tab w:leader="none" w:pos="328"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123" w:lineRule="exact"/>
        <w:rPr>
          <w:rFonts w:ascii="Arial" w:cs="Arial" w:eastAsia="Arial" w:hAnsi="Arial"/>
          <w:sz w:val="16"/>
          <w:szCs w:val="16"/>
          <w:color w:val="auto"/>
        </w:rPr>
      </w:pPr>
    </w:p>
    <w:p>
      <w:pPr>
        <w:ind w:left="328" w:right="180" w:hanging="328"/>
        <w:spacing w:after="0" w:line="264"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181"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denominations in which we will issue the series of debt securities, if other than denominations of $1,000 and any integral multiple thereof;</w:t>
      </w:r>
    </w:p>
    <w:p>
      <w:pPr>
        <w:spacing w:after="0" w:line="236" w:lineRule="exact"/>
        <w:rPr>
          <w:rFonts w:ascii="Arial" w:cs="Arial" w:eastAsia="Arial" w:hAnsi="Arial"/>
          <w:sz w:val="17"/>
          <w:szCs w:val="17"/>
          <w:color w:val="auto"/>
        </w:rPr>
      </w:pPr>
    </w:p>
    <w:p>
      <w:pPr>
        <w:ind w:left="328" w:right="260" w:hanging="328"/>
        <w:spacing w:after="0" w:line="342" w:lineRule="auto"/>
        <w:tabs>
          <w:tab w:leader="none" w:pos="328"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23" w:lineRule="exact"/>
        <w:rPr>
          <w:rFonts w:ascii="Arial" w:cs="Arial" w:eastAsia="Arial" w:hAnsi="Arial"/>
          <w:sz w:val="16"/>
          <w:szCs w:val="16"/>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debt securities of the series shall be issued in whole or in part in the form of a global security or securities;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terms and conditions, if any, upon which such global security or securities may be exchanged in whole or in part for other individual securities;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depositary for such global security or securities;</w:t>
      </w:r>
    </w:p>
    <w:p>
      <w:pPr>
        <w:spacing w:after="0" w:line="225" w:lineRule="exact"/>
        <w:rPr>
          <w:rFonts w:ascii="Arial" w:cs="Arial" w:eastAsia="Arial" w:hAnsi="Arial"/>
          <w:sz w:val="18"/>
          <w:szCs w:val="18"/>
          <w:color w:val="auto"/>
        </w:rPr>
      </w:pPr>
    </w:p>
    <w:p>
      <w:pPr>
        <w:ind w:left="328" w:hanging="328"/>
        <w:spacing w:after="0" w:line="259"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186" w:lineRule="exact"/>
        <w:rPr>
          <w:rFonts w:ascii="Arial" w:cs="Arial" w:eastAsia="Arial" w:hAnsi="Arial"/>
          <w:sz w:val="18"/>
          <w:szCs w:val="18"/>
          <w:color w:val="auto"/>
        </w:rPr>
      </w:pPr>
    </w:p>
    <w:p>
      <w:pPr>
        <w:ind w:left="328" w:right="620" w:hanging="328"/>
        <w:spacing w:after="0" w:line="277"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170" w:lineRule="exact"/>
        <w:rPr>
          <w:rFonts w:ascii="Arial" w:cs="Arial" w:eastAsia="Arial" w:hAnsi="Arial"/>
          <w:sz w:val="18"/>
          <w:szCs w:val="18"/>
          <w:color w:val="auto"/>
        </w:rPr>
      </w:pPr>
    </w:p>
    <w:p>
      <w:pPr>
        <w:ind w:left="328" w:right="140" w:hanging="328"/>
        <w:spacing w:after="0" w:line="277"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to or changes in the covenants applicable to the particular debt securities being issued, including, among others, the consolidation, merger or sale covenant;</w:t>
      </w:r>
    </w:p>
    <w:p>
      <w:pPr>
        <w:spacing w:after="0" w:line="170" w:lineRule="exact"/>
        <w:rPr>
          <w:rFonts w:ascii="Arial" w:cs="Arial" w:eastAsia="Arial" w:hAnsi="Arial"/>
          <w:sz w:val="18"/>
          <w:szCs w:val="18"/>
          <w:color w:val="auto"/>
        </w:rPr>
      </w:pPr>
    </w:p>
    <w:p>
      <w:pPr>
        <w:ind w:left="328" w:right="280" w:hanging="328"/>
        <w:spacing w:after="0" w:line="277"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satisfaction and discharge of the indenture;</w:t>
      </w:r>
    </w:p>
    <w:p>
      <w:pPr>
        <w:spacing w:after="0" w:line="225" w:lineRule="exact"/>
        <w:rPr>
          <w:rFonts w:ascii="Arial" w:cs="Arial" w:eastAsia="Arial" w:hAnsi="Arial"/>
          <w:sz w:val="18"/>
          <w:szCs w:val="18"/>
          <w:color w:val="auto"/>
        </w:rPr>
      </w:pPr>
    </w:p>
    <w:p>
      <w:pPr>
        <w:ind w:left="328" w:right="120" w:hanging="328"/>
        <w:spacing w:after="0" w:line="277"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the modification of the indenture both with and without the consent of holders of debt securities issued under the indenture;</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currency of payment of debt securities if other than U.S. dollars and the manner of determining the equivalent amount in U.S. dollars;</w:t>
      </w:r>
    </w:p>
    <w:p>
      <w:pPr>
        <w:spacing w:after="0" w:line="236" w:lineRule="exact"/>
        <w:rPr>
          <w:rFonts w:ascii="Arial" w:cs="Arial" w:eastAsia="Arial" w:hAnsi="Arial"/>
          <w:sz w:val="17"/>
          <w:szCs w:val="17"/>
          <w:color w:val="auto"/>
        </w:rPr>
      </w:pPr>
    </w:p>
    <w:p>
      <w:pPr>
        <w:ind w:left="328" w:right="540" w:hanging="328"/>
        <w:spacing w:after="0" w:line="277"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debt securities at our or the holders’ option and the terms and conditions upon which the election may be made;</w:t>
      </w:r>
    </w:p>
    <w:p>
      <w:pPr>
        <w:spacing w:after="0" w:line="38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33" w:name="page34"/>
    <w:bookmarkEnd w:id="33"/>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debt securities of the series; and</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70" w:lineRule="exact"/>
        <w:rPr>
          <w:sz w:val="20"/>
          <w:szCs w:val="20"/>
          <w:color w:val="auto"/>
        </w:rPr>
      </w:pPr>
    </w:p>
    <w:p>
      <w:pPr>
        <w:ind w:left="660" w:right="120" w:hanging="328"/>
        <w:spacing w:after="0" w:line="28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165" w:lineRule="exact"/>
        <w:rPr>
          <w:rFonts w:ascii="Arial" w:cs="Arial" w:eastAsia="Arial" w:hAnsi="Arial"/>
          <w:sz w:val="17"/>
          <w:szCs w:val="17"/>
          <w:color w:val="auto"/>
        </w:rPr>
      </w:pPr>
    </w:p>
    <w:p>
      <w:pPr>
        <w:ind w:left="660" w:right="100" w:hanging="328"/>
        <w:spacing w:after="0" w:line="279"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171" w:lineRule="exact"/>
        <w:rPr>
          <w:rFonts w:ascii="Arial" w:cs="Arial" w:eastAsia="Arial" w:hAnsi="Arial"/>
          <w:sz w:val="17"/>
          <w:szCs w:val="17"/>
          <w:color w:val="auto"/>
        </w:rPr>
      </w:pPr>
    </w:p>
    <w:p>
      <w:pPr>
        <w:ind w:left="660" w:right="2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225"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4" w:name="page35"/>
    <w:bookmarkEnd w:id="34"/>
    <w:p>
      <w:pPr>
        <w:ind w:right="280" w:firstLine="324"/>
        <w:spacing w:after="0" w:line="286"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66"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7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 or to appoint a receiver or trustee, or to seek other remedies only if:</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written request,</w:t>
      </w:r>
    </w:p>
    <w:p>
      <w:pPr>
        <w:spacing w:after="0" w:line="225"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holders have offered to the trustee indemnity satisfactory to it against the costs, expenses and liabilities to be incurred by the trustee in compliance with the request; and</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and the trustee may change an indenture without the consent of any holders with respect to specific matters: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the debt securities of any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“Description of Debt Securities—Consolidation, Merger or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225" w:lineRule="exact"/>
        <w:rPr>
          <w:rFonts w:ascii="Arial" w:cs="Arial" w:eastAsia="Arial" w:hAnsi="Arial"/>
          <w:sz w:val="18"/>
          <w:szCs w:val="18"/>
          <w:color w:val="auto"/>
        </w:rPr>
      </w:pPr>
    </w:p>
    <w:p>
      <w:pPr>
        <w:ind w:left="660" w:right="20" w:hanging="328"/>
        <w:spacing w:after="0" w:line="31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146" w:lineRule="exact"/>
        <w:rPr>
          <w:rFonts w:ascii="Arial" w:cs="Arial" w:eastAsia="Arial" w:hAnsi="Arial"/>
          <w:sz w:val="16"/>
          <w:szCs w:val="16"/>
          <w:color w:val="auto"/>
        </w:rPr>
      </w:pPr>
    </w:p>
    <w:p>
      <w:pPr>
        <w:ind w:left="660" w:right="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5" w:name="page36"/>
    <w:bookmarkEnd w:id="35"/>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interests of any holder of debt securities of any series in any material respect;</w:t>
      </w:r>
    </w:p>
    <w:p>
      <w:pPr>
        <w:spacing w:after="0" w:line="225"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any indenture by a successor trustee;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8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extending the fixed maturity of any debt securities of any series;</w:t>
      </w:r>
    </w:p>
    <w:p>
      <w:pPr>
        <w:spacing w:after="0" w:line="225"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series of any debt securities;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reducing the percentage of debt securities, the holders of which are required to consent to any amendment, supplement, modification or waiver.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specified obligations, including obligations to:</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for payment;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principal of and premium and interest on any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9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1"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7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ind w:left="660" w:right="8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1"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3"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following description, together with the additional information we may include in any applicable prospectus supplement and in any related free writing prospectuses, summarizes the material terms and provisions of the warrants that we may offer under this prospectus, which may consist of warrants to purchase common stock, preferred stock or debt securities and may be issued in one or more series. Warrants may be offered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6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will describe in the applicable prospectus supplement the terms relating to a series of warrants being offered, including, to the extent applicable:</w:t>
      </w:r>
    </w:p>
    <w:p>
      <w:pPr>
        <w:spacing w:after="0" w:line="24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title of such securities;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offering price or prices and aggregate number of warrants offered;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currency or currencies for which the warrants may be purchased;</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securities will be separately transferable;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jc w:val="both"/>
        <w:ind w:left="660" w:right="140" w:hanging="328"/>
        <w:spacing w:after="0" w:line="28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agreements and the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of any rights to force the exercise of the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manner in which the warrant agreements and warrants may be modified;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consequences of holding or exercising the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11"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Before exercising their warrants, holders of warrants will not have any of the rights of holders of the securities purchasable upon such exercise, including: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ind w:left="660" w:right="80" w:hanging="328"/>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1" w:lineRule="exact"/>
        <w:rPr>
          <w:rFonts w:ascii="Arial" w:cs="Arial" w:eastAsia="Arial" w:hAnsi="Arial"/>
          <w:sz w:val="18"/>
          <w:szCs w:val="18"/>
          <w:color w:val="auto"/>
        </w:rPr>
      </w:pPr>
    </w:p>
    <w:p>
      <w:pPr>
        <w:ind w:left="660" w:right="600" w:hanging="328"/>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88"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LEGAL OWNERSHIP OF SECURITIES</w:t>
      </w:r>
    </w:p>
    <w:p>
      <w:pPr>
        <w:spacing w:after="0" w:line="22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Holders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8"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Street Name Holders</w:t>
      </w:r>
    </w:p>
    <w:p>
      <w:pPr>
        <w:spacing w:after="0" w:line="22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Holders</w:t>
      </w:r>
    </w:p>
    <w:p>
      <w:pPr>
        <w:spacing w:after="0" w:line="229"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47"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holders, and not the indirect holders, of the securities. Whether and how the legal holders contact the indirect holders is up to the legal holders.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1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whether and how you can instruct it to send you securities registered in your own name so you can be a holder, if that is permitted in the future;</w:t>
      </w:r>
    </w:p>
    <w:p>
      <w:pPr>
        <w:spacing w:after="0" w:line="32" w:lineRule="exact"/>
        <w:rPr>
          <w:rFonts w:ascii="Arial" w:cs="Arial" w:eastAsia="Arial" w:hAnsi="Arial"/>
          <w:sz w:val="16"/>
          <w:szCs w:val="16"/>
          <w:color w:val="auto"/>
        </w:rPr>
      </w:pPr>
    </w:p>
    <w:p>
      <w:pPr>
        <w:ind w:left="660" w:right="12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securities are in book-entry form, how the depositary’s rules and procedures will affect these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70"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18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6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securities are issued only as global securities, an investor should be aware of the following:</w:t>
      </w:r>
    </w:p>
    <w:p>
      <w:pPr>
        <w:spacing w:after="0" w:line="225" w:lineRule="exact"/>
        <w:rPr>
          <w:sz w:val="20"/>
          <w:szCs w:val="20"/>
          <w:color w:val="auto"/>
        </w:rPr>
      </w:pPr>
    </w:p>
    <w:p>
      <w:pPr>
        <w:ind w:left="660" w:right="460" w:hanging="328"/>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securities and protection of his or her legal rights relating to the securities, as we describe above;</w:t>
      </w:r>
    </w:p>
    <w:p>
      <w:pPr>
        <w:ind w:left="660" w:right="2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securities to some insurance companies and to other institutions that are required by law to own their securities in non-book-entry form;</w:t>
      </w:r>
    </w:p>
    <w:p>
      <w:pPr>
        <w:ind w:left="660" w:right="8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ind w:left="660" w:right="2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the global security;</w:t>
      </w:r>
    </w:p>
    <w:p>
      <w:pPr>
        <w:ind w:left="660" w:right="180" w:hanging="328"/>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41" w:name="page42"/>
    <w:bookmarkEnd w:id="41"/>
    <w:p>
      <w:pPr>
        <w:ind w:left="660" w:right="180" w:hanging="328"/>
        <w:spacing w:after="0" w:line="25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1" w:lineRule="exact"/>
        <w:rPr>
          <w:rFonts w:ascii="Arial" w:cs="Arial" w:eastAsia="Arial" w:hAnsi="Arial"/>
          <w:sz w:val="18"/>
          <w:szCs w:val="18"/>
          <w:color w:val="auto"/>
        </w:rPr>
      </w:pPr>
    </w:p>
    <w:p>
      <w:pPr>
        <w:ind w:left="660" w:right="320" w:hanging="328"/>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may be more than one financial intermediary in the chain of ownership for an investor. We do not monitor and are not responsible for the actions of any of those intermediaries.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Unless we provide otherwise in the applicable prospectus supplement, a global security will terminate when the following special situations occur:</w:t>
      </w:r>
    </w:p>
    <w:p>
      <w:pPr>
        <w:spacing w:after="0" w:line="237" w:lineRule="exact"/>
        <w:rPr>
          <w:sz w:val="20"/>
          <w:szCs w:val="20"/>
          <w:color w:val="auto"/>
        </w:rPr>
      </w:pPr>
    </w:p>
    <w:p>
      <w:pPr>
        <w:ind w:left="660" w:right="100" w:hanging="328"/>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securities represented by that global security and has not been cured or waived.</w:t>
      </w:r>
    </w:p>
    <w:p>
      <w:pPr>
        <w:spacing w:after="0" w:line="21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18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1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facilities of the Nasdaq Capital Market or any other securities exchange or quotation or trading service on which such securities may be listed, quoted or traded at the time of sale. Such at the market offerings, if any, may be conducted by underwriters acting as principal or agent.</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17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if 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we will receive from the sale;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or other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67"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81" w:lineRule="exact"/>
        <w:rPr>
          <w:sz w:val="20"/>
          <w:szCs w:val="20"/>
          <w:color w:val="auto"/>
        </w:rPr>
      </w:pPr>
    </w:p>
    <w:p>
      <w:pPr>
        <w:jc w:val="both"/>
        <w:ind w:right="180" w:firstLine="324"/>
        <w:spacing w:after="0" w:line="312"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4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5" w:right="299" w:bottom="1440" w:gutter="0" w:footer="0" w:header="0"/>
        </w:sectPr>
      </w:pPr>
    </w:p>
    <w:bookmarkStart w:id="43" w:name="page44"/>
    <w:bookmarkEnd w:id="43"/>
    <w:p>
      <w:pPr>
        <w:ind w:firstLine="324"/>
        <w:spacing w:after="0" w:line="255" w:lineRule="auto"/>
        <w:rPr>
          <w:sz w:val="20"/>
          <w:szCs w:val="20"/>
          <w:color w:val="auto"/>
        </w:rPr>
      </w:pPr>
      <w:r>
        <w:rPr>
          <w:rFonts w:ascii="Arial" w:cs="Arial" w:eastAsia="Arial" w:hAnsi="Arial"/>
          <w:sz w:val="18"/>
          <w:szCs w:val="18"/>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8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Any underwriters or agents who are qualified market makers on the Nasdaq Capital Market may engage in passive market making transactions in the securities on the Nasdaq Capital Market in accordance with Rule 103 of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78"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compliance with guidelines of the Financial Industry Regulatory Authority, or FINRA, the maximum consideration or discount to be received by any FINRA member or independent broker dealer may not exceed 8% of the aggregate amount of the securities offered pursuant to this prospectus and any applicable prospectus supplement.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Unless otherwise indicated in the applicable prospectus supplement, certain legal matters in connection with the offering and the validity of the securities offered by this prospectus, and any supplement thereto, will be passed upon by Cooley LLP, New York, New York. Additional legal matters may be passed upon for us or any underwriters, dealers or agents, by counsel that we will name in the applicable prospectus supplement.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Marcum LLP, independent registered public accounting firm, has audited our consolidated financial statements as of and for the years ended December 31, 2018 and 2017 and the effectiveness of our internal control over financial reporting as of December 31, 2018 as set forth in its reports, which are included in our 2018 Annual Report on Form 10-K and incorporated by reference in this prospectus and elsewhere in the registration statement. Our 2018 and 2017 financial statements are incorporated by reference in reliance on Marcum LLP’s report, given on their authority as experts in accounting and auditing.</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in this prospectus.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8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70"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 xml:space="preserve">Copies of certain information filed by us with the SEC are also available on our website at </w:t>
      </w:r>
      <w:r>
        <w:rPr>
          <w:rFonts w:ascii="Arial" w:cs="Arial" w:eastAsia="Arial" w:hAnsi="Arial"/>
          <w:sz w:val="17"/>
          <w:szCs w:val="17"/>
          <w:i w:val="1"/>
          <w:iCs w:val="1"/>
          <w:color w:val="auto"/>
        </w:rPr>
        <w:t>http://www.markertherapeutics.com</w:t>
      </w:r>
      <w:r>
        <w:rPr>
          <w:rFonts w:ascii="Arial" w:cs="Arial" w:eastAsia="Arial" w:hAnsi="Arial"/>
          <w:sz w:val="17"/>
          <w:szCs w:val="17"/>
          <w:color w:val="auto"/>
        </w:rPr>
        <w:t>. Information contained in or accessible through our website does not constitute a part of this prospectus and is not incorporated by reference in this prospectus.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001-37939. The documents incorporated by reference into this prospectus contain important information that you should read about us.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incorporated by reference into this document:</w:t>
      </w:r>
    </w:p>
    <w:p>
      <w:pPr>
        <w:spacing w:after="0" w:line="225" w:lineRule="exact"/>
        <w:rPr>
          <w:sz w:val="20"/>
          <w:szCs w:val="20"/>
          <w:color w:val="auto"/>
        </w:rPr>
      </w:pPr>
    </w:p>
    <w:p>
      <w:pPr>
        <w:ind w:left="700" w:hanging="327"/>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December 31, 2018, filed with the SEC on </w:t>
      </w:r>
      <w:hyperlink r:id="rId30">
        <w:r>
          <w:rPr>
            <w:rFonts w:ascii="Arial" w:cs="Arial" w:eastAsia="Arial" w:hAnsi="Arial"/>
            <w:sz w:val="18"/>
            <w:szCs w:val="18"/>
            <w:u w:val="single" w:color="auto"/>
            <w:color w:val="0000EE"/>
          </w:rPr>
          <w:t>March 15, 2019</w:t>
        </w:r>
      </w:hyperlink>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700" w:right="540" w:hanging="327"/>
        <w:spacing w:after="0" w:line="250"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2018 from our Definitive Proxy Statement on Schedule 14A, filed with the SEC on </w:t>
      </w:r>
      <w:hyperlink r:id="rId31">
        <w:r>
          <w:rPr>
            <w:rFonts w:ascii="Arial" w:cs="Arial" w:eastAsia="Arial" w:hAnsi="Arial"/>
            <w:sz w:val="18"/>
            <w:szCs w:val="18"/>
            <w:u w:val="single" w:color="auto"/>
            <w:color w:val="0000EE"/>
          </w:rPr>
          <w:t>March 28, 2019</w:t>
        </w:r>
      </w:hyperlink>
      <w:r>
        <w:rPr>
          <w:rFonts w:ascii="Arial" w:cs="Arial" w:eastAsia="Arial" w:hAnsi="Arial"/>
          <w:sz w:val="18"/>
          <w:szCs w:val="18"/>
          <w:color w:val="auto"/>
        </w:rPr>
        <w:t>;</w:t>
      </w:r>
    </w:p>
    <w:p>
      <w:pPr>
        <w:ind w:left="700" w:hanging="327"/>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fiscal quarter ended March 31, 2019, filed with the SEC on </w:t>
      </w:r>
      <w:hyperlink r:id="rId32">
        <w:r>
          <w:rPr>
            <w:rFonts w:ascii="Arial" w:cs="Arial" w:eastAsia="Arial" w:hAnsi="Arial"/>
            <w:sz w:val="18"/>
            <w:szCs w:val="18"/>
            <w:u w:val="single" w:color="auto"/>
            <w:color w:val="0000EE"/>
          </w:rPr>
          <w:t>May 10, 2019</w:t>
        </w:r>
      </w:hyperlink>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00" w:right="60" w:hanging="327"/>
        <w:spacing w:after="0" w:line="250" w:lineRule="auto"/>
        <w:tabs>
          <w:tab w:leader="none" w:pos="700" w:val="left"/>
        </w:tabs>
        <w:numPr>
          <w:ilvl w:val="0"/>
          <w:numId w:val="35"/>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75">
        <w:r>
          <w:rPr>
            <w:rFonts w:ascii="Arial" w:cs="Arial" w:eastAsia="Arial" w:hAnsi="Arial"/>
            <w:sz w:val="18"/>
            <w:szCs w:val="18"/>
            <w:u w:val="single" w:color="auto"/>
            <w:color w:val="0000EE"/>
          </w:rPr>
          <w:t>January 4, 2019</w:t>
        </w:r>
      </w:hyperlink>
      <w:r>
        <w:rPr>
          <w:rFonts w:ascii="Arial" w:cs="Arial" w:eastAsia="Arial" w:hAnsi="Arial"/>
          <w:sz w:val="18"/>
          <w:szCs w:val="18"/>
          <w:color w:val="auto"/>
        </w:rPr>
        <w:t xml:space="preserve">, </w:t>
      </w:r>
      <w:hyperlink r:id="rId76">
        <w:r>
          <w:rPr>
            <w:rFonts w:ascii="Arial" w:cs="Arial" w:eastAsia="Arial" w:hAnsi="Arial"/>
            <w:sz w:val="18"/>
            <w:szCs w:val="18"/>
            <w:u w:val="single" w:color="auto"/>
            <w:color w:val="0000EE"/>
          </w:rPr>
          <w:t>January 15, 2019</w:t>
        </w:r>
      </w:hyperlink>
      <w:r>
        <w:rPr>
          <w:rFonts w:ascii="Arial" w:cs="Arial" w:eastAsia="Arial" w:hAnsi="Arial"/>
          <w:sz w:val="18"/>
          <w:szCs w:val="18"/>
          <w:color w:val="auto"/>
        </w:rPr>
        <w:t xml:space="preserve">, </w:t>
      </w:r>
      <w:hyperlink r:id="rId77">
        <w:r>
          <w:rPr>
            <w:rFonts w:ascii="Arial" w:cs="Arial" w:eastAsia="Arial" w:hAnsi="Arial"/>
            <w:sz w:val="18"/>
            <w:szCs w:val="18"/>
            <w:u w:val="single" w:color="auto"/>
            <w:color w:val="0000EE"/>
          </w:rPr>
          <w:t>February 15, 2019</w:t>
        </w:r>
      </w:hyperlink>
      <w:r>
        <w:rPr>
          <w:rFonts w:ascii="Arial" w:cs="Arial" w:eastAsia="Arial" w:hAnsi="Arial"/>
          <w:sz w:val="18"/>
          <w:szCs w:val="18"/>
          <w:color w:val="auto"/>
        </w:rPr>
        <w:t xml:space="preserve">, </w:t>
      </w:r>
      <w:hyperlink r:id="rId78">
        <w:r>
          <w:rPr>
            <w:rFonts w:ascii="Arial" w:cs="Arial" w:eastAsia="Arial" w:hAnsi="Arial"/>
            <w:sz w:val="18"/>
            <w:szCs w:val="18"/>
            <w:u w:val="single" w:color="auto"/>
            <w:color w:val="0000EE"/>
          </w:rPr>
          <w:t>February 25, 2019</w:t>
        </w:r>
      </w:hyperlink>
      <w:r>
        <w:rPr>
          <w:rFonts w:ascii="Arial" w:cs="Arial" w:eastAsia="Arial" w:hAnsi="Arial"/>
          <w:sz w:val="18"/>
          <w:szCs w:val="18"/>
          <w:color w:val="auto"/>
        </w:rPr>
        <w:t xml:space="preserve">, </w:t>
      </w:r>
      <w:hyperlink r:id="rId35">
        <w:r>
          <w:rPr>
            <w:rFonts w:ascii="Arial" w:cs="Arial" w:eastAsia="Arial" w:hAnsi="Arial"/>
            <w:sz w:val="18"/>
            <w:szCs w:val="18"/>
            <w:u w:val="single" w:color="auto"/>
            <w:color w:val="0000EE"/>
          </w:rPr>
          <w:t>March 28, 2019</w:t>
        </w:r>
      </w:hyperlink>
      <w:r>
        <w:rPr>
          <w:rFonts w:ascii="Arial" w:cs="Arial" w:eastAsia="Arial" w:hAnsi="Arial"/>
          <w:sz w:val="18"/>
          <w:szCs w:val="18"/>
          <w:color w:val="auto"/>
        </w:rPr>
        <w:t xml:space="preserve">, </w:t>
      </w:r>
      <w:hyperlink r:id="rId36">
        <w:r>
          <w:rPr>
            <w:rFonts w:ascii="Arial" w:cs="Arial" w:eastAsia="Arial" w:hAnsi="Arial"/>
            <w:sz w:val="18"/>
            <w:szCs w:val="18"/>
            <w:u w:val="single" w:color="auto"/>
            <w:color w:val="0000EE"/>
          </w:rPr>
          <w:t>April 17, 2019</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37">
        <w:r>
          <w:rPr>
            <w:rFonts w:ascii="Arial" w:cs="Arial" w:eastAsia="Arial" w:hAnsi="Arial"/>
            <w:sz w:val="18"/>
            <w:szCs w:val="18"/>
            <w:u w:val="single" w:color="auto"/>
            <w:color w:val="0000EE"/>
          </w:rPr>
          <w:t>May 10,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jc w:val="both"/>
        <w:ind w:left="700" w:right="460" w:hanging="327"/>
        <w:spacing w:after="0" w:line="255"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the registration statement on Form 8-A registering our common stock under Section 12 of the Exchange Act, which was filed with the SEC on </w:t>
      </w:r>
      <w:hyperlink r:id="rId43">
        <w:r>
          <w:rPr>
            <w:rFonts w:ascii="Arial" w:cs="Arial" w:eastAsia="Arial" w:hAnsi="Arial"/>
            <w:sz w:val="18"/>
            <w:szCs w:val="18"/>
            <w:u w:val="single" w:color="auto"/>
            <w:color w:val="0000EE"/>
          </w:rPr>
          <w:t>November 3, 2016</w:t>
        </w:r>
      </w:hyperlink>
      <w:r>
        <w:rPr>
          <w:rFonts w:ascii="Arial" w:cs="Arial" w:eastAsia="Arial" w:hAnsi="Arial"/>
          <w:sz w:val="18"/>
          <w:szCs w:val="18"/>
          <w:color w:val="auto"/>
        </w:rPr>
        <w:t>, including any amendments or reports filed for purposes of updating such description.</w:t>
      </w:r>
    </w:p>
    <w:p>
      <w:pPr>
        <w:spacing w:after="0" w:line="190" w:lineRule="exact"/>
        <w:rPr>
          <w:rFonts w:ascii="Arial" w:cs="Arial" w:eastAsia="Arial" w:hAnsi="Arial"/>
          <w:sz w:val="18"/>
          <w:szCs w:val="18"/>
          <w:color w:val="0000EE"/>
        </w:rPr>
      </w:pPr>
    </w:p>
    <w:p>
      <w:pPr>
        <w:ind w:right="80" w:firstLine="324"/>
        <w:spacing w:after="0" w:line="291" w:lineRule="auto"/>
        <w:rPr>
          <w:sz w:val="20"/>
          <w:szCs w:val="20"/>
          <w:color w:val="auto"/>
        </w:rPr>
      </w:pPr>
      <w:r>
        <w:rPr>
          <w:rFonts w:ascii="Arial" w:cs="Arial" w:eastAsia="Arial" w:hAnsi="Arial"/>
          <w:sz w:val="16"/>
          <w:szCs w:val="16"/>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w:t>
      </w:r>
    </w:p>
    <w:p>
      <w:pPr>
        <w:ind w:right="40" w:firstLine="8"/>
        <w:spacing w:after="0" w:line="277" w:lineRule="auto"/>
        <w:tabs>
          <w:tab w:leader="none" w:pos="215" w:val="left"/>
        </w:tabs>
        <w:numPr>
          <w:ilvl w:val="0"/>
          <w:numId w:val="36"/>
        </w:numPr>
        <w:rPr>
          <w:rFonts w:ascii="Arial" w:cs="Arial" w:eastAsia="Arial" w:hAnsi="Arial"/>
          <w:sz w:val="17"/>
          <w:szCs w:val="17"/>
          <w:color w:val="auto"/>
        </w:rPr>
      </w:pPr>
      <w:r>
        <w:rPr>
          <w:rFonts w:ascii="Arial" w:cs="Arial" w:eastAsia="Arial" w:hAnsi="Arial"/>
          <w:sz w:val="17"/>
          <w:szCs w:val="17"/>
          <w:color w:val="auto"/>
        </w:rPr>
        <w:t>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173" w:lineRule="exact"/>
        <w:rPr>
          <w:rFonts w:ascii="Arial" w:cs="Arial" w:eastAsia="Arial" w:hAnsi="Arial"/>
          <w:sz w:val="18"/>
          <w:szCs w:val="18"/>
          <w:color w:val="0000EE"/>
        </w:rPr>
      </w:pPr>
    </w:p>
    <w:p>
      <w:pPr>
        <w:ind w:firstLine="324"/>
        <w:spacing w:after="0" w:line="259" w:lineRule="auto"/>
        <w:rPr>
          <w:sz w:val="20"/>
          <w:szCs w:val="20"/>
          <w:color w:val="auto"/>
        </w:rPr>
      </w:pPr>
      <w:r>
        <w:rPr>
          <w:rFonts w:ascii="Arial" w:cs="Arial" w:eastAsia="Arial" w:hAnsi="Arial"/>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Marker Therapeutics, Inc., Attn: Corporate Secretary, 3200 Southwest Freeway, Suite 2240, Houston, Texas 77027.</w:t>
      </w:r>
    </w:p>
    <w:p>
      <w:pPr>
        <w:spacing w:after="0" w:line="187" w:lineRule="exact"/>
        <w:rPr>
          <w:rFonts w:ascii="Arial" w:cs="Arial" w:eastAsia="Arial" w:hAnsi="Arial"/>
          <w:sz w:val="18"/>
          <w:szCs w:val="18"/>
          <w:color w:val="0000EE"/>
        </w:rPr>
      </w:pPr>
    </w:p>
    <w:p>
      <w:pPr>
        <w:ind w:right="40" w:firstLine="324"/>
        <w:spacing w:after="0" w:line="286" w:lineRule="auto"/>
        <w:rPr>
          <w:sz w:val="20"/>
          <w:szCs w:val="20"/>
          <w:color w:val="auto"/>
        </w:rPr>
      </w:pPr>
      <w:r>
        <w:rPr>
          <w:rFonts w:ascii="Arial" w:cs="Arial" w:eastAsia="Arial" w:hAnsi="Arial"/>
          <w:sz w:val="17"/>
          <w:szCs w:val="17"/>
          <w:color w:val="auto"/>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w:t>
      </w:r>
    </w:p>
    <w:p>
      <w:pPr>
        <w:spacing w:after="0" w:line="382"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1941195</wp:posOffset>
            </wp:positionH>
            <wp:positionV relativeFrom="page">
              <wp:posOffset>586105</wp:posOffset>
            </wp:positionV>
            <wp:extent cx="3687445" cy="13379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3687445"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$30,000,000 of Common Stock</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plus 345,357 Commitment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157480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172085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28, 2020</w:t>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lowerRoman"/>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upperLetter"/>
      <w:start w:val="6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jpe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jpe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jpe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30" Type="http://schemas.openxmlformats.org/officeDocument/2006/relationships/hyperlink" Target="http://www.sec.gov/Archives/edgar/data/1094038/000114420419014350/tv514406_10k.htm" TargetMode="External"/><Relationship Id="rId31" Type="http://schemas.openxmlformats.org/officeDocument/2006/relationships/hyperlink" Target="http://www.sec.gov/Archives/edgar/data/1094038/000114420419016692/tv517415_def14a.htm" TargetMode="External"/><Relationship Id="rId32" Type="http://schemas.openxmlformats.org/officeDocument/2006/relationships/hyperlink" Target="http://www.sec.gov/Archives/edgar/data/1094038/000114420419025316/tv520511_10q.htm" TargetMode="External"/><Relationship Id="rId33" Type="http://schemas.openxmlformats.org/officeDocument/2006/relationships/hyperlink" Target="http://www.sec.gov/Archives/edgar/data/1094038/000114420419038714/tv526456_10q.htm" TargetMode="External"/><Relationship Id="rId34" Type="http://schemas.openxmlformats.org/officeDocument/2006/relationships/hyperlink" Target="http://www.sec.gov/Archives/edgar/data/1094038/000110465919062594/tm1919554-1_10q.htm" TargetMode="External"/><Relationship Id="rId35" Type="http://schemas.openxmlformats.org/officeDocument/2006/relationships/hyperlink" Target="http://www.sec.gov/Archives/edgar/data/1094038/000114420419016685/tv517465_8k.htm" TargetMode="External"/><Relationship Id="rId36" Type="http://schemas.openxmlformats.org/officeDocument/2006/relationships/hyperlink" Target="http://www.sec.gov/Archives/edgar/data/1094038/000114420419019976/tv519053_8k.htm" TargetMode="External"/><Relationship Id="rId37" Type="http://schemas.openxmlformats.org/officeDocument/2006/relationships/hyperlink" Target="http://www.sec.gov/Archives/edgar/data/1094038/000114420419025325/tv521321_8k.htm" TargetMode="External"/><Relationship Id="rId38" Type="http://schemas.openxmlformats.org/officeDocument/2006/relationships/hyperlink" Target="http://www.sec.gov/Archives/edgar/data/1094038/000114420419035118/tv525447_8k.htm" TargetMode="External"/><Relationship Id="rId39" Type="http://schemas.openxmlformats.org/officeDocument/2006/relationships/hyperlink" Target="http://www.sec.gov/Archives/edgar/data/1094038/000114420419035266/tv525553_8k.htm" TargetMode="External"/><Relationship Id="rId40" Type="http://schemas.openxmlformats.org/officeDocument/2006/relationships/hyperlink" Target="http://www.sec.gov/Archives/edgar/data/1094038/000114420419037903/tv526825_8k.htm" TargetMode="External"/><Relationship Id="rId41" Type="http://schemas.openxmlformats.org/officeDocument/2006/relationships/hyperlink" Target="http://www.sec.gov/Archives/edgar/data/1094038/000110465920015276/tm207425d1_8k.htm" TargetMode="External"/><Relationship Id="rId42" Type="http://schemas.openxmlformats.org/officeDocument/2006/relationships/hyperlink" Target="http://www.sec.gov/Archives/edgar/data/1094038/000110465920027550/tm2011380d1_8k.htm" TargetMode="External"/><Relationship Id="rId43" Type="http://schemas.openxmlformats.org/officeDocument/2006/relationships/hyperlink" Target="http://www.sec.gov/Archives/edgar/data/1094038/000114420416131272/v452031_8a12b.htm" TargetMode="External"/><Relationship Id="rId75" Type="http://schemas.openxmlformats.org/officeDocument/2006/relationships/hyperlink" Target="http://www.sec.gov/Archives/edgar/data/1094038/000114420419000592/tv510398_8k.htm" TargetMode="External"/><Relationship Id="rId76" Type="http://schemas.openxmlformats.org/officeDocument/2006/relationships/hyperlink" Target="http://www.sec.gov/Archives/edgar/data/1094038/000114420419001768/tv511068_8k.htm" TargetMode="External"/><Relationship Id="rId77" Type="http://schemas.openxmlformats.org/officeDocument/2006/relationships/hyperlink" Target="http://www.sec.gov/Archives/edgar/data/1094038/000114420419008704/tv513933_8k.htm" TargetMode="External"/><Relationship Id="rId78" Type="http://schemas.openxmlformats.org/officeDocument/2006/relationships/hyperlink" Target="http://www.sec.gov/Archives/edgar/data/1094038/000114420419009717/tv514584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2020-03-03T15:44:23Z</dcterms:created>
  <dcterms:modified xsi:type="dcterms:W3CDTF">2020-03-03T15:44:23Z</dcterms:modified>
</cp:coreProperties>
</file>