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ilename1.htm"/>
      <w:bookmarkStart w:id="1" w:name="ksfilename1"/>
      <w:bookmarkEnd w:id="0"/>
      <w:bookmarkEnd w:id="1"/>
      <w:r>
        <w:rPr/>
        <w:t> </w:t>
      </w:r>
    </w:p>
    <w:p>
      <w:pPr>
        <w:pStyle w:val="TextBody"/>
        <w:spacing w:before="0" w:after="0"/>
        <w:rPr/>
      </w:pPr>
      <w:r>
        <w:rPr/>
        <w:t> </w:t>
      </w:r>
    </w:p>
    <w:p>
      <w:pPr>
        <w:pStyle w:val="TextBody"/>
        <w:spacing w:before="0" w:after="0"/>
        <w:rPr/>
      </w:pPr>
      <w:r>
        <w:rPr/>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rPr/>
      </w:pPr>
      <w:r>
        <w:rPr/>
        <w:t> </w:t>
      </w:r>
    </w:p>
    <w:p>
      <w:pPr>
        <w:pStyle w:val="TextBody"/>
        <w:spacing w:before="0" w:after="0"/>
        <w:ind w:left="720" w:right="0" w:hanging="0"/>
        <w:jc w:val="right"/>
        <w:rPr>
          <w:rFonts w:ascii="Times New Roman" w:hAnsi="Times New Roman"/>
          <w:sz w:val="20"/>
        </w:rPr>
      </w:pPr>
      <w:r>
        <w:rPr>
          <w:rFonts w:ascii="Times New Roman" w:hAnsi="Times New Roman"/>
          <w:sz w:val="20"/>
        </w:rPr>
        <w:t>October 14, 2011</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Mr. Jim B. Rosensberg</w:t>
      </w:r>
    </w:p>
    <w:p>
      <w:pPr>
        <w:pStyle w:val="TextBody"/>
        <w:spacing w:before="0" w:after="0"/>
        <w:ind w:left="720" w:right="0" w:hanging="0"/>
        <w:jc w:val="left"/>
        <w:rPr>
          <w:rFonts w:ascii="Times New Roman" w:hAnsi="Times New Roman"/>
          <w:sz w:val="20"/>
        </w:rPr>
      </w:pPr>
      <w:r>
        <w:rPr>
          <w:rFonts w:ascii="Times New Roman" w:hAnsi="Times New Roman"/>
          <w:sz w:val="20"/>
        </w:rPr>
        <w:t>Senior Assistant Chief Accountant</w:t>
      </w:r>
    </w:p>
    <w:p>
      <w:pPr>
        <w:pStyle w:val="TextBody"/>
        <w:spacing w:before="0" w:after="0"/>
        <w:ind w:left="720" w:right="0" w:hanging="0"/>
        <w:jc w:val="left"/>
        <w:rPr>
          <w:rFonts w:ascii="Times New Roman" w:hAnsi="Times New Roman"/>
          <w:sz w:val="20"/>
        </w:rPr>
      </w:pPr>
      <w:r>
        <w:rPr>
          <w:rFonts w:ascii="Times New Roman" w:hAnsi="Times New Roman"/>
          <w:sz w:val="20"/>
        </w:rPr>
        <w:t>U.S. Securities and Exchange Commission</w:t>
      </w:r>
    </w:p>
    <w:p>
      <w:pPr>
        <w:pStyle w:val="TextBody"/>
        <w:spacing w:before="0" w:after="0"/>
        <w:ind w:left="720" w:right="0" w:hanging="0"/>
        <w:jc w:val="left"/>
        <w:rPr>
          <w:rFonts w:ascii="Times New Roman" w:hAnsi="Times New Roman"/>
          <w:sz w:val="20"/>
        </w:rPr>
      </w:pPr>
      <w:r>
        <w:rPr>
          <w:rFonts w:ascii="Times New Roman" w:hAnsi="Times New Roman"/>
          <w:sz w:val="20"/>
        </w:rPr>
        <w:t>100 F Street, NE</w:t>
      </w:r>
    </w:p>
    <w:p>
      <w:pPr>
        <w:pStyle w:val="TextBody"/>
        <w:spacing w:before="0" w:after="0"/>
        <w:ind w:left="720" w:right="0" w:hanging="0"/>
        <w:jc w:val="left"/>
        <w:rPr>
          <w:rFonts w:ascii="Times New Roman" w:hAnsi="Times New Roman"/>
          <w:sz w:val="20"/>
        </w:rPr>
      </w:pPr>
      <w:r>
        <w:rPr>
          <w:rFonts w:ascii="Times New Roman" w:hAnsi="Times New Roman"/>
          <w:sz w:val="20"/>
        </w:rPr>
        <w:t>Washington, D.C. 20549-4720</w:t>
      </w:r>
    </w:p>
    <w:p>
      <w:pPr>
        <w:pStyle w:val="TextBody"/>
        <w:spacing w:before="0" w:after="0"/>
        <w:ind w:left="720" w:right="0" w:hanging="0"/>
        <w:jc w:val="left"/>
        <w:rPr/>
      </w:pPr>
      <w:r>
        <w:rPr/>
        <w:t> </w:t>
      </w:r>
    </w:p>
    <w:p>
      <w:pPr>
        <w:pStyle w:val="TextBody"/>
        <w:spacing w:before="0" w:after="0"/>
        <w:ind w:left="720" w:right="0" w:hanging="0"/>
        <w:jc w:val="left"/>
        <w:rPr>
          <w:rFonts w:ascii="Times New Roman" w:hAnsi="Times New Roman"/>
          <w:sz w:val="20"/>
        </w:rPr>
      </w:pPr>
      <w:r>
        <w:rPr>
          <w:rFonts w:ascii="Times New Roman" w:hAnsi="Times New Roman"/>
          <w:sz w:val="20"/>
        </w:rPr>
        <w:t>Via EDGAR</w:t>
      </w:r>
    </w:p>
    <w:p>
      <w:pPr>
        <w:pStyle w:val="TextBody"/>
        <w:spacing w:before="0" w:after="0"/>
        <w:ind w:left="0" w:right="0" w:hanging="0"/>
        <w:rPr/>
      </w:pPr>
      <w:r>
        <w:rPr/>
      </w:r>
    </w:p>
    <w:p>
      <w:pPr>
        <w:pStyle w:val="Normal"/>
        <w:spacing w:before="0" w:after="0"/>
        <w:rPr>
          <w:sz w:val="4"/>
          <w:szCs w:val="4"/>
        </w:rPr>
      </w:pPr>
      <w:r>
        <w:rPr>
          <w:sz w:val="4"/>
          <w:szCs w:val="4"/>
        </w:rPr>
      </w:r>
      <w:bookmarkStart w:id="2" w:name="hangingindent"/>
      <w:bookmarkStart w:id="3" w:name="hangingindent"/>
      <w:bookmarkEnd w:id="3"/>
    </w:p>
    <w:tbl>
      <w:tblPr>
        <w:tblW w:w="5000" w:type="pct"/>
        <w:jc w:val="center"/>
        <w:tblInd w:w="0" w:type="dxa"/>
        <w:tblCellMar>
          <w:top w:w="0" w:type="dxa"/>
          <w:left w:w="0" w:type="dxa"/>
          <w:bottom w:w="0" w:type="dxa"/>
          <w:right w:w="0" w:type="dxa"/>
        </w:tblCellMar>
      </w:tblPr>
      <w:tblGrid>
        <w:gridCol w:w="365"/>
        <w:gridCol w:w="927"/>
        <w:gridCol w:w="8913"/>
      </w:tblGrid>
      <w:tr>
        <w:trPr/>
        <w:tc>
          <w:tcPr>
            <w:tcW w:w="365" w:type="dxa"/>
            <w:tcBorders/>
            <w:shd w:fill="auto" w:val="clear"/>
          </w:tcPr>
          <w:p>
            <w:pPr>
              <w:pStyle w:val="TableContents"/>
              <w:spacing w:before="0" w:after="0"/>
              <w:rPr/>
            </w:pPr>
            <w:r>
              <w:rPr/>
              <w:t xml:space="preserve">  </w:t>
            </w:r>
          </w:p>
        </w:tc>
        <w:tc>
          <w:tcPr>
            <w:tcW w:w="927"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Re:</w:t>
            </w:r>
          </w:p>
        </w:tc>
        <w:tc>
          <w:tcPr>
            <w:tcW w:w="891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TapImmune Inc. (the “Company”)</w:t>
            </w:r>
          </w:p>
        </w:tc>
      </w:tr>
    </w:tbl>
    <w:p>
      <w:pPr>
        <w:pStyle w:val="TextBody"/>
        <w:spacing w:before="0" w:after="0"/>
        <w:ind w:left="1440" w:right="0" w:hanging="0"/>
        <w:jc w:val="left"/>
        <w:rPr>
          <w:rFonts w:ascii="Times New Roman" w:hAnsi="Times New Roman"/>
          <w:b/>
          <w:sz w:val="20"/>
        </w:rPr>
      </w:pPr>
      <w:r>
        <w:rPr>
          <w:rFonts w:ascii="Times New Roman" w:hAnsi="Times New Roman"/>
          <w:b/>
          <w:sz w:val="20"/>
        </w:rPr>
        <w:t>File No. 0-27239</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Dear Mr. Rosenberg:</w:t>
      </w:r>
    </w:p>
    <w:p>
      <w:pPr>
        <w:pStyle w:val="TextBody"/>
        <w:spacing w:before="0" w:after="0"/>
        <w:ind w:left="720" w:right="0" w:hanging="0"/>
        <w:jc w:val="left"/>
        <w:rPr/>
      </w:pPr>
      <w:r>
        <w:rPr/>
        <w:t> </w:t>
      </w:r>
    </w:p>
    <w:p>
      <w:pPr>
        <w:pStyle w:val="TextBody"/>
        <w:spacing w:before="0" w:after="0"/>
        <w:ind w:left="720" w:right="0" w:hanging="0"/>
        <w:jc w:val="left"/>
        <w:rPr>
          <w:rFonts w:ascii="Times New Roman" w:hAnsi="Times New Roman"/>
          <w:sz w:val="20"/>
        </w:rPr>
      </w:pPr>
      <w:r>
        <w:rPr>
          <w:rFonts w:ascii="Times New Roman" w:hAnsi="Times New Roman"/>
          <w:sz w:val="20"/>
        </w:rPr>
        <w:t>In connection with the Company’s amended annual report filed on Form 10-K/A (the “10-K/A”) and the Company’s amended quarterly report for the period ended September 30, 2010 on form 10-Q/A (the “September Form 10-Q/A”), both of which were filed today with the U.S. Securities and Exchange Commission (the “SEC”), we provide for your convenience:</w:t>
      </w:r>
    </w:p>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4" w:name="TAB1"/>
      <w:bookmarkEnd w:id="4"/>
      <w:r>
        <w:rPr>
          <w:rFonts w:ascii="Times New Roman" w:hAnsi="Times New Roman"/>
          <w:sz w:val="20"/>
        </w:rPr>
        <w:softHyphen/>
        <w:t>●           Exhibit A, which is a copy of the Form 10-K/A and</w:t>
      </w:r>
    </w:p>
    <w:p>
      <w:pPr>
        <w:pStyle w:val="TextBody"/>
        <w:spacing w:before="0" w:after="0"/>
        <w:ind w:left="0" w:right="0" w:hanging="0"/>
        <w:rPr/>
      </w:pPr>
      <w:r>
        <w:rPr/>
      </w:r>
    </w:p>
    <w:p>
      <w:pPr>
        <w:pStyle w:val="TextBody"/>
        <w:spacing w:before="0" w:after="0"/>
        <w:ind w:left="1440" w:right="0" w:hanging="0"/>
        <w:jc w:val="left"/>
        <w:rPr/>
      </w:pPr>
      <w:bookmarkStart w:id="5" w:name="TAB11"/>
      <w:bookmarkEnd w:id="5"/>
      <w:r>
        <w:rPr/>
        <w:t>●           </w:t>
      </w:r>
      <w:r>
        <w:rPr>
          <w:rFonts w:ascii="Times New Roman" w:hAnsi="Times New Roman"/>
          <w:sz w:val="20"/>
        </w:rPr>
        <w:t>Exhibit B, which is a copy of the September Form 10-Q/A</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each of which has been marked to show changes from draft versions of those respective documents submitted to the Staff of the SEC on September 7, 2011.  The changes in the attached exhibits have been marked with additions in blue and double underlined.</w:t>
      </w:r>
    </w:p>
    <w:p>
      <w:pPr>
        <w:pStyle w:val="TextBody"/>
        <w:spacing w:before="0" w:after="0"/>
        <w:ind w:left="0" w:right="0" w:hanging="0"/>
        <w:jc w:val="both"/>
        <w:rPr/>
      </w:pPr>
      <w:r>
        <w:rPr/>
        <w:t> </w:t>
      </w:r>
    </w:p>
    <w:p>
      <w:pPr>
        <w:pStyle w:val="TextBody"/>
        <w:spacing w:before="0" w:after="0"/>
        <w:ind w:left="720" w:right="0" w:hanging="0"/>
        <w:jc w:val="left"/>
        <w:rPr>
          <w:rFonts w:ascii="Times New Roman" w:hAnsi="Times New Roman"/>
          <w:sz w:val="20"/>
        </w:rPr>
      </w:pPr>
      <w:r>
        <w:rPr>
          <w:rFonts w:ascii="Times New Roman" w:hAnsi="Times New Roman"/>
          <w:sz w:val="20"/>
        </w:rPr>
        <w:t>The Company has also filed today with the SEC an amended quarterly report on Form 10-Q/A for the period ended March 31, 2010 and an amended quarterly report on Form 10-Q/A for the period ended June 30, 2010.  As these amendments do not contain any material changes from the draft versions thereof submitted to the Staff of the SEC on September 7, 2011, we have not provided marked copies of these filings showing changes from the versions submitted on September 7, 2011.</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The Company hereby acknowledges that (i) the Company is responsible for the adequacy and accuracy of the disclosure in the amended periodic reports that it has filed today, (ii) comments from the Staff of the SEC (whether written or oral) do not foreclose the SEC from taking any action with respect to the periodic reports filed today and (iii) the Company may not assert Staff comments (whether written or oral) as a defense in any proceeding initiated by the SEC or any person under the federal securities laws of the United States.</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If you have any questions with the above, please contact William Rosenstadt at (212) 588-0022.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11"/>
        <w:gridCol w:w="5494"/>
      </w:tblGrid>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0"/>
              <w:ind w:left="720" w:right="0" w:hanging="0"/>
              <w:jc w:val="left"/>
              <w:rPr>
                <w:rFonts w:ascii="times new roman" w:hAnsi="times new roman"/>
                <w:sz w:val="20"/>
              </w:rPr>
            </w:pPr>
            <w:r>
              <w:rPr>
                <w:rFonts w:ascii="times new roman" w:hAnsi="times new roman"/>
                <w:sz w:val="20"/>
              </w:rPr>
              <w:t>Sincerely,</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0"/>
              <w:ind w:left="720" w:right="0" w:hanging="0"/>
              <w:jc w:val="left"/>
              <w:rPr>
                <w:rFonts w:ascii="times new roman" w:hAnsi="times new roman"/>
                <w:sz w:val="20"/>
              </w:rPr>
            </w:pPr>
            <w:r>
              <w:rPr>
                <w:rFonts w:ascii="times new roman" w:hAnsi="times new roman"/>
                <w:sz w:val="20"/>
              </w:rPr>
              <w:t>TapImmune Inc.</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0"/>
              <w:ind w:left="720" w:right="0" w:hanging="0"/>
              <w:jc w:val="left"/>
              <w:rPr>
                <w:rFonts w:ascii="times new roman" w:hAnsi="times new roman"/>
                <w:sz w:val="20"/>
                <w:u w:val="single"/>
              </w:rPr>
            </w:pPr>
            <w:r>
              <w:rPr>
                <w:rFonts w:ascii="times new roman" w:hAnsi="times new roman"/>
                <w:sz w:val="20"/>
                <w:u w:val="single"/>
              </w:rPr>
              <w:t>/s/ Denis Corin</w:t>
            </w:r>
          </w:p>
          <w:p>
            <w:pPr>
              <w:pStyle w:val="TableContents"/>
              <w:spacing w:before="0" w:after="0"/>
              <w:ind w:left="0" w:right="0" w:hanging="0"/>
              <w:jc w:val="left"/>
              <w:rPr/>
            </w:pPr>
            <w:r>
              <w:rPr/>
              <w:t>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bl>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cc:            Sasha Parikh, Staff Accountant; Don Abbott, Review Accountant</w:t>
      </w:r>
    </w:p>
    <w:p>
      <w:pPr>
        <w:pStyle w:val="TextBody"/>
        <w:rPr/>
      </w:pPr>
      <w:r>
        <w:rPr/>
      </w:r>
    </w:p>
    <w:p>
      <w:pPr>
        <w:pStyle w:val="TextBody"/>
        <w:spacing w:before="0" w:after="0"/>
        <w:ind w:left="0" w:right="0" w:hanging="0"/>
        <w:rPr/>
      </w:pPr>
      <w:r>
        <w:rPr/>
      </w:r>
    </w:p>
    <w:p>
      <w:pPr>
        <w:pStyle w:val="TextBody"/>
        <w:rPr/>
      </w:pPr>
      <w:r>
        <w:rPr/>
      </w:r>
    </w:p>
    <w:p>
      <w:pPr>
        <w:pStyle w:val="HorizontalLine"/>
        <w:pBdr>
          <w:bottom w:val="single" w:sz="6" w:space="0" w:color="808080"/>
        </w:pBdr>
        <w:rPr/>
      </w:pPr>
      <w:r>
        <w:rPr/>
      </w:r>
    </w:p>
    <w:p>
      <w:pPr>
        <w:pStyle w:val="HorizontalLine"/>
        <w:pBdr>
          <w:bottom w:val="single" w:sz="24"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b/>
        </w:rPr>
      </w:pPr>
      <w:r>
        <w:rPr>
          <w:b/>
        </w:rPr>
        <w:t>EXHIBIT A</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 w:name="PGBRK"/>
      <w:bookmarkStart w:id="7" w:name="PGBR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FTR"/>
      <w:bookmarkStart w:id="9" w:name="FT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 w:name="GLFT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 w:name="PN"/>
      <w:bookmarkEnd w:id="1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HDR"/>
      <w:bookmarkStart w:id="13" w:name="HD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 w:name="GLHDR"/>
      <w:bookmarkEnd w:id="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FORM 10-K/A</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(Amendment No. 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b/>
          <w:sz w:val="20"/>
        </w:rPr>
        <w:t>X</w:t>
      </w:r>
      <w:r>
        <w:rPr>
          <w:rFonts w:ascii="Times New Roman" w:hAnsi="Times New Roman"/>
          <w:sz w:val="20"/>
        </w:rPr>
        <w:t>]           ANNUAL REPORT PURSUANT TO SECTION 13 OR 15(d) OF THE SECURITIES EXCHANGE ACT OF 1934</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b/>
          <w:sz w:val="20"/>
        </w:rPr>
      </w:pPr>
      <w:bookmarkStart w:id="15" w:name="TAB12"/>
      <w:bookmarkEnd w:id="15"/>
      <w:r>
        <w:rPr>
          <w:rFonts w:ascii="Times New Roman" w:hAnsi="Times New Roman"/>
          <w:b/>
          <w:sz w:val="20"/>
        </w:rPr>
        <w:t>For the Fiscal Year Ended December 31, 2010</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6" w:name="hangingindent1"/>
      <w:bookmarkStart w:id="17" w:name="hangingindent1"/>
      <w:bookmarkEnd w:id="17"/>
    </w:p>
    <w:tbl>
      <w:tblPr>
        <w:tblW w:w="5000" w:type="pct"/>
        <w:jc w:val="center"/>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996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TRANSITION REPORT PURSUANT TO SECTION 13 OR 15(d) OF THE SECURITIES EXCHANGE ACT OF 1934</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 w:name="hangingindent2"/>
      <w:bookmarkStart w:id="19" w:name="hangingindent2"/>
      <w:bookmarkEnd w:id="19"/>
    </w:p>
    <w:tbl>
      <w:tblPr>
        <w:tblW w:w="5000" w:type="pct"/>
        <w:jc w:val="center"/>
        <w:tblInd w:w="0" w:type="dxa"/>
        <w:tblCellMar>
          <w:top w:w="0" w:type="dxa"/>
          <w:left w:w="0" w:type="dxa"/>
          <w:bottom w:w="0" w:type="dxa"/>
          <w:right w:w="0" w:type="dxa"/>
        </w:tblCellMar>
      </w:tblPr>
      <w:tblGrid>
        <w:gridCol w:w="196"/>
        <w:gridCol w:w="10009"/>
      </w:tblGrid>
      <w:tr>
        <w:trPr/>
        <w:tc>
          <w:tcPr>
            <w:tcW w:w="196" w:type="dxa"/>
            <w:tcBorders/>
            <w:shd w:fill="auto" w:val="clear"/>
          </w:tcPr>
          <w:p>
            <w:pPr>
              <w:pStyle w:val="TableContents"/>
              <w:spacing w:before="0" w:after="0"/>
              <w:rPr/>
            </w:pPr>
            <w:r>
              <w:rPr/>
              <w:t xml:space="preserve">  </w:t>
            </w:r>
          </w:p>
        </w:tc>
        <w:tc>
          <w:tcPr>
            <w:tcW w:w="1000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For the transition period from ________________ to ________________.</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Commission file number 000-27239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Nevada</w:t>
            </w:r>
          </w:p>
        </w:tc>
        <w:tc>
          <w:tcPr>
            <w:tcW w:w="510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88-0277072</w:t>
            </w:r>
          </w:p>
        </w:tc>
      </w:tr>
      <w:tr>
        <w:trPr/>
        <w:tc>
          <w:tcPr>
            <w:tcW w:w="51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of organization)</w:t>
            </w:r>
          </w:p>
        </w:tc>
        <w:tc>
          <w:tcPr>
            <w:tcW w:w="510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2815 Eastlake Avenue East, Suite 300</w:t>
            </w:r>
          </w:p>
          <w:p>
            <w:pPr>
              <w:pStyle w:val="TableContents"/>
              <w:spacing w:before="0" w:after="0"/>
              <w:ind w:left="0" w:right="0" w:hanging="0"/>
              <w:jc w:val="center"/>
              <w:rPr>
                <w:rFonts w:ascii="times new roman" w:hAnsi="times new roman"/>
                <w:b/>
                <w:sz w:val="20"/>
              </w:rPr>
            </w:pPr>
            <w:r>
              <w:rPr>
                <w:rFonts w:ascii="times new roman" w:hAnsi="times new roman"/>
                <w:b/>
                <w:sz w:val="20"/>
              </w:rPr>
              <w:t>Seattle, Washington</w:t>
            </w:r>
          </w:p>
        </w:tc>
        <w:tc>
          <w:tcPr>
            <w:tcW w:w="510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98102</w:t>
            </w:r>
          </w:p>
        </w:tc>
      </w:tr>
      <w:tr>
        <w:trPr/>
        <w:tc>
          <w:tcPr>
            <w:tcW w:w="51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10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(206) 336-5560</w:t>
      </w:r>
    </w:p>
    <w:p>
      <w:pPr>
        <w:pStyle w:val="TextBody"/>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Securities registered pursuant to Section 12(b) of the Act:  </w:t>
      </w:r>
      <w:r>
        <w:rPr>
          <w:rFonts w:ascii="Times New Roman" w:hAnsi="Times New Roman"/>
          <w:b/>
          <w:sz w:val="20"/>
          <w:u w:val="single"/>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Securities registered pursuant to Section 12(g) of the Act: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Common Stock, Par Value $0.001</w:t>
      </w:r>
    </w:p>
    <w:p>
      <w:pPr>
        <w:pStyle w:val="TextBody"/>
        <w:spacing w:before="0" w:after="0"/>
        <w:ind w:left="0" w:right="0" w:hanging="0"/>
        <w:jc w:val="center"/>
        <w:rPr>
          <w:rFonts w:ascii="Times New Roman" w:hAnsi="Times New Roman"/>
          <w:sz w:val="20"/>
        </w:rPr>
      </w:pPr>
      <w:r>
        <w:rPr>
          <w:rFonts w:ascii="Times New Roman" w:hAnsi="Times New Roman"/>
          <w:sz w:val="20"/>
        </w:rPr>
        <w:t>(Title of class)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the registrant is a well-known seasoned issuer, as defined in Rule 405 of the Securities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Yes [  ]  No [</w:t>
      </w:r>
      <w:r>
        <w:rPr>
          <w:rFonts w:ascii="Times New Roman" w:hAnsi="Times New Roman"/>
          <w:b/>
          <w:sz w:val="20"/>
        </w:rPr>
        <w:t>X</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the registrant is not required to file reports pursuant to Section 13 of Section 15(d) of the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Yes [  ]  No [</w:t>
      </w:r>
      <w:r>
        <w:rPr>
          <w:rFonts w:ascii="Times New Roman" w:hAnsi="Times New Roman"/>
          <w:b/>
          <w:sz w:val="20"/>
        </w:rPr>
        <w:t>X</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b/>
          <w:sz w:val="20"/>
        </w:rPr>
        <w:t>X</w:t>
      </w:r>
      <w:r>
        <w:rPr>
          <w:rFonts w:ascii="Times New Roman" w:hAnsi="Times New Roman"/>
          <w:sz w:val="20"/>
        </w:rPr>
        <w:t>]  No [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Times New Roman" w:hAnsi="Times New Roman"/>
          <w:b/>
          <w:sz w:val="20"/>
        </w:rPr>
        <w:t>X</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Large accelerated filer </w:t>
      </w:r>
      <w:r>
        <w:rPr>
          <w:rFonts w:ascii="Wingdings 2;serif" w:hAnsi="Wingdings 2;serif"/>
          <w:sz w:val="20"/>
        </w:rPr>
        <w:t>£</w:t>
      </w:r>
      <w:r>
        <w:rPr>
          <w:rFonts w:ascii="Times New Roman" w:hAnsi="Times New Roman"/>
          <w:sz w:val="20"/>
        </w:rPr>
        <w:t xml:space="preserve">                                                                                                           Accelerated filer </w:t>
      </w:r>
      <w:r>
        <w:rPr>
          <w:rFonts w:ascii="Wingdings 2;serif" w:hAnsi="Wingdings 2;serif"/>
          <w:sz w:val="20"/>
        </w:rPr>
        <w: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Non-accelerated filer </w:t>
      </w:r>
      <w:r>
        <w:rPr>
          <w:rFonts w:ascii="Wingdings 2;serif" w:hAnsi="Wingdings 2;serif"/>
          <w:sz w:val="20"/>
        </w:rPr>
        <w:t>£</w:t>
      </w:r>
      <w:r>
        <w:rPr>
          <w:rFonts w:ascii="Times New Roman" w:hAnsi="Times New Roman"/>
          <w:sz w:val="20"/>
        </w:rPr>
        <w:t xml:space="preserve"> (do not check if a smaller reporting company)                            Smaller reporting company </w:t>
      </w:r>
      <w:r>
        <w:rPr>
          <w:rFonts w:ascii="Wingdings 2;serif" w:hAnsi="Wingdings 2;serif"/>
          <w:sz w:val="20"/>
        </w:rPr>
        <w:t>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checkmark whether the registrant is a shell company (as defined in Rule 12b-2 of the Exchange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Yes [  ]  No [</w:t>
      </w:r>
      <w:r>
        <w:rPr>
          <w:rFonts w:ascii="Times New Roman" w:hAnsi="Times New Roman"/>
          <w:b/>
          <w:sz w:val="20"/>
        </w:rPr>
        <w:t>X</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aggregate market value of the voting and non-voting common equity held by non-affiliates of the registrant computed by reference to the price at which the registrant’s common equity was last sold, as of June 30, 2010 (the last day of the registrant’s most recently completed second fiscal quarter) was approximately </w:t>
      </w:r>
      <w:r>
        <w:rPr>
          <w:rFonts w:ascii="Times New Roman" w:hAnsi="Times New Roman"/>
          <w:b/>
          <w:sz w:val="20"/>
          <w:u w:val="single"/>
        </w:rPr>
        <w:t>$</w:t>
      </w:r>
      <w:r>
        <w:rPr>
          <w:rFonts w:ascii="Times New Roman" w:hAnsi="Times New Roman"/>
          <w:sz w:val="20"/>
          <w:u w:val="single"/>
        </w:rPr>
        <w:t>3,815,464</w:t>
      </w:r>
      <w:r>
        <w:rPr>
          <w:rFonts w:ascii="Times New Roman" w:hAnsi="Times New Roman"/>
          <w:b/>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registrant had 45,452,099 shares of common stock outstanding as of April 15, 2011.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 w:name="PGBRK1"/>
      <w:bookmarkStart w:id="21" w:name="PGBRK1"/>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 w:name="FTR1"/>
      <w:bookmarkStart w:id="23" w:name="FTR1"/>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 w:name="GLFTR1"/>
      <w:bookmarkEnd w:id="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 w:name="PN1"/>
      <w:bookmarkEnd w:id="25"/>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HDR1"/>
      <w:bookmarkStart w:id="27" w:name="HDR1"/>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 w:name="GLHDR1"/>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EXPLANATORY NOTE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This Amendment No. 1 on Form 10-K/A (the “Form 10-K/A”) to the Annual Report on Form 10-K for TapImmune Inc. (“we” or the “Company”) for the fiscal year ended December 31, 2010, initially filed with the Securities and Exchange Commission (the “SEC”) on April 18, 2011 (the “Original Filing”), is being filed to amend and restate the Company’s consolidated financial statements and related disclosures for the year ended December 31, 2009 </w:t>
      </w:r>
      <w:r>
        <w:rPr>
          <w:rFonts w:ascii="times new roman" w:hAnsi="times new roman"/>
          <w:color w:val="0000FF"/>
          <w:sz w:val="20"/>
          <w:u w:val="single"/>
          <w:bdr w:val="double" w:sz="2" w:space="1" w:color="000000"/>
        </w:rPr>
        <w:t>and December 31, 2010</w:t>
      </w:r>
      <w:r>
        <w:rPr>
          <w:rFonts w:ascii="Times New Roman" w:hAnsi="Times New Roman"/>
          <w:sz w:val="20"/>
        </w:rPr>
        <w:t xml:space="preserve"> as discussed in Note 1A to the accompanying restated financial statements. The amendments and restatement relates to the Company’s accounting for debt settlement transactions which took place in the fiscal year ended December 2009 </w:t>
      </w:r>
      <w:r>
        <w:rPr>
          <w:rFonts w:ascii="times new roman" w:hAnsi="times new roman"/>
          <w:color w:val="0000FF"/>
          <w:sz w:val="20"/>
          <w:u w:val="single"/>
          <w:bdr w:val="double" w:sz="2" w:space="1" w:color="000000"/>
        </w:rPr>
        <w:t>and valuation of derivative liabilities recognized in the fiscal year ended December 2010.</w:t>
      </w:r>
      <w:r>
        <w:rPr>
          <w:rFonts w:ascii="Times New Roman" w:hAnsi="Times New Roman"/>
          <w:sz w:val="20"/>
        </w:rPr>
        <w:t xml:space="preserve"> The restatement of the Company’s accounting for the debt settlement transactions </w:t>
      </w:r>
      <w:r>
        <w:rPr>
          <w:rFonts w:ascii="times new roman" w:hAnsi="times new roman"/>
          <w:color w:val="0000FF"/>
          <w:sz w:val="20"/>
          <w:u w:val="single"/>
          <w:bdr w:val="double" w:sz="2" w:space="1" w:color="000000"/>
        </w:rPr>
        <w:t>and valuation of derivative liabilities</w:t>
      </w:r>
      <w:r>
        <w:rPr>
          <w:rFonts w:ascii="Times New Roman" w:hAnsi="Times New Roman"/>
          <w:sz w:val="20"/>
        </w:rPr>
        <w:t xml:space="preserve"> arose in connection with comments received from the staff of the SEC in its review of the Company’s periodic SEC filings.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a result, and as previously disclosed in filings made with the SEC, on April 6, 2011, the Board of Directors of the Company, determined that the Company’s previously issued consolidated financial statements and reports filed with the SEC for the fiscal year ended December 31, 2009 should not be relied upon. For a more detailed description of the effects of the restatement, see further discussion in Note 1A, “Restatement of Consolidated Financial Statements” to our consolidated financial statements included in Item 8 of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the convenience of the reader, this Form 10-K/A sets forth the Original Filing in its entirety. However, this Form 10-K/A only amends and restates Items 7, 8, 13 and 15 of the Original Filing, in each case, solely as a result of, and to reflect, the restatement and comments of the SEC, and no other information in the Original Filing is amended hereby. The foregoing items have not been updated to reflect other events occurring after the Original Filing or to modify or update those disclosures affected by subsequent events. In addition, pursuant to the rules of the SEC, Item 15 of the Original Filings has been amended to contain currently dated certifications from the Company’s Chief Executive Officer and Chief Financial Officer, as required by Sections 302 and 906 of the Sarbanes-Oxley Act of 2002, and are attached as Exhibits 31.1, 31.2, 32.1 and 32.2 to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Except for the foregoing amended information, this Form 10-K/A continues to speak as of the dates of the Original Filing, and the Company has not updated the disclosures contained herein to reflect events that occurred at a later date. Other events occurring after the filings of the Original Filing or other disclosures necessary to reflect subsequent events will be addressed in any reports filed with the SEC subsequent to this filing.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 w:name="PGBRK2"/>
      <w:bookmarkStart w:id="30" w:name="PGBRK2"/>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 w:name="FTR2"/>
      <w:bookmarkStart w:id="32" w:name="FTR2"/>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 w:name="GLFTR2"/>
      <w:bookmarkEnd w:id="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 w:name="PN2"/>
      <w:bookmarkEnd w:id="34"/>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HDR2"/>
      <w:bookmarkStart w:id="36" w:name="HDR2"/>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 w:name="GLHDR2"/>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FORWARD LOOKING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annual report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annual report under “Risk Factors”. These factors or any of them may cause our actual results to differ materially from any forward-looking statement made in this annual report. Forward-looking statements in this annual report include, among others, statements regarding: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8" w:name="hangingindent3"/>
      <w:bookmarkStart w:id="39" w:name="hangingindent3"/>
      <w:bookmarkEnd w:id="39"/>
    </w:p>
    <w:tbl>
      <w:tblPr>
        <w:tblW w:w="5000" w:type="pct"/>
        <w:jc w:val="center"/>
        <w:tblInd w:w="0" w:type="dxa"/>
        <w:tblCellMar>
          <w:top w:w="0" w:type="dxa"/>
          <w:left w:w="0" w:type="dxa"/>
          <w:bottom w:w="0" w:type="dxa"/>
          <w:right w:w="0" w:type="dxa"/>
        </w:tblCellMar>
      </w:tblPr>
      <w:tblGrid>
        <w:gridCol w:w="731"/>
        <w:gridCol w:w="578"/>
        <w:gridCol w:w="8896"/>
      </w:tblGrid>
      <w:tr>
        <w:trPr/>
        <w:tc>
          <w:tcPr>
            <w:tcW w:w="731" w:type="dxa"/>
            <w:tcBorders/>
            <w:shd w:fill="auto" w:val="clear"/>
          </w:tcPr>
          <w:p>
            <w:pPr>
              <w:pStyle w:val="TableContents"/>
              <w:spacing w:before="0" w:after="0"/>
              <w:rPr/>
            </w:pPr>
            <w:r>
              <w:rPr/>
              <w:t xml:space="preserve">  </w:t>
            </w:r>
          </w:p>
        </w:tc>
        <w:tc>
          <w:tcPr>
            <w:tcW w:w="578"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889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capital needs;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 w:name="hangingindent4"/>
      <w:bookmarkStart w:id="41" w:name="hangingindent4"/>
      <w:bookmarkEnd w:id="41"/>
    </w:p>
    <w:tbl>
      <w:tblPr>
        <w:tblW w:w="5000" w:type="pct"/>
        <w:jc w:val="center"/>
        <w:tblInd w:w="0" w:type="dxa"/>
        <w:tblCellMar>
          <w:top w:w="0" w:type="dxa"/>
          <w:left w:w="0" w:type="dxa"/>
          <w:bottom w:w="0" w:type="dxa"/>
          <w:right w:w="0" w:type="dxa"/>
        </w:tblCellMar>
      </w:tblPr>
      <w:tblGrid>
        <w:gridCol w:w="676"/>
        <w:gridCol w:w="535"/>
        <w:gridCol w:w="8994"/>
      </w:tblGrid>
      <w:tr>
        <w:trPr/>
        <w:tc>
          <w:tcPr>
            <w:tcW w:w="676" w:type="dxa"/>
            <w:tcBorders/>
            <w:shd w:fill="auto" w:val="clear"/>
          </w:tcPr>
          <w:p>
            <w:pPr>
              <w:pStyle w:val="TableContents"/>
              <w:spacing w:before="0" w:after="0"/>
              <w:rPr/>
            </w:pPr>
            <w:r>
              <w:rPr/>
              <w:t xml:space="preserve">  </w:t>
            </w:r>
          </w:p>
        </w:tc>
        <w:tc>
          <w:tcPr>
            <w:tcW w:w="53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899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business plans;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 w:name="hangingindent5"/>
      <w:bookmarkStart w:id="43" w:name="hangingindent5"/>
      <w:bookmarkEnd w:id="43"/>
    </w:p>
    <w:tbl>
      <w:tblPr>
        <w:tblW w:w="5000" w:type="pct"/>
        <w:jc w:val="center"/>
        <w:tblInd w:w="0" w:type="dxa"/>
        <w:tblCellMar>
          <w:top w:w="0" w:type="dxa"/>
          <w:left w:w="0" w:type="dxa"/>
          <w:bottom w:w="0" w:type="dxa"/>
          <w:right w:w="0" w:type="dxa"/>
        </w:tblCellMar>
      </w:tblPr>
      <w:tblGrid>
        <w:gridCol w:w="931"/>
        <w:gridCol w:w="737"/>
        <w:gridCol w:w="8537"/>
      </w:tblGrid>
      <w:tr>
        <w:trPr/>
        <w:tc>
          <w:tcPr>
            <w:tcW w:w="931" w:type="dxa"/>
            <w:tcBorders/>
            <w:shd w:fill="auto" w:val="clear"/>
          </w:tcPr>
          <w:p>
            <w:pPr>
              <w:pStyle w:val="TableContents"/>
              <w:spacing w:before="0" w:after="0"/>
              <w:rPr/>
            </w:pPr>
            <w:r>
              <w:rPr/>
              <w:t xml:space="preserve">  </w:t>
            </w:r>
          </w:p>
        </w:tc>
        <w:tc>
          <w:tcPr>
            <w:tcW w:w="737"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853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expectations.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 w:name="hangingindent6"/>
      <w:bookmarkStart w:id="45" w:name="hangingindent6"/>
      <w:bookmarkEnd w:id="45"/>
    </w:p>
    <w:tbl>
      <w:tblPr>
        <w:tblW w:w="5000" w:type="pct"/>
        <w:jc w:val="center"/>
        <w:tblInd w:w="0" w:type="dxa"/>
        <w:tblCellMar>
          <w:top w:w="0" w:type="dxa"/>
          <w:left w:w="0" w:type="dxa"/>
          <w:bottom w:w="0" w:type="dxa"/>
          <w:right w:w="0" w:type="dxa"/>
        </w:tblCellMar>
      </w:tblPr>
      <w:tblGrid>
        <w:gridCol w:w="410"/>
        <w:gridCol w:w="326"/>
        <w:gridCol w:w="9469"/>
      </w:tblGrid>
      <w:tr>
        <w:trPr/>
        <w:tc>
          <w:tcPr>
            <w:tcW w:w="410" w:type="dxa"/>
            <w:tcBorders/>
            <w:shd w:fill="auto" w:val="clear"/>
          </w:tcPr>
          <w:p>
            <w:pPr>
              <w:pStyle w:val="TableContents"/>
              <w:spacing w:before="0" w:after="0"/>
              <w:rPr/>
            </w:pPr>
            <w:r>
              <w:rPr/>
              <w:t xml:space="preserve">  </w:t>
            </w:r>
          </w:p>
        </w:tc>
        <w:tc>
          <w:tcPr>
            <w:tcW w:w="326"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46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need for additional financing;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6" w:name="hangingindent7"/>
      <w:bookmarkStart w:id="47" w:name="hangingindent7"/>
      <w:bookmarkEnd w:id="47"/>
    </w:p>
    <w:tbl>
      <w:tblPr>
        <w:tblW w:w="5000" w:type="pct"/>
        <w:jc w:val="center"/>
        <w:tblInd w:w="0" w:type="dxa"/>
        <w:tblCellMar>
          <w:top w:w="0" w:type="dxa"/>
          <w:left w:w="0" w:type="dxa"/>
          <w:bottom w:w="0" w:type="dxa"/>
          <w:right w:w="0" w:type="dxa"/>
        </w:tblCellMar>
      </w:tblPr>
      <w:tblGrid>
        <w:gridCol w:w="464"/>
        <w:gridCol w:w="368"/>
        <w:gridCol w:w="9373"/>
      </w:tblGrid>
      <w:tr>
        <w:trPr/>
        <w:tc>
          <w:tcPr>
            <w:tcW w:w="464" w:type="dxa"/>
            <w:tcBorders/>
            <w:shd w:fill="auto" w:val="clear"/>
          </w:tcPr>
          <w:p>
            <w:pPr>
              <w:pStyle w:val="TableContents"/>
              <w:spacing w:before="0" w:after="0"/>
              <w:rPr/>
            </w:pPr>
            <w:r>
              <w:rPr/>
              <w:t xml:space="preserve">  </w:t>
            </w:r>
          </w:p>
        </w:tc>
        <w:tc>
          <w:tcPr>
            <w:tcW w:w="368"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3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limited operating history;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 w:name="hangingindent8"/>
      <w:bookmarkStart w:id="49" w:name="hangingindent8"/>
      <w:bookmarkEnd w:id="49"/>
    </w:p>
    <w:tbl>
      <w:tblPr>
        <w:tblW w:w="5000" w:type="pct"/>
        <w:jc w:val="center"/>
        <w:tblInd w:w="0" w:type="dxa"/>
        <w:tblCellMar>
          <w:top w:w="0" w:type="dxa"/>
          <w:left w:w="0" w:type="dxa"/>
          <w:bottom w:w="0" w:type="dxa"/>
          <w:right w:w="0" w:type="dxa"/>
        </w:tblCellMar>
      </w:tblPr>
      <w:tblGrid>
        <w:gridCol w:w="446"/>
        <w:gridCol w:w="354"/>
        <w:gridCol w:w="9405"/>
      </w:tblGrid>
      <w:tr>
        <w:trPr/>
        <w:tc>
          <w:tcPr>
            <w:tcW w:w="446" w:type="dxa"/>
            <w:tcBorders/>
            <w:shd w:fill="auto" w:val="clear"/>
          </w:tcPr>
          <w:p>
            <w:pPr>
              <w:pStyle w:val="TableContents"/>
              <w:spacing w:before="0" w:after="0"/>
              <w:rPr/>
            </w:pPr>
            <w:r>
              <w:rPr/>
              <w:t xml:space="preserve">  </w:t>
            </w:r>
          </w:p>
        </w:tc>
        <w:tc>
          <w:tcPr>
            <w:tcW w:w="354"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4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history of operating losses;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0" w:name="hangingindent9"/>
      <w:bookmarkStart w:id="51" w:name="hangingindent9"/>
      <w:bookmarkEnd w:id="51"/>
    </w:p>
    <w:tbl>
      <w:tblPr>
        <w:tblW w:w="5000" w:type="pct"/>
        <w:jc w:val="center"/>
        <w:tblInd w:w="0" w:type="dxa"/>
        <w:tblCellMar>
          <w:top w:w="0" w:type="dxa"/>
          <w:left w:w="0" w:type="dxa"/>
          <w:bottom w:w="0" w:type="dxa"/>
          <w:right w:w="0" w:type="dxa"/>
        </w:tblCellMar>
      </w:tblPr>
      <w:tblGrid>
        <w:gridCol w:w="442"/>
        <w:gridCol w:w="349"/>
        <w:gridCol w:w="9414"/>
      </w:tblGrid>
      <w:tr>
        <w:trPr/>
        <w:tc>
          <w:tcPr>
            <w:tcW w:w="442" w:type="dxa"/>
            <w:tcBorders/>
            <w:shd w:fill="auto" w:val="clear"/>
          </w:tcPr>
          <w:p>
            <w:pPr>
              <w:pStyle w:val="TableContents"/>
              <w:spacing w:before="0" w:after="0"/>
              <w:rPr/>
            </w:pPr>
            <w:r>
              <w:rPr/>
              <w:t xml:space="preserve">  </w:t>
            </w:r>
          </w:p>
        </w:tc>
        <w:tc>
          <w:tcPr>
            <w:tcW w:w="349"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41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lack of insurance coverage;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2" w:name="hangingindent10"/>
      <w:bookmarkStart w:id="53" w:name="hangingindent10"/>
      <w:bookmarkEnd w:id="53"/>
    </w:p>
    <w:tbl>
      <w:tblPr>
        <w:tblW w:w="5000" w:type="pct"/>
        <w:jc w:val="center"/>
        <w:tblInd w:w="0" w:type="dxa"/>
        <w:tblCellMar>
          <w:top w:w="0" w:type="dxa"/>
          <w:left w:w="0" w:type="dxa"/>
          <w:bottom w:w="0" w:type="dxa"/>
          <w:right w:w="0" w:type="dxa"/>
        </w:tblCellMar>
      </w:tblPr>
      <w:tblGrid>
        <w:gridCol w:w="283"/>
        <w:gridCol w:w="225"/>
        <w:gridCol w:w="9697"/>
      </w:tblGrid>
      <w:tr>
        <w:trPr/>
        <w:tc>
          <w:tcPr>
            <w:tcW w:w="283" w:type="dxa"/>
            <w:tcBorders/>
            <w:shd w:fill="auto" w:val="clear"/>
          </w:tcPr>
          <w:p>
            <w:pPr>
              <w:pStyle w:val="TableContents"/>
              <w:spacing w:before="0" w:after="0"/>
              <w:rPr/>
            </w:pPr>
            <w:r>
              <w:rPr/>
              <w:t xml:space="preserve">  </w:t>
            </w:r>
          </w:p>
        </w:tc>
        <w:tc>
          <w:tcPr>
            <w:tcW w:w="22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6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competitive environment in which we operate;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4" w:name="hangingindent11"/>
      <w:bookmarkStart w:id="55" w:name="hangingindent11"/>
      <w:bookmarkEnd w:id="55"/>
    </w:p>
    <w:tbl>
      <w:tblPr>
        <w:tblW w:w="5000" w:type="pct"/>
        <w:jc w:val="center"/>
        <w:tblInd w:w="0" w:type="dxa"/>
        <w:tblCellMar>
          <w:top w:w="0" w:type="dxa"/>
          <w:left w:w="0" w:type="dxa"/>
          <w:bottom w:w="0" w:type="dxa"/>
          <w:right w:w="0" w:type="dxa"/>
        </w:tblCellMar>
      </w:tblPr>
      <w:tblGrid>
        <w:gridCol w:w="220"/>
        <w:gridCol w:w="175"/>
        <w:gridCol w:w="9810"/>
      </w:tblGrid>
      <w:tr>
        <w:trPr/>
        <w:tc>
          <w:tcPr>
            <w:tcW w:w="220" w:type="dxa"/>
            <w:tcBorders/>
            <w:shd w:fill="auto" w:val="clear"/>
          </w:tcPr>
          <w:p>
            <w:pPr>
              <w:pStyle w:val="TableContents"/>
              <w:spacing w:before="0" w:after="0"/>
              <w:rPr/>
            </w:pPr>
            <w:r>
              <w:rPr/>
              <w:t xml:space="preserve">  </w:t>
            </w:r>
          </w:p>
        </w:tc>
        <w:tc>
          <w:tcPr>
            <w:tcW w:w="17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81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changes in governmental regulation and administrative practices;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6" w:name="hangingindent12"/>
      <w:bookmarkStart w:id="57" w:name="hangingindent12"/>
      <w:bookmarkEnd w:id="57"/>
    </w:p>
    <w:tbl>
      <w:tblPr>
        <w:tblW w:w="5000" w:type="pct"/>
        <w:jc w:val="center"/>
        <w:tblInd w:w="0" w:type="dxa"/>
        <w:tblCellMar>
          <w:top w:w="0" w:type="dxa"/>
          <w:left w:w="0" w:type="dxa"/>
          <w:bottom w:w="0" w:type="dxa"/>
          <w:right w:w="0" w:type="dxa"/>
        </w:tblCellMar>
      </w:tblPr>
      <w:tblGrid>
        <w:gridCol w:w="404"/>
        <w:gridCol w:w="321"/>
        <w:gridCol w:w="9480"/>
      </w:tblGrid>
      <w:tr>
        <w:trPr/>
        <w:tc>
          <w:tcPr>
            <w:tcW w:w="404" w:type="dxa"/>
            <w:tcBorders/>
            <w:shd w:fill="auto" w:val="clear"/>
          </w:tcPr>
          <w:p>
            <w:pPr>
              <w:pStyle w:val="TableContents"/>
              <w:spacing w:before="0" w:after="0"/>
              <w:rPr/>
            </w:pPr>
            <w:r>
              <w:rPr/>
              <w:t xml:space="preserve">  </w:t>
            </w:r>
          </w:p>
        </w:tc>
        <w:tc>
          <w:tcPr>
            <w:tcW w:w="321"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48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dependence on key personnel;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8" w:name="hangingindent13"/>
      <w:bookmarkStart w:id="59" w:name="hangingindent13"/>
      <w:bookmarkEnd w:id="59"/>
    </w:p>
    <w:tbl>
      <w:tblPr>
        <w:tblW w:w="5000" w:type="pct"/>
        <w:jc w:val="center"/>
        <w:tblInd w:w="0" w:type="dxa"/>
        <w:tblCellMar>
          <w:top w:w="0" w:type="dxa"/>
          <w:left w:w="0" w:type="dxa"/>
          <w:bottom w:w="0" w:type="dxa"/>
          <w:right w:w="0" w:type="dxa"/>
        </w:tblCellMar>
      </w:tblPr>
      <w:tblGrid>
        <w:gridCol w:w="297"/>
        <w:gridCol w:w="235"/>
        <w:gridCol w:w="9673"/>
      </w:tblGrid>
      <w:tr>
        <w:trPr/>
        <w:tc>
          <w:tcPr>
            <w:tcW w:w="297" w:type="dxa"/>
            <w:tcBorders/>
            <w:shd w:fill="auto" w:val="clear"/>
          </w:tcPr>
          <w:p>
            <w:pPr>
              <w:pStyle w:val="TableContents"/>
              <w:spacing w:before="0" w:after="0"/>
              <w:rPr/>
            </w:pPr>
            <w:r>
              <w:rPr/>
              <w:t xml:space="preserve">  </w:t>
            </w:r>
          </w:p>
        </w:tc>
        <w:tc>
          <w:tcPr>
            <w:tcW w:w="23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6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conflicts of interest of our directors and officers;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0" w:name="hangingindent14"/>
      <w:bookmarkStart w:id="61" w:name="hangingindent14"/>
      <w:bookmarkEnd w:id="61"/>
    </w:p>
    <w:tbl>
      <w:tblPr>
        <w:tblW w:w="5000" w:type="pct"/>
        <w:jc w:val="center"/>
        <w:tblInd w:w="0" w:type="dxa"/>
        <w:tblCellMar>
          <w:top w:w="0" w:type="dxa"/>
          <w:left w:w="0" w:type="dxa"/>
          <w:bottom w:w="0" w:type="dxa"/>
          <w:right w:w="0" w:type="dxa"/>
        </w:tblCellMar>
      </w:tblPr>
      <w:tblGrid>
        <w:gridCol w:w="294"/>
        <w:gridCol w:w="232"/>
        <w:gridCol w:w="9679"/>
      </w:tblGrid>
      <w:tr>
        <w:trPr/>
        <w:tc>
          <w:tcPr>
            <w:tcW w:w="294" w:type="dxa"/>
            <w:tcBorders/>
            <w:shd w:fill="auto" w:val="clear"/>
          </w:tcPr>
          <w:p>
            <w:pPr>
              <w:pStyle w:val="TableContents"/>
              <w:spacing w:before="0" w:after="0"/>
              <w:rPr/>
            </w:pPr>
            <w:r>
              <w:rPr/>
              <w:t xml:space="preserve">  </w:t>
            </w:r>
          </w:p>
        </w:tc>
        <w:tc>
          <w:tcPr>
            <w:tcW w:w="232"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6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ability to fully implement our business plan;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2" w:name="hangingindent15"/>
      <w:bookmarkStart w:id="63" w:name="hangingindent15"/>
      <w:bookmarkEnd w:id="63"/>
    </w:p>
    <w:tbl>
      <w:tblPr>
        <w:tblW w:w="5000" w:type="pct"/>
        <w:jc w:val="center"/>
        <w:tblInd w:w="0" w:type="dxa"/>
        <w:tblCellMar>
          <w:top w:w="0" w:type="dxa"/>
          <w:left w:w="0" w:type="dxa"/>
          <w:bottom w:w="0" w:type="dxa"/>
          <w:right w:w="0" w:type="dxa"/>
        </w:tblCellMar>
      </w:tblPr>
      <w:tblGrid>
        <w:gridCol w:w="289"/>
        <w:gridCol w:w="230"/>
        <w:gridCol w:w="9686"/>
      </w:tblGrid>
      <w:tr>
        <w:trPr/>
        <w:tc>
          <w:tcPr>
            <w:tcW w:w="289" w:type="dxa"/>
            <w:tcBorders/>
            <w:shd w:fill="auto" w:val="clear"/>
          </w:tcPr>
          <w:p>
            <w:pPr>
              <w:pStyle w:val="TableContents"/>
              <w:spacing w:before="0" w:after="0"/>
              <w:rPr/>
            </w:pPr>
            <w:r>
              <w:rPr/>
              <w:t xml:space="preserve">  </w:t>
            </w:r>
          </w:p>
        </w:tc>
        <w:tc>
          <w:tcPr>
            <w:tcW w:w="230"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68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ability to effectively manage our growth;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4" w:name="hangingindent16"/>
      <w:bookmarkStart w:id="65" w:name="hangingindent16"/>
      <w:bookmarkEnd w:id="65"/>
    </w:p>
    <w:tbl>
      <w:tblPr>
        <w:tblW w:w="5000" w:type="pct"/>
        <w:jc w:val="center"/>
        <w:tblInd w:w="0" w:type="dxa"/>
        <w:tblCellMar>
          <w:top w:w="0" w:type="dxa"/>
          <w:left w:w="0" w:type="dxa"/>
          <w:bottom w:w="0" w:type="dxa"/>
          <w:right w:w="0" w:type="dxa"/>
        </w:tblCellMar>
      </w:tblPr>
      <w:tblGrid>
        <w:gridCol w:w="258"/>
        <w:gridCol w:w="205"/>
        <w:gridCol w:w="9742"/>
      </w:tblGrid>
      <w:tr>
        <w:trPr/>
        <w:tc>
          <w:tcPr>
            <w:tcW w:w="258" w:type="dxa"/>
            <w:tcBorders/>
            <w:shd w:fill="auto" w:val="clear"/>
          </w:tcPr>
          <w:p>
            <w:pPr>
              <w:pStyle w:val="TableContents"/>
              <w:spacing w:before="0" w:after="0"/>
              <w:rPr/>
            </w:pPr>
            <w:r>
              <w:rPr/>
              <w:t xml:space="preserve">  </w:t>
            </w:r>
          </w:p>
        </w:tc>
        <w:tc>
          <w:tcPr>
            <w:tcW w:w="20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74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other regulatory, legislative and judicial developments.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advise the reader that these cautionary remarks expressly qualify in their entirety all forward-looking statements attributable to us or persons acting on our behalf. Important factors that you should also consider, include, but are not limited to, the factors discussed under “Risk Factors” in this annual report.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forward-looking statements in this annual report are made as of the date of this annual report and we do not intend or undertake to update any of the forward-looking statements to conform these statements to actual results, except as required by applicable law, including the securities laws of the United States.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AVAILABLE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TapImmune Inc. files annual, quarterly and current reports, proxy statements and other information with the Securities and Exchange Commission (the “SEC”). You may read and copy documents referred to in this Annual Report on Form 10-K</w:t>
      </w:r>
      <w:r>
        <w:rPr>
          <w:rFonts w:ascii="times new roman" w:hAnsi="times new roman"/>
          <w:color w:val="0000FF"/>
          <w:sz w:val="20"/>
          <w:u w:val="single"/>
          <w:bdr w:val="double" w:sz="2" w:space="1" w:color="000000"/>
        </w:rPr>
        <w:t>/A</w:t>
      </w:r>
      <w:r>
        <w:rPr>
          <w:rFonts w:ascii="Times New Roman" w:hAnsi="Times New Roman"/>
          <w:sz w:val="20"/>
        </w:rPr>
        <w:t xml:space="preserve"> that have been filed with the SEC at the SEC’s Public Reference Room, 450 Fifth Street, N.W., Washington, D.C. You may obtain information on the operation of the Public Reference Room by calling the SEC at 1-800-SEC-0330. You can also obtain copies of our SEC filings by going to the SEC’s website at http://www.sec.gov.</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REFERENCES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used in this annual report: (i) the terms “we”, “us”, “our”, “TapImmune” and the “Company” mean TapImmune Inc.; (ii) “SEC” refers to the Securities and Exchange Commission; (iii) “Securities Act” refers to the United States </w:t>
      </w:r>
      <w:r>
        <w:rPr>
          <w:rFonts w:ascii="Times New Roman" w:hAnsi="Times New Roman"/>
          <w:i/>
          <w:sz w:val="20"/>
        </w:rPr>
        <w:t>Securities Act of 1933</w:t>
      </w:r>
      <w:r>
        <w:rPr>
          <w:rFonts w:ascii="Times New Roman" w:hAnsi="Times New Roman"/>
          <w:sz w:val="20"/>
        </w:rPr>
        <w:t xml:space="preserve">, as amended; (iv) “Exchange Act” refers to the United States </w:t>
      </w:r>
      <w:r>
        <w:rPr>
          <w:rFonts w:ascii="Times New Roman" w:hAnsi="Times New Roman"/>
          <w:i/>
          <w:sz w:val="20"/>
        </w:rPr>
        <w:t>Securities Exchange Act of 1934</w:t>
      </w:r>
      <w:r>
        <w:rPr>
          <w:rFonts w:ascii="Times New Roman" w:hAnsi="Times New Roman"/>
          <w:sz w:val="20"/>
        </w:rPr>
        <w:t>, as amended; and (v) all dollar amounts refer to United States dollars unless otherwise indicated.</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 w:name="PGBRK3"/>
      <w:bookmarkStart w:id="67" w:name="PGBRK3"/>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 w:name="FTR3"/>
      <w:bookmarkStart w:id="69" w:name="FTR3"/>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0" w:name="GLFTR3"/>
      <w:bookmarkEnd w:id="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1" w:name="PN3"/>
      <w:bookmarkEnd w:id="71"/>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 w:name="HDR3"/>
      <w:bookmarkStart w:id="73" w:name="HDR3"/>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4" w:name="GLHDR3"/>
      <w:bookmarkEnd w:id="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TABLE OF CONTENTS</w:t>
      </w:r>
    </w:p>
    <w:p>
      <w:pPr>
        <w:pStyle w:val="TextBody"/>
        <w:spacing w:before="0" w:after="0"/>
        <w:ind w:left="0" w:right="0" w:hanging="0"/>
        <w:rPr/>
      </w:pPr>
      <w:r>
        <w:rPr/>
        <w:t>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569"/>
        <w:gridCol w:w="8374"/>
        <w:gridCol w:w="262"/>
      </w:tblGrid>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BUSINESS</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1</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1A.</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RISK FACTORS</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9</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1B.</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UNRESOLVED STAFF COMMENTS</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9</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2.</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PROPERTIES</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9</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3.</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LEGAL PROCEEDINGS</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9</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4.</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(REMOVED AND RESERVED)</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9</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5.</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MARKET FOR REGISTRANT’S COMMON EQUITY, RELATED STOCKHOLDER MATTERS AND ISSUER PURCHASES OF EQUITY SECURITIES</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10</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6.</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SELECTED FINANCIAL DATA</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13</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7.</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MANAGEMENT’S DISCUSSION AND ANALYSIS OF FINANCIAL CONDITION AND RESULTS OF OPERATIONS</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13</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7A.</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QUANTITATIVE AND QUALITATIVE DISCLOSURES ABOUT MARKET RISK</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17</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8.</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FINANCIAL STATEMENTS</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18</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9.</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CHANGES IN AND DISAGREEMENTS WITH ACCOUNTANTS ON ACCOUNTING AND FINANCIAL DISCLOSURE</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47</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9A.</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CONTROLS AND PROCEDURES</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47</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9B.</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OTHER INFORMATION</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48</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10.</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DIRECTORS, EXECUTIVE OFFICERS AND CORPORATE GOVERNANCE</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48</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11.</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EXECUTIVE COMPENSATION</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50</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12.</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SECURITY OWNERSHIP OF CERTAIN BENEFICIAL OWNERS AND MANAGEMENT AND RELATED STOCKHOLDER MATTERS</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52</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13.</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CERTAIN RELATIONSHIPS AND RELATED TRANSACTIONS AND DIRECTOR INDEPENDENCE</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54</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14.</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PRINCIPAL ACCOUNTING FEES AND SERVICES</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54</w:t>
            </w:r>
          </w:p>
        </w:tc>
      </w:tr>
      <w:tr>
        <w:trPr/>
        <w:tc>
          <w:tcPr>
            <w:tcW w:w="156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15.</w:t>
            </w:r>
          </w:p>
        </w:tc>
        <w:tc>
          <w:tcPr>
            <w:tcW w:w="83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EXHIBITS</w:t>
            </w:r>
          </w:p>
        </w:tc>
        <w:tc>
          <w:tcPr>
            <w:tcW w:w="26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54</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75" w:name="PGBRK4"/>
      <w:bookmarkStart w:id="76" w:name="PGBRK4"/>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7" w:name="FTR4"/>
      <w:bookmarkStart w:id="78" w:name="FTR4"/>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79" w:name="GLFTR4"/>
      <w:bookmarkEnd w:id="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0" w:name="PN4"/>
      <w:bookmarkEnd w:id="80"/>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81" w:name="HDR4"/>
      <w:bookmarkStart w:id="82" w:name="HDR4"/>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83" w:name="GLHDR4"/>
      <w:bookmarkEnd w:id="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PART I</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                      BUSINESS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Company Overview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a biotechnology company whose strategic vision is to develop and market products specializing in the application of discoveries in cellular and molecular immunology and cancer biology to the development of proprietary therapeutics aimed at the treatment and eradication of cancer and prevention of infectious diseases. Our technologies are based on an understanding of the function of a protein pump known as “TAP”, which is located within cells and which is essential to the processing of foreign (microbial) or autologous antigens, and subsequent presentation to the immune system for eradication of the cancer or infected cell. We currently have none of our product candidates on the market and are focusing on the development and testing of our product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Company History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currently trade on the OTC Bulletin Board under the symbol “TPIV”.</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were incorporated under the laws of the State of Nevada in 1991 under the name “Ward’s Futura Automotive Ltd”. We changed our name a number of times since 1991 and, in July 2002, we completed the acquisition of GeneMax Pharmaceuticals Inc. (“GeneMax Pharmaceuticals”), a Delaware corporation, in a reverse merger and changed our name to “GeneMax Corp”. As a result of this transaction the former stockholders of GeneMax Pharmaceuticals then owned 75% of the total issued and outstanding shares of GeneMax Corp. GeneMax Pharmaceuticals is now a wholly owned subsidiary of TapImmune, and GeneMax Pharmaceuticals Canada Inc. (“GPCanada”), a British Columbia corporation, is a wholly owned subsidiary of GeneMax Pharmaceuticals. On June 28, 2007, we approved a name change to TapImmune Inc.</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The Immunotherapy Industry for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there is a critical need for more effective cancer therapies. Management further believes that the global market for effective cancer treatments is large, and that immunotherapies representing potential treatments for metastatic cancer are an unmet need in the area of oncology.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By restoring TAP expression to TAP-deficient cells, the MHC Class I protein peptide complexes could signal the immune system to attack the cancer. The strategic vision of TapImmune is to be a product-driven biotechnology company, focusing primarily on use of its patented TAP technology to restore the TAP function within cancerous cells, thus making them immunogenic, or more “visible” to cancer fighting immune cells. Management believes that this cancer vaccine strategy will provide the most viable therapeutic approach that addresses this problem of “non-immunogenicity” of cancer. Management believes that this therapy may have a strong competitive advantage over other cancer therapies, since restoring the TAP protein will direct the immune system to specifically target the cancerous cells without damaging healthy tissue.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 w:name="PGBRK5"/>
      <w:bookmarkStart w:id="85" w:name="PGBRK5"/>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 w:name="FTR5"/>
      <w:bookmarkStart w:id="87" w:name="FTR5"/>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8" w:name="GLFTR5"/>
      <w:bookmarkEnd w:id="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9" w:name="PN5"/>
      <w:bookmarkEnd w:id="89"/>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 w:name="HDR5"/>
      <w:bookmarkStart w:id="91" w:name="HDR5"/>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2" w:name="GLHDR5"/>
      <w:bookmarkEnd w:id="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a key part of its overall strategy, and with adequate funding, the company is pursuing the development of prophylactic vaccines against infectious microbes and will also do so in partnership with other vaccine developers. The company intends to develop the TAP technology for use as a vaccine that restores normal immune recognition for the treatment of cancer and supplements immune recognition for the development of prophylactic vaccines.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TapImmune’s Target Market and Strategy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With the required funding in place, we will support and expand on our key infectious disease partnerships, including our collaboration efforts with the Mayo Clinic and Aeras TB Foundation. We will also continue product development in oncology both alone and with corporate partners and collaborators including the Mayo Clinic for HER2/neu positive Breast Cancer. Cancer encompasses a large number of diseases that affect many different parts of the human body.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Research &amp; Markets (Global Vaccine Market Outlook 2007 – 2010) estimated that the market for cancer vaccines could reach approximately $6 billion in 2010. IMS has estimated that the cancer market will mushroom from $48 billion to $75 billion in 2012 with biopharma companies anticipating that cancer vaccines will grab a large slice of the market (Fierch Biotech, March 23, 2010). The goal of TapImmune management is to have the FDA approve our cancer vaccines within the next few years so that we can secure a portion of this market.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also believes that our prophylactic vaccine adjuvant will improve the creation of new vaccines and enhance the efficacy of current vaccines in the treatment of infectious disease. It will be a key business development strategy to pursue additional partnerships and joint research and development ventures with vaccine manufacturers and pharmaceutical companies to bring new and improved vaccines to market. This strategy includes the development of vaccines for pandemic diseases and for bioterrorism threats. The market for prophylactic vaccines is around $6 Billion and is expected to reach $11 billion in 2010 (Frost &amp; Sullivan).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 Efforts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direct our research and development efforts towards the development of immunotherapeutic and prophylactic vaccine products for the treatment of cancer and protection against pathogenic microbes respectively, using our proprietary TAP technology and synergistic technologies from the Mayo Clinic for which TapImmune has Exclusive Options to License. We have focused our efforts initially on the development of a therapeutic vaccine for applications in cancer treatment while demonstrating the breadth of the TAP technology for the development of prophylactic vaccines and its ability to complement currently approved and emerging products in both cancer therapeutics and prophylactic vaccines against microbes. This approach allows us to pursue our own internal product development while positioning us to enter into multiple partnerships and licensing agreements. Our first generation TAP vaccines that have been used in animal preclinical studies are based on insertion of TAP genes into a proprietary modified adenovirus vector. We also plan to develop gene expression vectors that can deliver plasmid DNA encoding TAP. We have an opportunity to take advantage of our potential partners’ capabilities while reducing our overhead costs. Our relationship with the University of British Columbia (“UBC”) allowed us to conduct contract research and development by employing highly skilled scientists at UBC. The research and development team performed the basic research on the biological function of TAP and related licensed technology as well as preclinical animal studies in cancer and infectious diseases. Moving into the development phase, we plan to work closely with our collaborators and use their extensive facilities, infrastructure and resources to initiate clinical work. We have initiated discussions with a qualified CRO (contract research organization), with specialist expertise in viral vectors, for the production of clinical grade vaccine products to be used in preclinical and clinical studies that require production facilities with Good Manufacturing Practices (“GMP”) and Good Laboratory Practices (“GLP”) certification. We will also plan to rely on partnership with Aeras to demonstrate the use of TAP in a new TB vaccine candidate. Second generation vaccines using TAP-encoding DNA plasmids will also be developed.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3" w:name="PGBRK6"/>
      <w:bookmarkStart w:id="94" w:name="PGBRK6"/>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 w:name="FTR6"/>
      <w:bookmarkStart w:id="96" w:name="FTR6"/>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7" w:name="GLFTR6"/>
      <w:bookmarkEnd w:id="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8" w:name="PN6"/>
      <w:bookmarkEnd w:id="98"/>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 w:name="HDR6"/>
      <w:bookmarkStart w:id="100" w:name="HDR6"/>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1" w:name="GLHDR6"/>
      <w:bookmarkEnd w:id="1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Products and Technology in Development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TAP Cancer Vaccine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Research on our TAP Cancer Vaccine was conducted at the UBC Biomedical Research Centre under an agreement we refer to in this Annual Report as our “Collaborative Research Agreement”. This therapeutic cancer vaccine candidate, to be tested in preclinical toxicology studies, will, if successfully developed, include the patented use of the TAP-1 gene to restore the TAP protein, with the objective being to develop the TAP technology as a therapeutic cancer vaccine that will restore the normal immune recognition of cancer cells. The TAP Cancer Vaccine will be targeted at those cancers that are deficient in the TAP protein, which include breast cancer, prostate cancer, lung cancer, liver cancer, melanoma, renal cancer and colorectal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TAP Cancer Vaccine will deliver the genetic information required for the production of the TAP protein in the target cancer cell. This will trigger the cancer cell’s ability to effectively identify itself to the body’s immune system by transporting the cancer antigen peptides to the cell surface using the individual’s specific MHC Class I proteins. As a result, we believe that the immune response could be targeted to the entire repertoire of cancer antigen peptides produced by the cancer cell, rather than just to a single cancer antigen, as delivered by current cancer vaccines. The TAP Cancer Vaccine could allow the immune response to respond to the cancer even if the TAP protein and genetic information were only delivered to a small portion of the cancer cells. In addition, the TAP Cancer Vaccine would generate an immune response to any TAP-deficient cancer, regardless of the patient’s individual genetic variability either in the MHC Class I proteins or in the cancer-specific proteins and resultant peptides.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general, a “cancer vaccine” is a therapy whose goal is to stimulate the immune system to attack tumors. Management believes that most current cancer vaccines contain either cancer-specific proteins that directly activate the immune system or contain genetic information, such as DNA, that encodes these cancer-specific proteins. Management believes that there are a number of key conditions that must be met before a cancer vaccine can be effective in generating a therapeutic immune response: (i) the cancer antigen peptide delivered by the vaccine has to be recognized by the immune system as “abnormal” or “foreign” in order to generate a strong and specific T-cell response; (ii) the same cancer antigen peptide has to be displayed on the surface of the cancer cells in association with the MHC Class I proteins; and (iii) these cancer antigen peptides then have to be sufficiently different from normal proteins in order to generate a strong anti-tumor response.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these conditions are all met, then management believes that such cancer vaccines should generate a sufficiently strong immune response to kill the cancer cells. However, the identification of suitable cancer-specific antigen proteins to use in these therapeutic vaccines has proven extremely complex. In addition, the MHC Class I proteins are highly variable, with over 100 different types in humans and, as a result, any one-cancer antigen peptide will not produce an immune response for all individuals. Cancers are “genetically unstable” and their proteins are highly variable, so that the selected cancer antigen protein may result in the immune system only attacking a small subset of the cancerous cells.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Laboratory Testing of the TAP Cancer Vaccine</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key milestone of efficacy in animal models of cancer has been attained and that other scientific research teams have validated the experimental data from these animal studies. The proof of principle for the TAP technology as a cancer vaccine was established in research conducted during the last ten years at UBC. The initial studies were conducted using a small-cell lung cancer cell line that was derived from an aggressive, metastatic cancer. These cells have multiple defects in the “antigen presentation pathway” in that they are not detected by the immune system. When the TAP protein was introduced into these cells, antigen presentation was restored. In addition, a series of animal studies have demonstrated the ability of TAP to restore an immune response. This study was published in Nature Biotechnology (Vol. 18, pp. 515-520, May 2000). Management believes that the TAP technology has been further validated in metastatic melanoma, where animal studies similar to the small-cell lung cancer studies described above were performed and similar results were achieved.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2" w:name="PGBRK7"/>
      <w:bookmarkStart w:id="103" w:name="PGBRK7"/>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FTR7"/>
      <w:bookmarkStart w:id="105" w:name="FTR7"/>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6" w:name="GLFTR7"/>
      <w:bookmarkEnd w:id="1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7" w:name="PN7"/>
      <w:bookmarkEnd w:id="107"/>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 w:name="HDR7"/>
      <w:bookmarkStart w:id="109" w:name="HDR7"/>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0" w:name="GLHDR7"/>
      <w:bookmarkEnd w:id="1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Pre-Clinical Testing</w:t>
      </w:r>
    </w:p>
    <w:p>
      <w:pPr>
        <w:pStyle w:val="TextBody"/>
        <w:spacing w:before="0" w:after="0"/>
        <w:ind w:left="0" w:right="0" w:hanging="0"/>
        <w:jc w:val="both"/>
        <w:rPr>
          <w:rFonts w:ascii="Times New Roman" w:hAnsi="Times New Roman"/>
          <w:sz w:val="20"/>
        </w:rPr>
      </w:pPr>
      <w:r>
        <w:rPr>
          <w:rFonts w:ascii="Times New Roman" w:hAnsi="Times New Roman"/>
          <w:sz w:val="20"/>
        </w:rPr>
        <w:t>We have completed small animal pre-clinical animal testing of our TAP Cancer Vaccine to the extent that is required as a prerequisite for further preclinical toxicology analysis and Investigational New Drug (or “IND”) application to the FDA. The pre-clinical testing of the TAP Cancer Vaccine to date included the evaluation of several strains of vaccinia and adenovirus vectors to assess their respective ability to deliver the correct genetic information allowing expression of the TAP protein in tumors, the selection and licensing of the vector from Crucell and the identification and entering into an agreement, that we refer to in this Annual Report as our “Production Services Agreement”, with a CRO, a GMP manufacturer, for subsequent production of the TAP Cancer Vaccine. We have to complete the performance of toxicology studies using the TAP Cancer Vaccine on at least two animal species to confirm its non-toxicity. In addition, we must complete initial vaccine production, and develop internal and external clinical trials, support personnel and infrastructure before commencing 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Once the formal pre-clinical testing is completed, we intend to compile and summarize the data and submit it to the United States Federal Drug Administration (or “FDA”) and/or the Canadian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clinical trials, described below.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Phase I Human Clinical Trials</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subject to the completion of remaining pre-clinical work in 2011and financing, estimated at approximately $5,000,000, the Phase I human clinical trials could commence at the start of 2012. The Phase I human clinical trials will be designed to provide data on the safety of the TAP Cancer Vaccine when used alone or as a component of a cancer vaccine in humans. If the latter strategy is employed the clinical trial design and specific cancer indication will be dependent upon the collaboration.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Clinical trials to support new drug applications are typically conducted in three sequential phases, although the phases may overlap. During Phase I there is an initial introduction of the therapeutic candidate into healthy human subjects or patients. The drug is tested to assess metabolism, pharmacokinetics and pharmacological actions and safety, including side effects associated with increasing doses. Phase II usually involves studies in a limited patient population to assess the clinical activity of the drug in specific targeted indications, assess dosage tolerance and optimal dosage and continue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Infectious Disease Application for “TAP” Adjuvant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TapImmune plans to develop or license out our technology for the creation of enhanced viral vaccines, such as for smallpox and others, based on our findings that TAP can augment immune responses. We have presented data showing that increasing TAP expression in TAP-competent antigen presenting cells (APCs) and/or virus infected cells increases the antigenic peptide associated with MHC class I expression on the cell surface, and leads to increased specific T cell-mediated immune responses. We believe this technology can add great value to the creation of new vaccines and enhance those that already exist. Our collaboration with Aeras TB Foundation is evidence of this and we will continue to pursue additional partnerships and collaborations as a key strategy to expand our R&amp;D program to optimize resources and to reduce costs and development Times.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Strategic Relationships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University of British Columbia Agreement</w:t>
      </w:r>
    </w:p>
    <w:p>
      <w:pPr>
        <w:pStyle w:val="TextBody"/>
        <w:spacing w:before="0" w:after="0"/>
        <w:ind w:left="0" w:right="0" w:hanging="0"/>
        <w:jc w:val="both"/>
        <w:rPr>
          <w:rFonts w:ascii="Times New Roman" w:hAnsi="Times New Roman"/>
          <w:sz w:val="20"/>
        </w:rPr>
      </w:pPr>
      <w:r>
        <w:rPr>
          <w:rFonts w:ascii="Times New Roman" w:hAnsi="Times New Roman"/>
          <w:sz w:val="20"/>
        </w:rPr>
        <w:t>We had conducted our research and development at the University of British Columbia (“UBC”) under a Collaborative Research Agreement (“CRA”), however, as a consequence of our Option and Settlement Agreement with UBC, we presently plan to contract out our research and development and continue to contract out clinical grade production of our TAP based vaccines. In addition, we have an option on any improvements or related TAP technologies coming out of UBC.</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1" w:name="PGBRK8"/>
      <w:bookmarkStart w:id="112" w:name="PGBRK8"/>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 w:name="FTR8"/>
      <w:bookmarkStart w:id="114" w:name="FTR8"/>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5" w:name="GLFTR8"/>
      <w:bookmarkEnd w:id="1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6" w:name="PN8"/>
      <w:bookmarkEnd w:id="116"/>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 w:name="HDR8"/>
      <w:bookmarkStart w:id="118" w:name="HDR8"/>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9" w:name="GLHDR8"/>
      <w:bookmarkEnd w:id="1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Crucell Holland B.V. Research License and Option Agreement</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2003, we entered into a five-year research license and option agreement with Crucell Holland B.V. (“Crucell”), whereby Crucell granted us a non-exclusive worldwide license for the research use of its packaging cell (PerC6) technology. We were required to make certain payments over the five-year term totaling Euro €450,000 (approximately $510,100).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license was dormant with an outstanding balance owing of 170,000 Euro ($248,938) that was included in research obligations. Management has completed a settlement for the remaining balance including a €17,000 cash payment and the issuance of 265,000 shares of the Company’s restricted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2008, we negotiated an amended license agreement for the use of Crucell’s adenovirus technology. We are required to make annual license payments on the anniversary of the effective date for the three year term equal to €75,000 per annum. As at December 31, 2010, we have accrued $141,761 (€106,250) under the amended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National Institute of Allergy and Infectious Diseases</w:t>
      </w:r>
    </w:p>
    <w:p>
      <w:pPr>
        <w:pStyle w:val="TextBody"/>
        <w:spacing w:before="0" w:after="0"/>
        <w:ind w:left="0" w:right="0" w:hanging="0"/>
        <w:jc w:val="both"/>
        <w:rPr>
          <w:rFonts w:ascii="Times New Roman" w:hAnsi="Times New Roman"/>
          <w:sz w:val="20"/>
        </w:rPr>
      </w:pPr>
      <w:r>
        <w:rPr>
          <w:rFonts w:ascii="Times New Roman" w:hAnsi="Times New Roman"/>
          <w:sz w:val="20"/>
        </w:rPr>
        <w:t>We signed a License Agreement with the National Institute of Health (USA) for the use of the Modified Vaccinia Ankora (MVA) virus for the development of vaccines. We will continue to license this technology for the development of prophylactic vaccines against infectious diseases. Under the terms of this agreement we are required to pay a royalty of $2,500 per year. This license is expected to be renegotiated pending adequate funding.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Mayo Foundation for Medical Education and Research</w:t>
      </w:r>
    </w:p>
    <w:p>
      <w:pPr>
        <w:pStyle w:val="TextBody"/>
        <w:spacing w:before="0" w:after="0"/>
        <w:ind w:left="0" w:right="0" w:hanging="0"/>
        <w:jc w:val="both"/>
        <w:rPr>
          <w:rFonts w:ascii="Times New Roman" w:hAnsi="Times New Roman"/>
          <w:sz w:val="20"/>
        </w:rPr>
      </w:pPr>
      <w:r>
        <w:rPr>
          <w:rFonts w:ascii="Times New Roman" w:hAnsi="Times New Roman"/>
          <w:sz w:val="20"/>
        </w:rPr>
        <w:t>On May 26, 2010 we signed a Technology Option Agreement with the Mayo Foundation for Medical Education and Research, Rochester, MN, for the evaluation of HER2/neu peptide epitopes as antigens for a breast cancer vaccine. The agreement grants TapImmune and exclusive worldwide option to become the exclusive licensee of the technology.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Other Technology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16, 2004, we added to our technology portfolio by expanding the License Agreement (now assigned under the purchase agreement) with UBC to include a technological method that identifies agonists or antagonists antigen presentation to the immune system by normal and cancerous cells. Management believes that this technology can be used to screen and select new drugs that regulate immune responses.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Intellectual Property, Patents and Trademarks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acquisition agreement with UBC, we acquired the portfolio of intellectual property as follows: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0" w:name="PGBRK9"/>
      <w:bookmarkStart w:id="121" w:name="PGBRK9"/>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 w:name="FTR9"/>
      <w:bookmarkStart w:id="123" w:name="FTR9"/>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4" w:name="GLFTR9"/>
      <w:bookmarkEnd w:id="1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5" w:name="PN9"/>
      <w:bookmarkEnd w:id="125"/>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 w:name="HDR9"/>
      <w:bookmarkStart w:id="127" w:name="HDR9"/>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8" w:name="GLHDR9"/>
      <w:bookmarkEnd w:id="1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Method of Enhancing Expression of MHC Class I Molecules Bearing Endogenous Peptides</w:t>
      </w:r>
    </w:p>
    <w:p>
      <w:pPr>
        <w:pStyle w:val="TextBody"/>
        <w:spacing w:before="0" w:after="0"/>
        <w:ind w:left="0" w:right="0" w:hanging="0"/>
        <w:jc w:val="both"/>
        <w:rPr>
          <w:rFonts w:ascii="Times New Roman" w:hAnsi="Times New Roman"/>
          <w:sz w:val="20"/>
        </w:rPr>
      </w:pPr>
      <w:r>
        <w:rPr>
          <w:rFonts w:ascii="Times New Roman" w:hAnsi="Times New Roman"/>
          <w:sz w:val="20"/>
        </w:rPr>
        <w:t>On March 26, 2002, the United States Patent and Trademark Office issued US Patent No. 6,361,770 to UBC for the use of TAP-1 as an immunotherapy against all cancers. The patent is titled “Method of Enhancing Expression of MHC Class I Molecules Bearing Endogenous Peptides” and provides comprehensive protection and coverage to both in vivo and ex vivo applications of TAP-1 as a therapeutic against all cancers with a variety of delivery mechanisms. The inventors were Dr. Jefferies, Dr. Reinhard Gabathuler, Dr. Gerassinmoes Kolaitis and Dr. Gregor S.D. Reid, who collectively assigned the patent to UBC under an assignment agreement. The patent expires March 23, 2014. We have pending applications for patent protection for this patent in Europe and in Japan.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Method of Enhancing an Immune Response</w:t>
      </w:r>
    </w:p>
    <w:p>
      <w:pPr>
        <w:pStyle w:val="TextBody"/>
        <w:spacing w:before="0" w:after="0"/>
        <w:ind w:left="0" w:right="0" w:hanging="0"/>
        <w:jc w:val="both"/>
        <w:rPr>
          <w:rFonts w:ascii="Times New Roman" w:hAnsi="Times New Roman"/>
          <w:sz w:val="20"/>
        </w:rPr>
      </w:pPr>
      <w:r>
        <w:rPr>
          <w:rFonts w:ascii="Times New Roman" w:hAnsi="Times New Roman"/>
          <w:sz w:val="20"/>
        </w:rPr>
        <w:t>U.S. patent No. 7,378,087, issued May 27 2008. The patent claims relate to methods for enhancing the immune response to tumor cells by introducing the TAP molecule into the infected cells. Patent applications are pending on other aspects of the company’s technology. The inventors were Jefferies, Wilfred A.; Zhang, Qian-Jin; Chen, Susan Shu-Ping; Alimonti, Judie B., who collectively assigned the patent to UBC under an assignment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Method of Identifying MHC Class I Restricted Antigens Endogenously Processed by a Secretory Pathway</w:t>
      </w:r>
    </w:p>
    <w:p>
      <w:pPr>
        <w:pStyle w:val="TextBody"/>
        <w:spacing w:before="0" w:after="0"/>
        <w:ind w:left="0" w:right="0" w:hanging="0"/>
        <w:jc w:val="both"/>
        <w:rPr>
          <w:rFonts w:ascii="Times New Roman" w:hAnsi="Times New Roman"/>
          <w:sz w:val="20"/>
        </w:rPr>
      </w:pPr>
      <w:r>
        <w:rPr>
          <w:rFonts w:ascii="Times New Roman" w:hAnsi="Times New Roman"/>
          <w:sz w:val="20"/>
        </w:rPr>
        <w:t>On August 11, 1998, the U.S. Patent and Trademark Office issued US Patent No. 5,792,604 to UBC, being a patent for the use of bioengineered cell lines to measure the output of the MHC Class I restricted antigen presentation pathway as a way to screen for immunomodulating drugs. The patent is titled “Method of Identifying MHC Class I Restricted Antigens Endogenously Processed by a Secretory Pathway.”  This patent covers the assay which can identify compounds capable of modulating the immune system. The inventors were Dr. Jefferies, Dr. Gabathuler, Dr. Kolaitis and Dr. Reid, who collectively assigned the patent to UBC under an assignment agreement. The patent expires on March 12, 2016. We have been granted patent protection for this patent in Finland, France, Germany, Italy, Sweden Switzerland and the United Kingdom, and have applied for patent protection in Canada and Japan.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8, 2011 the U.S. Patent and Trademark Office (USPTO) has issued a Notice of Allowance for U.S. patent application number 20100303894 entitled “POXVIRIDAE TREATMENT”.  U.S. Patent Application Serial No. 12/474,331  Title:  POX VIRIDAE TREATMENT Inventor:  Jefferies et 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This patent claims a vaccine composition containing TAP-1 and/or TAP-2 to augment the antigen processing capability of infected cells and hence their immunogenicity. The composition may be used alone or as an adjuvant with a pox antigen-based vaccine, especially in the treatment or prophylaxis of viral infections such as smallpox.</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TAP Vaccines and other filings</w:t>
      </w:r>
    </w:p>
    <w:p>
      <w:pPr>
        <w:pStyle w:val="TextBody"/>
        <w:spacing w:before="0" w:after="0"/>
        <w:ind w:left="0" w:right="0" w:hanging="0"/>
        <w:jc w:val="both"/>
        <w:rPr>
          <w:rFonts w:ascii="Times New Roman" w:hAnsi="Times New Roman"/>
          <w:sz w:val="20"/>
        </w:rPr>
      </w:pPr>
      <w:r>
        <w:rPr>
          <w:rFonts w:ascii="Times New Roman" w:hAnsi="Times New Roman"/>
          <w:sz w:val="20"/>
        </w:rPr>
        <w:t>Patent applications have been filed by TapImmune and UBC in respect of our technologies and those currently under assignment. In December 2006, January, November, and December 2007 we made additional filings as continuations or new filings with regard to the same technologies as well as their applications in infectious diseases. We intend to continue to work with UBC to file additional patent applications with respect to any novel aspects of our technology to further protect our intellectual property portfolio. As disclosed in previous filings, additional patents have been acquired under the execution of the option agreement. An invention that describes the use of bio-acceptable substances to promote the transcription of the TAP-1 gene in TAP-1 expression-deficient cells was filed in July 2009. The patent is entitled “HAT acetylation promoters and uses of compositions thereof in promoting immunogenicity”.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9" w:name="PGBRK10"/>
      <w:bookmarkStart w:id="130" w:name="PGBRK10"/>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 w:name="FTR10"/>
      <w:bookmarkStart w:id="132" w:name="FTR10"/>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3" w:name="GLFTR10"/>
      <w:bookmarkEnd w:id="1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4" w:name="PN10"/>
      <w:bookmarkEnd w:id="134"/>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 w:name="HDR10"/>
      <w:bookmarkStart w:id="136" w:name="HDR10"/>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7" w:name="GLHDR10"/>
      <w:bookmarkEnd w:id="1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Competition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oncology industry is characterized by rapidly evolving technology and intense competition. Many companies of all sizes, including a number of large pharmaceutical companies as well as several specialized biotechnology companies, are developing various immunotherapies and drugs to treat cancer. There may be products on the market that will compete directly with the products that we are seeking to develop. In addition, colleges, universities, governmental agencies and other public and private research institutions will continue to conduct research and are becoming more active in seeking patent protection and licensing arrangements to collect license fees and royalties in exchange for license rights to technologies that they have developed, some of which may directly compete with our technologies and products. These companies and institutions may also compete with us in recruiting qualified scientific personnel. Many of our potential competitors have substantially greater financial, research and development, human and other resources than us. Furthermore, large pharmaceutical companies may have significantly more experience than we do in pre-clinical testing, human clinical trials and regulatory approval procedures. Such competitors may develop safer and more effective products, obtain patent protection or intellectual property rights that limit our ability to commercialize products, or commercialize products earlier than we do.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expects technology developments in the oncology industry to continue to occur at a rapid pace. Commercial developments by any competitors may render some or all of our potential products obsolete or non-competitive, which could materially harm the company’s business and financial condition.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following companies, which are developing various types of similar immunotherapies and therapeutic cancer vaccines to treat cancer, could be our major competitors: CellGenSys Inc., Dendreon Corp., Genzyme Molecular Oncology, Immune Design, Oncothyreon, Celldex, BN Immunotherapeutics, Apthera and Transgene S.A.</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Government Regulation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United States</w:t>
      </w:r>
    </w:p>
    <w:p>
      <w:pPr>
        <w:pStyle w:val="TextBody"/>
        <w:spacing w:before="0" w:after="0"/>
        <w:ind w:left="0" w:right="0" w:hanging="0"/>
        <w:jc w:val="both"/>
        <w:rPr>
          <w:rFonts w:ascii="Times New Roman" w:hAnsi="Times New Roman"/>
          <w:sz w:val="20"/>
        </w:rPr>
      </w:pPr>
      <w:r>
        <w:rPr>
          <w:rFonts w:ascii="Times New Roman" w:hAnsi="Times New Roman"/>
          <w:sz w:val="20"/>
        </w:rPr>
        <w:t>The design, research, development, testing, manufacturing, labeling, promotion, marketing, advertising and distribution of drug products are extensively regulated by the FDA in the United States and similar regulatory bodies in other countries. The regulatory process is similar for a new drug application, or NDA. The steps ordinarily required before a new drug may be marketed in the United States, which are similar to steps required in most other countries, include: (i) pre-clinical laboratory tests, pre-clinical studies in animals, formulation studies and the submission to the FDA of an initial NDA; (ii) adequate and well-controlled clinical trials to establish the safety and effectiveness of the drug for each indication; (iii) the submission of the NDA to the FDA; and (iv) review by an FDA advisory committee and approval by the FDA.</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Pre-clinical tests include laboratory evaluation of product chemistry, preparation of consistent test batches of product to what is known as GLP, toxicology studies, animal pre-clinical efficacy studies and manufacturing pursuant to what is known as GMP. The results of pre-clinical testing are submitted to the FDA as part of an initial NDA. After the filing of each initial NDA, and assuming all pre-clinical results have been approved, a thirty-day waiting period is required prior to the commencement of clinical testing in humans. At any time during this thirty-day period or at any time thereafter, the FDA may halt proposed or ongoing clinical trials until the FDA authorizes trials under specified terms. The initial NDA process may be extremely costly and substantially delay development of products. Moreover, positive results of pre-clinical tests will not necessarily indicate positive results in subsequent 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After successful completion of the required clinical trials, a NDA is generally submitted. The NDA is usually reviewed by an outside committee consisting of physicians, scientists, and at least one consumer representative. The advisory committee reviews, evaluates and recommends whether the application should be approved, but the FDA is not bound by the recommendation of an advisory committee. The FDA may request additional information before accepting a NDA for filing, in which case the application must be resubmitted with the additional information. Once the submission has been accepted for filing, the FDA or the advisory committee reviews the application and responds to the applicant. The review process is often extended by FDA requests for additional information or clarification. The FDA cites 24 months as the median time for NDA review.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8" w:name="PGBRK11"/>
      <w:bookmarkStart w:id="139" w:name="PGBRK11"/>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0" w:name="FTR11"/>
      <w:bookmarkStart w:id="141" w:name="FTR11"/>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2" w:name="GLFTR11"/>
      <w:bookmarkEnd w:id="1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3" w:name="PN11"/>
      <w:bookmarkEnd w:id="143"/>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4" w:name="HDR11"/>
      <w:bookmarkStart w:id="145" w:name="HDR11"/>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6" w:name="GLHDR11"/>
      <w:bookmarkEnd w:id="1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the FDA evaluations of the NDA and the manufacturing facilities are favorable, the FDA may issue an approval letter. An approval letter will usually contain a number of conditions that must be met in order to secure final approval of the NDA and authorization of commercial marketing of the drug for certain indications. The FDA may also refuse to approve the NDA or issue a not approval letter, outlining the deficiencies in the submission and often requiring either additional testing or information or withdrawal of the submission.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manufacturers of approved products and their manufacturing facilities are subject to continual review and periodic inspections. We intend to enter into a contract with SAFC Pharma for commercial scale manufacturing of the TAP Cancer Vaccine, therefore our ability to control compliance with FDA manufacturing requirements will be limited.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Approved drugs are subject to ongoing compliance requirements and identification of certain side effects after any of the drug products are on the market. This could result in issuance of warning letters, subsequent withdrawal of approval, reformulation of the drug product, and additional pre-clinical studies or 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Canada</w:t>
      </w:r>
    </w:p>
    <w:p>
      <w:pPr>
        <w:pStyle w:val="TextBody"/>
        <w:spacing w:before="0" w:after="0"/>
        <w:ind w:left="0" w:right="0" w:hanging="0"/>
        <w:jc w:val="both"/>
        <w:rPr>
          <w:rFonts w:ascii="Times New Roman" w:hAnsi="Times New Roman"/>
          <w:sz w:val="20"/>
        </w:rPr>
      </w:pPr>
      <w:r>
        <w:rPr>
          <w:rFonts w:ascii="Times New Roman" w:hAnsi="Times New Roman"/>
          <w:sz w:val="20"/>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Times New Roman" w:hAnsi="Times New Roman"/>
          <w:sz w:val="20"/>
          <w:u w:val="single"/>
        </w:rPr>
        <w:t>www.hc-sc.gc.ca</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Other Jurisdictions</w:t>
      </w:r>
    </w:p>
    <w:p>
      <w:pPr>
        <w:pStyle w:val="TextBody"/>
        <w:spacing w:before="0" w:after="0"/>
        <w:ind w:left="0" w:right="0" w:hanging="0"/>
        <w:jc w:val="both"/>
        <w:rPr>
          <w:rFonts w:ascii="Times New Roman" w:hAnsi="Times New Roman"/>
          <w:sz w:val="20"/>
        </w:rPr>
      </w:pPr>
      <w:r>
        <w:rPr>
          <w:rFonts w:ascii="Times New Roman" w:hAnsi="Times New Roman"/>
          <w:sz w:val="20"/>
        </w:rPr>
        <w:t>Outside the United States and Canada, the company’s ability to market drug products is contingent upon receiving marketing authorization from the appropriate regulatory authorities. Management believes that the foreign regulatory approval process includes all of the complexities associated with FDA approval described above. The requirements governing the conduct of clinical trials and marketing authorization vary widely from country to country. At present, foreign marketing authorizations are applied for at a national level, although within the European Union procedures are available to companies wishing to market a product in more than one member country.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Product Liability and Insurance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of the TAP Cancer Vaccine.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7" w:name="PGBRK12"/>
      <w:bookmarkStart w:id="148" w:name="PGBRK12"/>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9" w:name="FTR12"/>
      <w:bookmarkStart w:id="150" w:name="FTR12"/>
      <w:bookmarkEnd w:id="1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1" w:name="GLFTR12"/>
      <w:bookmarkEnd w:id="1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2" w:name="PN12"/>
      <w:bookmarkEnd w:id="152"/>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3" w:name="HDR12"/>
      <w:bookmarkStart w:id="154" w:name="HDR12"/>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5" w:name="GLHDR12"/>
      <w:bookmarkEnd w:id="1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Employees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Dr. Glynn Wilson is our Chief Executive Officer and Principal Executive Officer, Mr. Denis Corin is our President, and Acting Chief Financial Officer and Acting Principal Accounting Officer. These individuals are primarily responsible for all our day-to-day operations. Other services are provided by outsourcing and consultant service agreements. As of December 31, 2010, we did not have any payroll or regular employees.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1A.                   RISK FACTORS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not required to provide the information required by this item because we are a smaller reporting company.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1B.                   UNRESOLVED STAFF COMMENTS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2.                      PROPERTIES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do not own any real estate or other properties. Our registered office is located at 2815 Eastlake Ave East, Seattle, WA 98012. We rent office space at this address and have a yearly lease renewable on July 5, 2011.</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3.                      LEGAL PROCEEDINGS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is not aware of any legal proceedings contemplated by any government authority or any other party involving the Company. As of the date of this Annual Report, no director, officer or affiliate is (i) a party adverse to us in any legal proceeding, or (ii) has an adverse interest to us in any legal proceeding. Management is not aware of any other legal proceedings pending or threatened against the Company.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4.                      (REMOVED AND RESERVED)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6" w:name="PGBRK13"/>
      <w:bookmarkStart w:id="157" w:name="PGBRK13"/>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8" w:name="FTR13"/>
      <w:bookmarkStart w:id="159" w:name="FTR13"/>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0" w:name="GLFTR13"/>
      <w:bookmarkEnd w:id="1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1" w:name="PN13"/>
      <w:bookmarkEnd w:id="161"/>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2" w:name="HDR13"/>
      <w:bookmarkStart w:id="163" w:name="HDR13"/>
      <w:bookmarkEnd w:id="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4" w:name="GLHDR13"/>
      <w:bookmarkEnd w:id="1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PART II</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65" w:name="hangingindent17"/>
      <w:bookmarkStart w:id="166" w:name="hangingindent17"/>
      <w:bookmarkEnd w:id="166"/>
    </w:p>
    <w:tbl>
      <w:tblPr>
        <w:tblW w:w="5000" w:type="pct"/>
        <w:jc w:val="center"/>
        <w:tblInd w:w="0" w:type="dxa"/>
        <w:tblCellMar>
          <w:top w:w="0" w:type="dxa"/>
          <w:left w:w="0" w:type="dxa"/>
          <w:bottom w:w="0" w:type="dxa"/>
          <w:right w:w="0" w:type="dxa"/>
        </w:tblCellMar>
      </w:tblPr>
      <w:tblGrid>
        <w:gridCol w:w="616"/>
        <w:gridCol w:w="9589"/>
      </w:tblGrid>
      <w:tr>
        <w:trPr/>
        <w:tc>
          <w:tcPr>
            <w:tcW w:w="616"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5.</w:t>
            </w:r>
          </w:p>
        </w:tc>
        <w:tc>
          <w:tcPr>
            <w:tcW w:w="958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MARKET FOR REGISTRANT’S COMMON EQUITY, RELATED STOCKHOLDER MATTERS AND ISSUER PURCHASES OF EQUITY SECURITIES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Market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common stock is traded on the Over the Counter Bulletin Board (“OTCBB”) under the symbol “TPIV.OB” and on the Frankfurt and Berlin Stock Exchanges under the symbol “GX1A.”  The listing on the Berlin Stock Exchange was done without the company’s knowledge and consent.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market for our common stock is limited, volatile and sporadic. The following table sets forth, for the periods indicated, the high and low bid prices of our common stock as reported on the OTCBB. The following quotations reflect inter-dealer prices, without retail mark-up, markdown, or commissions, and may not reflect actual transactions.</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7573"/>
        <w:gridCol w:w="110"/>
        <w:gridCol w:w="125"/>
        <w:gridCol w:w="956"/>
        <w:gridCol w:w="110"/>
        <w:gridCol w:w="110"/>
        <w:gridCol w:w="125"/>
        <w:gridCol w:w="980"/>
        <w:gridCol w:w="116"/>
      </w:tblGrid>
      <w:tr>
        <w:trPr/>
        <w:tc>
          <w:tcPr>
            <w:tcW w:w="7573"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08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High Bid</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10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Low Bid</w:t>
            </w:r>
          </w:p>
        </w:tc>
        <w:tc>
          <w:tcPr>
            <w:tcW w:w="116"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7573" w:type="dxa"/>
            <w:tcBorders/>
            <w:shd w:fill="auto" w:val="clear"/>
            <w:tcMar>
              <w:top w:w="0" w:type="dxa"/>
              <w:bottom w:w="0" w:type="dxa"/>
            </w:tcMar>
            <w:vAlign w:val="bottom"/>
          </w:tcPr>
          <w:p>
            <w:pPr>
              <w:pStyle w:val="TableContents"/>
              <w:spacing w:before="0" w:after="283"/>
              <w:rPr/>
            </w:pPr>
            <w:r>
              <w:rPr/>
              <w:t xml:space="preserve">  </w:t>
            </w:r>
          </w:p>
        </w:tc>
        <w:tc>
          <w:tcPr>
            <w:tcW w:w="110" w:type="dxa"/>
            <w:tcBorders/>
            <w:shd w:fill="auto" w:val="clear"/>
            <w:tcMar>
              <w:top w:w="0" w:type="dxa"/>
              <w:bottom w:w="0" w:type="dxa"/>
            </w:tcMar>
            <w:vAlign w:val="bottom"/>
          </w:tcPr>
          <w:p>
            <w:pPr>
              <w:pStyle w:val="TableContents"/>
              <w:spacing w:before="0" w:after="283"/>
              <w:rPr/>
            </w:pPr>
            <w:r>
              <w:rPr/>
              <w:t> </w:t>
            </w:r>
          </w:p>
        </w:tc>
        <w:tc>
          <w:tcPr>
            <w:tcW w:w="1081"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105" w:type="dxa"/>
            <w:gridSpan w:val="2"/>
            <w:tcBorders/>
            <w:shd w:fill="auto" w:val="clear"/>
            <w:tcMar>
              <w:top w:w="0" w:type="dxa"/>
              <w:bottom w:w="0" w:type="dxa"/>
            </w:tcMar>
            <w:vAlign w:val="bottom"/>
          </w:tcPr>
          <w:p>
            <w:pPr>
              <w:pStyle w:val="TableContents"/>
              <w:spacing w:before="0" w:after="283"/>
              <w:rPr/>
            </w:pPr>
            <w:r>
              <w:rPr/>
              <w:t> </w:t>
            </w:r>
          </w:p>
        </w:tc>
        <w:tc>
          <w:tcPr>
            <w:tcW w:w="116" w:type="dxa"/>
            <w:tcBorders/>
            <w:shd w:fill="auto" w:val="clear"/>
            <w:tcMar>
              <w:top w:w="0" w:type="dxa"/>
              <w:bottom w:w="0" w:type="dxa"/>
            </w:tcMar>
            <w:vAlign w:val="bottom"/>
          </w:tcPr>
          <w:p>
            <w:pPr>
              <w:pStyle w:val="TableContents"/>
              <w:spacing w:before="0" w:after="283"/>
              <w:jc w:val="left"/>
              <w:rPr/>
            </w:pPr>
            <w:r>
              <w:rPr/>
              <w:t> </w:t>
            </w:r>
          </w:p>
        </w:tc>
      </w:tr>
      <w:tr>
        <w:trPr/>
        <w:tc>
          <w:tcPr>
            <w:tcW w:w="757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Fiscal Year 2011</w:t>
            </w:r>
          </w:p>
        </w:tc>
        <w:tc>
          <w:tcPr>
            <w:tcW w:w="110" w:type="dxa"/>
            <w:tcBorders/>
            <w:shd w:fill="auto" w:val="clear"/>
            <w:tcMar>
              <w:top w:w="0" w:type="dxa"/>
              <w:bottom w:w="0" w:type="dxa"/>
            </w:tcMar>
            <w:vAlign w:val="bottom"/>
          </w:tcPr>
          <w:p>
            <w:pPr>
              <w:pStyle w:val="TableContents"/>
              <w:spacing w:before="0" w:after="283"/>
              <w:rPr/>
            </w:pPr>
            <w:r>
              <w:rPr/>
              <w:t> </w:t>
            </w:r>
          </w:p>
        </w:tc>
        <w:tc>
          <w:tcPr>
            <w:tcW w:w="1081"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105" w:type="dxa"/>
            <w:gridSpan w:val="2"/>
            <w:tcBorders/>
            <w:shd w:fill="auto" w:val="clear"/>
            <w:tcMar>
              <w:top w:w="0" w:type="dxa"/>
              <w:bottom w:w="0" w:type="dxa"/>
            </w:tcMar>
            <w:vAlign w:val="bottom"/>
          </w:tcPr>
          <w:p>
            <w:pPr>
              <w:pStyle w:val="TableContents"/>
              <w:spacing w:before="0" w:after="283"/>
              <w:rPr/>
            </w:pPr>
            <w:r>
              <w:rPr/>
              <w:t> </w:t>
            </w:r>
          </w:p>
        </w:tc>
        <w:tc>
          <w:tcPr>
            <w:tcW w:w="116" w:type="dxa"/>
            <w:tcBorders/>
            <w:shd w:fill="auto" w:val="clear"/>
            <w:tcMar>
              <w:top w:w="0" w:type="dxa"/>
              <w:bottom w:w="0" w:type="dxa"/>
            </w:tcMar>
            <w:vAlign w:val="bottom"/>
          </w:tcPr>
          <w:p>
            <w:pPr>
              <w:pStyle w:val="TableContents"/>
              <w:spacing w:before="0" w:after="283"/>
              <w:jc w:val="left"/>
              <w:rPr/>
            </w:pPr>
            <w:r>
              <w:rPr/>
              <w:t> </w:t>
            </w:r>
          </w:p>
        </w:tc>
      </w:tr>
      <w:tr>
        <w:trPr/>
        <w:tc>
          <w:tcPr>
            <w:tcW w:w="757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March 31, 2011</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0.165</w:t>
            </w:r>
          </w:p>
        </w:tc>
        <w:tc>
          <w:tcPr>
            <w:tcW w:w="116" w:type="dxa"/>
            <w:tcBorders/>
            <w:shd w:fill="auto" w:val="clear"/>
            <w:tcMar>
              <w:top w:w="0" w:type="dxa"/>
              <w:bottom w:w="0" w:type="dxa"/>
            </w:tcMar>
            <w:vAlign w:val="bottom"/>
          </w:tcPr>
          <w:p>
            <w:pPr>
              <w:pStyle w:val="TableContents"/>
              <w:spacing w:before="0" w:after="283"/>
              <w:jc w:val="left"/>
              <w:rPr/>
            </w:pPr>
            <w:r>
              <w:rPr/>
              <w:t> </w:t>
            </w:r>
          </w:p>
        </w:tc>
      </w:tr>
      <w:tr>
        <w:trPr/>
        <w:tc>
          <w:tcPr>
            <w:tcW w:w="7573" w:type="dxa"/>
            <w:tcBorders/>
            <w:shd w:fill="auto" w:val="clear"/>
            <w:tcMar>
              <w:top w:w="0" w:type="dxa"/>
              <w:bottom w:w="0" w:type="dxa"/>
            </w:tcMar>
            <w:vAlign w:val="bottom"/>
          </w:tcPr>
          <w:p>
            <w:pPr>
              <w:pStyle w:val="TableContents"/>
              <w:spacing w:before="0" w:after="283"/>
              <w:rPr/>
            </w:pPr>
            <w:r>
              <w:rPr/>
              <w:t xml:space="preserve">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956"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980" w:type="dxa"/>
            <w:tcBorders/>
            <w:shd w:fill="auto" w:val="clear"/>
            <w:tcMar>
              <w:top w:w="0" w:type="dxa"/>
              <w:bottom w:w="0" w:type="dxa"/>
            </w:tcMar>
            <w:vAlign w:val="bottom"/>
          </w:tcPr>
          <w:p>
            <w:pPr>
              <w:pStyle w:val="TableContents"/>
              <w:spacing w:before="0" w:after="283"/>
              <w:jc w:val="right"/>
              <w:rPr/>
            </w:pPr>
            <w:r>
              <w:rPr/>
              <w:t> </w:t>
            </w:r>
          </w:p>
        </w:tc>
        <w:tc>
          <w:tcPr>
            <w:tcW w:w="116" w:type="dxa"/>
            <w:tcBorders/>
            <w:shd w:fill="auto" w:val="clear"/>
            <w:tcMar>
              <w:top w:w="0" w:type="dxa"/>
              <w:bottom w:w="0" w:type="dxa"/>
            </w:tcMar>
            <w:vAlign w:val="bottom"/>
          </w:tcPr>
          <w:p>
            <w:pPr>
              <w:pStyle w:val="TableContents"/>
              <w:spacing w:before="0" w:after="283"/>
              <w:jc w:val="left"/>
              <w:rPr/>
            </w:pPr>
            <w:r>
              <w:rPr/>
              <w:t> </w:t>
            </w:r>
          </w:p>
        </w:tc>
      </w:tr>
      <w:tr>
        <w:trPr/>
        <w:tc>
          <w:tcPr>
            <w:tcW w:w="757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Fiscal Year 2010</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956"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980" w:type="dxa"/>
            <w:tcBorders/>
            <w:shd w:fill="auto" w:val="clear"/>
            <w:tcMar>
              <w:top w:w="0" w:type="dxa"/>
              <w:bottom w:w="0" w:type="dxa"/>
            </w:tcMar>
            <w:vAlign w:val="bottom"/>
          </w:tcPr>
          <w:p>
            <w:pPr>
              <w:pStyle w:val="TableContents"/>
              <w:spacing w:before="0" w:after="283"/>
              <w:jc w:val="right"/>
              <w:rPr/>
            </w:pPr>
            <w:r>
              <w:rPr/>
              <w:t> </w:t>
            </w:r>
          </w:p>
        </w:tc>
        <w:tc>
          <w:tcPr>
            <w:tcW w:w="116" w:type="dxa"/>
            <w:tcBorders/>
            <w:shd w:fill="auto" w:val="clear"/>
            <w:tcMar>
              <w:top w:w="0" w:type="dxa"/>
              <w:bottom w:w="0" w:type="dxa"/>
            </w:tcMar>
            <w:vAlign w:val="bottom"/>
          </w:tcPr>
          <w:p>
            <w:pPr>
              <w:pStyle w:val="TableContents"/>
              <w:spacing w:before="0" w:after="283"/>
              <w:jc w:val="left"/>
              <w:rPr/>
            </w:pPr>
            <w:r>
              <w:rPr/>
              <w:t> </w:t>
            </w:r>
          </w:p>
        </w:tc>
      </w:tr>
      <w:tr>
        <w:trPr/>
        <w:tc>
          <w:tcPr>
            <w:tcW w:w="757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December 31, 2010</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0.13</w:t>
            </w:r>
          </w:p>
        </w:tc>
        <w:tc>
          <w:tcPr>
            <w:tcW w:w="116" w:type="dxa"/>
            <w:tcBorders/>
            <w:shd w:fill="auto" w:val="clear"/>
            <w:tcMar>
              <w:top w:w="0" w:type="dxa"/>
              <w:bottom w:w="0" w:type="dxa"/>
            </w:tcMar>
            <w:vAlign w:val="bottom"/>
          </w:tcPr>
          <w:p>
            <w:pPr>
              <w:pStyle w:val="TableContents"/>
              <w:spacing w:before="0" w:after="283"/>
              <w:jc w:val="left"/>
              <w:rPr/>
            </w:pPr>
            <w:r>
              <w:rPr/>
              <w:t> </w:t>
            </w:r>
          </w:p>
        </w:tc>
      </w:tr>
      <w:tr>
        <w:trPr/>
        <w:tc>
          <w:tcPr>
            <w:tcW w:w="757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September 30, 2010</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0.11</w:t>
            </w:r>
          </w:p>
        </w:tc>
        <w:tc>
          <w:tcPr>
            <w:tcW w:w="116" w:type="dxa"/>
            <w:tcBorders/>
            <w:shd w:fill="auto" w:val="clear"/>
            <w:tcMar>
              <w:top w:w="0" w:type="dxa"/>
              <w:bottom w:w="0" w:type="dxa"/>
            </w:tcMar>
            <w:vAlign w:val="bottom"/>
          </w:tcPr>
          <w:p>
            <w:pPr>
              <w:pStyle w:val="TableContents"/>
              <w:spacing w:before="0" w:after="283"/>
              <w:jc w:val="left"/>
              <w:rPr/>
            </w:pPr>
            <w:r>
              <w:rPr/>
              <w:t> </w:t>
            </w:r>
          </w:p>
        </w:tc>
      </w:tr>
      <w:tr>
        <w:trPr/>
        <w:tc>
          <w:tcPr>
            <w:tcW w:w="757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June 30, 2010</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0.29</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0.21</w:t>
            </w:r>
          </w:p>
        </w:tc>
        <w:tc>
          <w:tcPr>
            <w:tcW w:w="116" w:type="dxa"/>
            <w:tcBorders/>
            <w:shd w:fill="auto" w:val="clear"/>
            <w:tcMar>
              <w:top w:w="0" w:type="dxa"/>
              <w:bottom w:w="0" w:type="dxa"/>
            </w:tcMar>
            <w:vAlign w:val="bottom"/>
          </w:tcPr>
          <w:p>
            <w:pPr>
              <w:pStyle w:val="TableContents"/>
              <w:spacing w:before="0" w:after="283"/>
              <w:jc w:val="left"/>
              <w:rPr/>
            </w:pPr>
            <w:r>
              <w:rPr/>
              <w:t> </w:t>
            </w:r>
          </w:p>
        </w:tc>
      </w:tr>
      <w:tr>
        <w:trPr/>
        <w:tc>
          <w:tcPr>
            <w:tcW w:w="757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March 31, 2010</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0.70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0.23</w:t>
            </w:r>
          </w:p>
        </w:tc>
        <w:tc>
          <w:tcPr>
            <w:tcW w:w="116" w:type="dxa"/>
            <w:tcBorders/>
            <w:shd w:fill="auto" w:val="clear"/>
            <w:tcMar>
              <w:top w:w="0" w:type="dxa"/>
              <w:bottom w:w="0" w:type="dxa"/>
            </w:tcMar>
            <w:vAlign w:val="bottom"/>
          </w:tcPr>
          <w:p>
            <w:pPr>
              <w:pStyle w:val="TableContents"/>
              <w:spacing w:before="0" w:after="283"/>
              <w:jc w:val="left"/>
              <w:rPr/>
            </w:pPr>
            <w:r>
              <w:rPr/>
              <w:t> </w:t>
            </w:r>
          </w:p>
        </w:tc>
      </w:tr>
      <w:tr>
        <w:trPr/>
        <w:tc>
          <w:tcPr>
            <w:tcW w:w="7573" w:type="dxa"/>
            <w:tcBorders/>
            <w:shd w:fill="auto" w:val="clear"/>
            <w:tcMar>
              <w:top w:w="0" w:type="dxa"/>
              <w:bottom w:w="0" w:type="dxa"/>
            </w:tcMar>
            <w:vAlign w:val="bottom"/>
          </w:tcPr>
          <w:p>
            <w:pPr>
              <w:pStyle w:val="TableContents"/>
              <w:spacing w:before="0" w:after="283"/>
              <w:rPr/>
            </w:pPr>
            <w:r>
              <w:rPr/>
              <w:t xml:space="preserve">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956"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980" w:type="dxa"/>
            <w:tcBorders/>
            <w:shd w:fill="auto" w:val="clear"/>
            <w:tcMar>
              <w:top w:w="0" w:type="dxa"/>
              <w:bottom w:w="0" w:type="dxa"/>
            </w:tcMar>
            <w:vAlign w:val="bottom"/>
          </w:tcPr>
          <w:p>
            <w:pPr>
              <w:pStyle w:val="TableContents"/>
              <w:spacing w:before="0" w:after="283"/>
              <w:jc w:val="right"/>
              <w:rPr/>
            </w:pPr>
            <w:r>
              <w:rPr/>
              <w:t> </w:t>
            </w:r>
          </w:p>
        </w:tc>
        <w:tc>
          <w:tcPr>
            <w:tcW w:w="116" w:type="dxa"/>
            <w:tcBorders/>
            <w:shd w:fill="auto" w:val="clear"/>
            <w:tcMar>
              <w:top w:w="0" w:type="dxa"/>
              <w:bottom w:w="0" w:type="dxa"/>
            </w:tcMar>
            <w:vAlign w:val="bottom"/>
          </w:tcPr>
          <w:p>
            <w:pPr>
              <w:pStyle w:val="TableContents"/>
              <w:spacing w:before="0" w:after="283"/>
              <w:jc w:val="left"/>
              <w:rPr/>
            </w:pPr>
            <w:r>
              <w:rPr/>
              <w:t> </w:t>
            </w:r>
          </w:p>
        </w:tc>
      </w:tr>
      <w:tr>
        <w:trPr/>
        <w:tc>
          <w:tcPr>
            <w:tcW w:w="757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Fiscal Year 2009</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956"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980" w:type="dxa"/>
            <w:tcBorders/>
            <w:shd w:fill="auto" w:val="clear"/>
            <w:tcMar>
              <w:top w:w="0" w:type="dxa"/>
              <w:bottom w:w="0" w:type="dxa"/>
            </w:tcMar>
            <w:vAlign w:val="bottom"/>
          </w:tcPr>
          <w:p>
            <w:pPr>
              <w:pStyle w:val="TableContents"/>
              <w:spacing w:before="0" w:after="283"/>
              <w:jc w:val="right"/>
              <w:rPr/>
            </w:pPr>
            <w:r>
              <w:rPr/>
              <w:t> </w:t>
            </w:r>
          </w:p>
        </w:tc>
        <w:tc>
          <w:tcPr>
            <w:tcW w:w="116" w:type="dxa"/>
            <w:tcBorders/>
            <w:shd w:fill="auto" w:val="clear"/>
            <w:tcMar>
              <w:top w:w="0" w:type="dxa"/>
              <w:bottom w:w="0" w:type="dxa"/>
            </w:tcMar>
            <w:vAlign w:val="bottom"/>
          </w:tcPr>
          <w:p>
            <w:pPr>
              <w:pStyle w:val="TableContents"/>
              <w:spacing w:before="0" w:after="283"/>
              <w:jc w:val="left"/>
              <w:rPr/>
            </w:pPr>
            <w:r>
              <w:rPr/>
              <w:t> </w:t>
            </w:r>
          </w:p>
        </w:tc>
      </w:tr>
      <w:tr>
        <w:trPr/>
        <w:tc>
          <w:tcPr>
            <w:tcW w:w="757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December 31, 2009</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0.42</w:t>
            </w:r>
          </w:p>
        </w:tc>
        <w:tc>
          <w:tcPr>
            <w:tcW w:w="116" w:type="dxa"/>
            <w:tcBorders/>
            <w:shd w:fill="auto" w:val="clear"/>
            <w:tcMar>
              <w:top w:w="0" w:type="dxa"/>
              <w:bottom w:w="0" w:type="dxa"/>
            </w:tcMar>
            <w:vAlign w:val="bottom"/>
          </w:tcPr>
          <w:p>
            <w:pPr>
              <w:pStyle w:val="TableContents"/>
              <w:spacing w:before="0" w:after="283"/>
              <w:jc w:val="left"/>
              <w:rPr/>
            </w:pPr>
            <w:r>
              <w:rPr/>
              <w:t> </w:t>
            </w:r>
          </w:p>
        </w:tc>
      </w:tr>
      <w:tr>
        <w:trPr/>
        <w:tc>
          <w:tcPr>
            <w:tcW w:w="757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September 30, 2009</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0.83</w:t>
            </w:r>
          </w:p>
        </w:tc>
        <w:tc>
          <w:tcPr>
            <w:tcW w:w="116" w:type="dxa"/>
            <w:tcBorders/>
            <w:shd w:fill="auto" w:val="clear"/>
            <w:tcMar>
              <w:top w:w="0" w:type="dxa"/>
              <w:bottom w:w="0" w:type="dxa"/>
            </w:tcMar>
            <w:vAlign w:val="bottom"/>
          </w:tcPr>
          <w:p>
            <w:pPr>
              <w:pStyle w:val="TableContents"/>
              <w:spacing w:before="0" w:after="283"/>
              <w:jc w:val="left"/>
              <w:rPr/>
            </w:pPr>
            <w:r>
              <w:rPr/>
              <w:t> </w:t>
            </w:r>
          </w:p>
        </w:tc>
      </w:tr>
      <w:tr>
        <w:trPr/>
        <w:tc>
          <w:tcPr>
            <w:tcW w:w="7573"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June 30, 2009</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0.80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0.11</w:t>
            </w:r>
          </w:p>
        </w:tc>
        <w:tc>
          <w:tcPr>
            <w:tcW w:w="116" w:type="dxa"/>
            <w:tcBorders/>
            <w:shd w:fill="auto" w:val="clear"/>
            <w:tcMar>
              <w:top w:w="0" w:type="dxa"/>
              <w:bottom w:w="0" w:type="dxa"/>
            </w:tcMar>
            <w:vAlign w:val="bottom"/>
          </w:tcPr>
          <w:p>
            <w:pPr>
              <w:pStyle w:val="TableContents"/>
              <w:spacing w:before="0" w:after="283"/>
              <w:jc w:val="left"/>
              <w:rPr/>
            </w:pPr>
            <w:r>
              <w:rPr/>
              <w:t> </w:t>
            </w:r>
          </w:p>
        </w:tc>
      </w:tr>
      <w:tr>
        <w:trPr/>
        <w:tc>
          <w:tcPr>
            <w:tcW w:w="7573" w:type="dxa"/>
            <w:tcBorders>
              <w:bottom w:val="double" w:sz="8"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March 31, 2009</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0.20</w:t>
            </w:r>
          </w:p>
        </w:tc>
        <w:tc>
          <w:tcPr>
            <w:tcW w:w="116"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last reported sales price for our shares on the OTCBB as of April 11, 2011, was $0.34 per share. As of April 11, 2011, we had 428 shareholders of record.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28, 2007, we completed a reverse stock split thereby issuing 1 new share of common stock in exchange for each 2.5 outstanding shares of our common stock. Accordingly, we decreased our authorized shares of common stock from 200,000,000 common shares to 80,000,000 common shares. On January 22, 2009, in a special meeting of shareholders we increased our authorized shares of common stock from 80,000,000 to 500,000,000. Effective July 10, 2009, we executed a further 1 for 10 reverse stock split reducing the authorized shares of common stock from 50,000,000 common shares with a $0.001 par value.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February 21, 2010, we amended our Articles of Incorporation to increase our authorized share capital from 55 million authorized shares, consisting of 50 million shares of common stock and 5 million shares of preferred stock, to 155,000,000 million authorized shares, consisting of 150,000,000 million shares of common stock and 5 million shares of preferred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Dividend Policy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 dividends have been declared or paid on our common stock. We have incurred recurring losses and do not currently intend to pay any cash dividends in the foreseeable future.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Securities Authorized For Issuance under Compensation Plans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information as of December 31, 2010:</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7" w:name="PGBRK14"/>
      <w:bookmarkStart w:id="168" w:name="PGBRK14"/>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 w:name="FTR14"/>
      <w:bookmarkStart w:id="170" w:name="FTR14"/>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1" w:name="GLFTR14"/>
      <w:bookmarkEnd w:id="1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2" w:name="PN14"/>
      <w:bookmarkEnd w:id="172"/>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3" w:name="HDR14"/>
      <w:bookmarkStart w:id="174" w:name="HDR14"/>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5" w:name="GLHDR14"/>
      <w:bookmarkEnd w:id="1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Equity Compensation Plan Information</w:t>
      </w:r>
    </w:p>
    <w:tbl>
      <w:tblPr>
        <w:tblW w:w="5000" w:type="pct"/>
        <w:jc w:val="left"/>
        <w:tblInd w:w="0" w:type="dxa"/>
        <w:tblCellMar>
          <w:top w:w="28" w:type="dxa"/>
          <w:left w:w="0" w:type="dxa"/>
          <w:bottom w:w="28" w:type="dxa"/>
          <w:right w:w="0" w:type="dxa"/>
        </w:tblCellMar>
      </w:tblPr>
      <w:tblGrid>
        <w:gridCol w:w="5023"/>
        <w:gridCol w:w="112"/>
        <w:gridCol w:w="116"/>
        <w:gridCol w:w="1297"/>
        <w:gridCol w:w="246"/>
        <w:gridCol w:w="112"/>
        <w:gridCol w:w="247"/>
        <w:gridCol w:w="1166"/>
        <w:gridCol w:w="112"/>
        <w:gridCol w:w="112"/>
        <w:gridCol w:w="124"/>
        <w:gridCol w:w="1408"/>
        <w:gridCol w:w="130"/>
      </w:tblGrid>
      <w:tr>
        <w:trPr/>
        <w:tc>
          <w:tcPr>
            <w:tcW w:w="5023"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41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 securities to be issued upon exercise of outstanding options, warrants and rights</w:t>
            </w:r>
          </w:p>
          <w:p>
            <w:pPr>
              <w:pStyle w:val="TableContents"/>
              <w:spacing w:before="0" w:after="0"/>
              <w:ind w:left="0" w:right="0" w:hanging="0"/>
              <w:jc w:val="center"/>
              <w:rPr>
                <w:rFonts w:ascii="times new roman" w:hAnsi="times new roman"/>
                <w:sz w:val="20"/>
              </w:rPr>
            </w:pPr>
            <w:r>
              <w:rPr>
                <w:rFonts w:ascii="times new roman" w:hAnsi="times new roman"/>
                <w:sz w:val="20"/>
              </w:rPr>
              <w:t>(a)</w:t>
            </w:r>
          </w:p>
        </w:tc>
        <w:tc>
          <w:tcPr>
            <w:tcW w:w="246"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41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 exercise price of outstanding options, warrants and rights</w:t>
            </w:r>
          </w:p>
          <w:p>
            <w:pPr>
              <w:pStyle w:val="TableContents"/>
              <w:spacing w:before="0" w:after="0"/>
              <w:ind w:left="0" w:right="0" w:hanging="0"/>
              <w:jc w:val="center"/>
              <w:rPr>
                <w:rFonts w:ascii="times new roman" w:hAnsi="times new roman"/>
                <w:sz w:val="20"/>
              </w:rPr>
            </w:pPr>
            <w:r>
              <w:rPr>
                <w:rFonts w:ascii="times new roman" w:hAnsi="times new roman"/>
                <w:sz w:val="20"/>
              </w:rPr>
              <w:t>(b)</w:t>
            </w:r>
          </w:p>
        </w:tc>
        <w:tc>
          <w:tcPr>
            <w:tcW w:w="112"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53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 securities remaining available for future issuance under equity compensation plans (excluding securities reflected in column (a))</w:t>
            </w:r>
          </w:p>
          <w:p>
            <w:pPr>
              <w:pStyle w:val="TableContents"/>
              <w:spacing w:before="0" w:after="0"/>
              <w:ind w:left="0" w:right="0" w:hanging="0"/>
              <w:jc w:val="center"/>
              <w:rPr>
                <w:rFonts w:ascii="times new roman" w:hAnsi="times new roman"/>
                <w:sz w:val="20"/>
              </w:rPr>
            </w:pPr>
            <w:r>
              <w:rPr>
                <w:rFonts w:ascii="times new roman" w:hAnsi="times new roman"/>
                <w:sz w:val="20"/>
              </w:rPr>
              <w:t>(c)</w:t>
            </w:r>
          </w:p>
        </w:tc>
        <w:tc>
          <w:tcPr>
            <w:tcW w:w="130"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023" w:type="dxa"/>
            <w:tcBorders/>
            <w:shd w:fill="auto" w:val="clear"/>
            <w:tcMar>
              <w:top w:w="0" w:type="dxa"/>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(a)Equity compensation plans approved by security holders</w:t>
            </w:r>
          </w:p>
        </w:tc>
        <w:tc>
          <w:tcPr>
            <w:tcW w:w="112" w:type="dxa"/>
            <w:tcBorders/>
            <w:shd w:fill="auto" w:val="clear"/>
            <w:tcMar>
              <w:top w:w="0" w:type="dxa"/>
              <w:bottom w:w="0" w:type="dxa"/>
            </w:tcMar>
            <w:vAlign w:val="bottom"/>
          </w:tcPr>
          <w:p>
            <w:pPr>
              <w:pStyle w:val="TableContents"/>
              <w:spacing w:before="0" w:after="283"/>
              <w:rPr/>
            </w:pPr>
            <w:r>
              <w:rPr/>
              <w:t> </w:t>
            </w:r>
          </w:p>
        </w:tc>
        <w:tc>
          <w:tcPr>
            <w:tcW w:w="1413" w:type="dxa"/>
            <w:gridSpan w:val="2"/>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246"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413" w:type="dxa"/>
            <w:gridSpan w:val="2"/>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532" w:type="dxa"/>
            <w:gridSpan w:val="2"/>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30" w:type="dxa"/>
            <w:tcBorders/>
            <w:shd w:fill="auto" w:val="clear"/>
            <w:tcMar>
              <w:top w:w="0" w:type="dxa"/>
              <w:bottom w:w="0" w:type="dxa"/>
            </w:tcMar>
            <w:vAlign w:val="bottom"/>
          </w:tcPr>
          <w:p>
            <w:pPr>
              <w:pStyle w:val="TableContents"/>
              <w:spacing w:before="0" w:after="283"/>
              <w:jc w:val="left"/>
              <w:rPr/>
            </w:pPr>
            <w:r>
              <w:rPr/>
              <w:t> </w:t>
            </w:r>
          </w:p>
        </w:tc>
      </w:tr>
      <w:tr>
        <w:trPr/>
        <w:tc>
          <w:tcPr>
            <w:tcW w:w="5023" w:type="dxa"/>
            <w:tcBorders>
              <w:bottom w:val="single" w:sz="12" w:space="0" w:color="000000"/>
            </w:tcBorders>
            <w:shd w:fill="auto" w:val="clear"/>
            <w:tcMar>
              <w:top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(b)Equity compensation plans not approved by security holders</w:t>
            </w:r>
          </w:p>
        </w:tc>
        <w:tc>
          <w:tcPr>
            <w:tcW w:w="112" w:type="dxa"/>
            <w:tcBorders/>
            <w:shd w:fill="auto" w:val="clear"/>
            <w:tcMar>
              <w:top w:w="0" w:type="dxa"/>
              <w:bottom w:w="0" w:type="dxa"/>
            </w:tcMar>
            <w:vAlign w:val="bottom"/>
          </w:tcPr>
          <w:p>
            <w:pPr>
              <w:pStyle w:val="TableContents"/>
              <w:spacing w:before="0" w:after="283"/>
              <w:rPr/>
            </w:pPr>
            <w:r>
              <w:rPr/>
              <w:t> </w:t>
            </w:r>
          </w:p>
        </w:tc>
        <w:tc>
          <w:tcPr>
            <w:tcW w:w="11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9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3,272,000</w:t>
            </w:r>
          </w:p>
        </w:tc>
        <w:tc>
          <w:tcPr>
            <w:tcW w:w="24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(1)</w:t>
            </w:r>
          </w:p>
        </w:tc>
        <w:tc>
          <w:tcPr>
            <w:tcW w:w="112" w:type="dxa"/>
            <w:tcBorders/>
            <w:shd w:fill="auto" w:val="clear"/>
            <w:tcMar>
              <w:top w:w="0" w:type="dxa"/>
              <w:bottom w:w="0" w:type="dxa"/>
            </w:tcMar>
            <w:vAlign w:val="bottom"/>
          </w:tcPr>
          <w:p>
            <w:pPr>
              <w:pStyle w:val="TableContents"/>
              <w:spacing w:before="0" w:after="283"/>
              <w:rPr/>
            </w:pPr>
            <w:r>
              <w:rPr/>
              <w:t> </w:t>
            </w:r>
          </w:p>
        </w:tc>
        <w:tc>
          <w:tcPr>
            <w:tcW w:w="247" w:type="dxa"/>
            <w:tcBorders>
              <w:bottom w:val="single" w:sz="12"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0.92</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2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40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6,728,000</w:t>
            </w:r>
          </w:p>
        </w:tc>
        <w:tc>
          <w:tcPr>
            <w:tcW w:w="130" w:type="dxa"/>
            <w:tcBorders/>
            <w:shd w:fill="auto" w:val="clear"/>
            <w:tcMar>
              <w:top w:w="0" w:type="dxa"/>
              <w:bottom w:w="0" w:type="dxa"/>
            </w:tcMar>
            <w:vAlign w:val="bottom"/>
          </w:tcPr>
          <w:p>
            <w:pPr>
              <w:pStyle w:val="TableContents"/>
              <w:spacing w:before="0" w:after="283"/>
              <w:jc w:val="left"/>
              <w:rPr/>
            </w:pPr>
            <w:r>
              <w:rPr/>
              <w:t> </w:t>
            </w:r>
          </w:p>
        </w:tc>
      </w:tr>
      <w:tr>
        <w:trPr/>
        <w:tc>
          <w:tcPr>
            <w:tcW w:w="5023"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12" w:type="dxa"/>
            <w:tcBorders/>
            <w:shd w:fill="auto" w:val="clear"/>
            <w:tcMar>
              <w:top w:w="0" w:type="dxa"/>
              <w:bottom w:w="0" w:type="dxa"/>
            </w:tcMar>
            <w:vAlign w:val="bottom"/>
          </w:tcPr>
          <w:p>
            <w:pPr>
              <w:pStyle w:val="TableContents"/>
              <w:spacing w:before="0" w:after="283"/>
              <w:rPr/>
            </w:pPr>
            <w:r>
              <w:rPr/>
              <w:t> </w:t>
            </w:r>
          </w:p>
        </w:tc>
        <w:tc>
          <w:tcPr>
            <w:tcW w:w="116"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9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3,272,000</w:t>
            </w:r>
          </w:p>
        </w:tc>
        <w:tc>
          <w:tcPr>
            <w:tcW w:w="24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(1)</w:t>
            </w:r>
          </w:p>
        </w:tc>
        <w:tc>
          <w:tcPr>
            <w:tcW w:w="112" w:type="dxa"/>
            <w:tcBorders/>
            <w:shd w:fill="auto" w:val="clear"/>
            <w:tcMar>
              <w:top w:w="0" w:type="dxa"/>
              <w:bottom w:w="0" w:type="dxa"/>
            </w:tcMar>
            <w:vAlign w:val="bottom"/>
          </w:tcPr>
          <w:p>
            <w:pPr>
              <w:pStyle w:val="TableContents"/>
              <w:spacing w:before="0" w:after="283"/>
              <w:rPr/>
            </w:pPr>
            <w:r>
              <w:rPr/>
              <w:t> </w:t>
            </w:r>
          </w:p>
        </w:tc>
        <w:tc>
          <w:tcPr>
            <w:tcW w:w="24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0.92</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24"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40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6,728,000</w:t>
            </w:r>
          </w:p>
        </w:tc>
        <w:tc>
          <w:tcPr>
            <w:tcW w:w="130"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  The plan under which these shares were issued was approved by the Board of Directors and the shareholders in 2009 but did not come into effect until February 22, 2010.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Stock Incentive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2009, the Company adopted the 2009 Stock Incentive Plan (the “2009 Plan”). The 2009 Plan allows for the issuance of up to 10,000,000 common shares. Options granted under the Plan shall be at prices and for terms as determined by our Board of Directors, and may have vesting requirements as determined by our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foregoing summary of the 2009 Stock Incentive Plan is not complete and is qualified in its entirety by reference to the 2009 Stock Incentive Plan, a copy of which has been filed with the SEC.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the date of this annual report, there are an aggregate of 4,258,000 stock options granted and outstanding.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the date of this annual report, there are an aggregate of 14,237,126 common stock purchase warrants issued and outstanding.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Recent Sales of Unregistered Securities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Feb 21, 2010, the company entered into a one year consulting agreement for business consulting services for 240,000 restricted common shares and a commitment to issue an additional 80,000 shares per month from the 4th through the 12th month.</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Feb 21, 2010, the company entered into a one year consulting agreement for business consulting services for 240,000 restricted common shares and a commitment to issue an additional 80,000 shares per month from the 4th through the 12th month.</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Jan 6, 2010 the Company entered into a one year consulting agreement for 500,000 restricted shares of the Company’s common stock.</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March 15, 2010, the company entered into a management consulting agreement for business consulting services for 500,000 restricted common shares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Jan 20, 2011, the company entered into a consulting agreement for business and financing consulting services for 350,000 restricted common shares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During the first quarter of 2010, the company settled approximately $500,000 of debt converted into approximately 3,700,000 shares of common stock.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6" w:name="PGBRK15"/>
      <w:bookmarkStart w:id="177" w:name="PGBRK15"/>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8" w:name="FTR15"/>
      <w:bookmarkStart w:id="179" w:name="FTR15"/>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0" w:name="GLFTR15"/>
      <w:bookmarkEnd w:id="1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1" w:name="PN15"/>
      <w:bookmarkEnd w:id="181"/>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2" w:name="HDR15"/>
      <w:bookmarkStart w:id="183" w:name="HDR15"/>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4" w:name="GLHDR15"/>
      <w:bookmarkEnd w:id="1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17, 2010, we entered into a securities purchase agreement with accredited investors to place Senior Secured Convertible Notes (the “2010 Notes”) with a final maturity date of May 24, 2011 with a face amount of $1,530,000 and convertible into 6,375,000 shares of our common stock. In connection with the issuance of the 2010 Notes, we also issued the holders of such 2010 Notes Series A Warrants exercisable into 6,375,000 shares of common stock, Series B Warrants exercisable into 5,100,000 shares of common stock and Series C Warrants exercisable into 6,375,000 shares of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also entered into a Security Agreement (the “2010 Security Agreement”) to secure payment and performance of our obligations under the 2010 Notes pursuant to which we granted the investors a security interest in all of our assets.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24, 2011, we entered into a securities purchase agreement with accredited investors to place $1,159,413 of Secured Convertible Notes (the “February 2011 Notes”) which mature February 24, 2014. $25,000 of the February 2011 Notes was issued to a family member of an officer and director of the Company. The February 2011 Notes bear interest at the rate of 10% per annum, which in the case of a default increases to 20% per annum. Interest is due and payable at the end of each three month period, starting three months from their issuance.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One year after the issuance of the February 2011 Notes, we may elect to prepay a portion of the principle. If we make such an election, the holders may elect to receive such prepayment in cash or in shares of the Company’s common stock or in a combination thereof. One year after the issuance of the February 2011 Notes, a note holder may elect convert a portion or all of such 2011 Note at $0.15 per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Consideration received for the February 2011 Notes consisted of $919,413 in cash and rolling in $240,000 of consideration from the 2010 Notes (See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February 2011 Notes, we issued 2,318,826 warrants, exercisable into common stock at $0.25 with five year terms. We may force the exercise of the warrants at any time that the average VWAP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also entered into a Security Agreement to secure payment and performance of its obligations under the 2011 Notes pursuant to which we granted the investors a security interest in all of its assets not otherwise encumbered.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February 2011, we negotiated an early settlement of $640,000 of the outstanding 2010 Secured Convertible Notes (“the 2010 Notes”). Pursuant to the settlement agreement, we paid $480,000 in cash, issued $240,000 in February 2011 Notes and retired 4,000,000 Series A Warrants, 3,200,000 Series B Warrants and 4,000,000 Series C Warrants. Under the agreement, those holders released the Company from the remaining obligations under the securities purchase agreement entered into during fiscal year 2010, the 2010 security agreement and other documents related to the issuance of the 2010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we entered into an exchange agreement to settle $83,333 of the 2010 Notes and retire 625,000 Series A Warrants, 500,000 Series B Warrants and 625,000 Series C Warrants of the Company by issuing to the 2010 Note holder 641,023 shares of Common Stock in accordance with the terms thereof and a warrant, to purchase up to 250,000 shares of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had also entered into an agreement to early settle the remaining $233,333 of the 2010 Notes in exchange for 2,048,578 common shares, a warrant to purchase 1,000,000 shares of common stock and a new April 2011 Note for $25,000. On closing we expect to retire the outstanding 4,900,000 warrants related to the 2010 Note. The transaction has not closed as of the date of the financial statements, as it is contingent upon the Company closing additional financing and clearing other requirements prior to settlement.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5" w:name="PGBRK16"/>
      <w:bookmarkStart w:id="186" w:name="PGBRK16"/>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 w:name="FTR16"/>
      <w:bookmarkStart w:id="188" w:name="FTR16"/>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9" w:name="GLFTR16"/>
      <w:bookmarkEnd w:id="1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0" w:name="PN16"/>
      <w:bookmarkEnd w:id="190"/>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 w:name="HDR16"/>
      <w:bookmarkStart w:id="192" w:name="HDR16"/>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3" w:name="GLHDR16"/>
      <w:bookmarkEnd w:id="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April 12, 2011 we sold Convertible Notes (the “April 2011 Notes”) to accredited investors with a final maturity date of April 12, 2014 and a face amount of $165,000. The April Notes bear interest at the rate of 10% per year which, in the case of a default, increases to 20% per annum. The principal is due on the third anniversary of the April 2011 Notes and interest is due on the April 2011 Notes every three months starting three months from their issuance. One year after the issuance of the April Notes, we may elect to prepay a portion of all of the April Notes. If we make such an election, the holders of the April 2011 Notes may elect to receive such prepayment in cash, in shares of our common stock or in a combination thereof. One year after the issuance of the April 2011 Notes, a holder of an April 2011 Note may elect to convert a portion or all of such April 211 Note at $0.15 per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also entered into a Security Agreement to secure payment and performance of our obligations under the April 2011 Notes pursuant to which we granted the investors a security interest in all of our assets.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April 14, 2011 we sold 27,000 Units for an aggregate of $81,000 where each “Unit” was sold at a per-Unit price of $3.00 and consists of 20 shares of common stock and 6 warrants to purchase 6 shares of our common stock at an exercise price of $0.38 for a term of 24 months. The Units do not provide purchasers with registration rights.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issued the equity securities described in this section in reliance on the registration exemption provided by Section 4(2) of the Securities Act of 1933.</w:t>
      </w:r>
    </w:p>
    <w:p>
      <w:pPr>
        <w:pStyle w:val="TextBody"/>
        <w:spacing w:before="0" w:after="0"/>
        <w:ind w:left="0" w:right="0" w:hanging="0"/>
        <w:jc w:val="both"/>
        <w:rPr/>
      </w:pPr>
      <w:r>
        <w:rPr/>
        <w:t> </w:t>
      </w:r>
    </w:p>
    <w:p>
      <w:pPr>
        <w:pStyle w:val="Normal"/>
        <w:spacing w:before="0" w:after="0"/>
        <w:ind w:left="0" w:right="0" w:hanging="0"/>
        <w:rPr>
          <w:sz w:val="4"/>
          <w:szCs w:val="4"/>
        </w:rPr>
      </w:pPr>
      <w:r>
        <w:rPr>
          <w:sz w:val="4"/>
          <w:szCs w:val="4"/>
        </w:rPr>
      </w:r>
      <w:bookmarkStart w:id="194" w:name="hangingindent18"/>
      <w:bookmarkStart w:id="195" w:name="hangingindent18"/>
      <w:bookmarkEnd w:id="195"/>
    </w:p>
    <w:tbl>
      <w:tblPr>
        <w:tblW w:w="5000" w:type="pct"/>
        <w:jc w:val="center"/>
        <w:tblInd w:w="0" w:type="dxa"/>
        <w:tblCellMar>
          <w:top w:w="0" w:type="dxa"/>
          <w:left w:w="0" w:type="dxa"/>
          <w:bottom w:w="0" w:type="dxa"/>
          <w:right w:w="0" w:type="dxa"/>
        </w:tblCellMar>
      </w:tblPr>
      <w:tblGrid>
        <w:gridCol w:w="619"/>
        <w:gridCol w:w="9586"/>
      </w:tblGrid>
      <w:tr>
        <w:trPr/>
        <w:tc>
          <w:tcPr>
            <w:tcW w:w="619"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6.</w:t>
            </w:r>
          </w:p>
        </w:tc>
        <w:tc>
          <w:tcPr>
            <w:tcW w:w="958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SELECTED FINANCIAL DATA</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a smaller reporting company as defined by Rule 12b-2 of the Exchange Act and are not required to provide the information required under this item.</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96" w:name="hangingindent19"/>
      <w:bookmarkStart w:id="197" w:name="hangingindent19"/>
      <w:bookmarkEnd w:id="197"/>
    </w:p>
    <w:tbl>
      <w:tblPr>
        <w:tblW w:w="5000" w:type="pct"/>
        <w:jc w:val="center"/>
        <w:tblInd w:w="0" w:type="dxa"/>
        <w:tblCellMar>
          <w:top w:w="0" w:type="dxa"/>
          <w:left w:w="0" w:type="dxa"/>
          <w:bottom w:w="0" w:type="dxa"/>
          <w:right w:w="0" w:type="dxa"/>
        </w:tblCellMar>
      </w:tblPr>
      <w:tblGrid>
        <w:gridCol w:w="616"/>
        <w:gridCol w:w="9589"/>
      </w:tblGrid>
      <w:tr>
        <w:trPr/>
        <w:tc>
          <w:tcPr>
            <w:tcW w:w="616"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7.</w:t>
            </w:r>
          </w:p>
        </w:tc>
        <w:tc>
          <w:tcPr>
            <w:tcW w:w="958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MANAGEMENT’S DISCUSSION AND ANALYSIS OF FINANCIAL CONDITION AND RESULTS OF OPERATIONS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discussion of our financial condition, changes in financial condition, plan of operations and results of operations should be read in conjunction with (i) our audited consolidated financial statements as at December 31, 2010 and for the period from inception (July 27, 1999) to December 31, 2010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 including, but not limited to, those set forth under “Risk Factors” and elsewhere in this annual report.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Plan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as a result of restructuring and recent financings and along with our exclusive Licensing Option agreement with the Mayo Clinic in Rochester, Minnesota, for the clinical development of a vaccine technology to treat HER-2/neu positive breast cancer we expect that an IND for the commencement of Phase 1 clinical trials will be filed in the near future.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technology entering the clinic targets a novel set of HER-2/neu antigens discovered in breast cancer patients with pre-existent immunity to these antigens (Clinical Cancer Research 16[3]:825-34, 2010). This technology complements TapImmune’s TAP technology that we envision as part of a final vaccine product. This technology is currently completing preclinical development. Currently, Herceptin® (trastuzumab: an intravenously delivered monoclonal antibody) is used in the treatment of HER-2/neu breast cancer. Sales of this product in 2009 were approximately US$5 billion (source: Roche AG’s Pharmaceutical Division). As our vaccine approach has the potential to treat a broader HER-2/neu positive clinical population, the market potential is significant.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August 2010, we announced a second Research and Technology License Option Agreement with the Mayo Clinic, Rochester, MN, for the development of a new smallpox vaccine. Research in progress in the laboratories of Gregory Poland M.D., at the Mayo Clinic will select the most potent peptide antigens against the smallpox virus for combination with our TAP technology. In preclinical studies (Plos Pathogens 1: 289-98, 2005) our TAP technology improved the efficacy of a vaccinia virus vaccine by over a 100 fold. TapImmune believes that its approach provides the potential for development of a vaccine against smallpox that has broader application, is more cost effective and has a better shelf-life than existing viral-based products.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8" w:name="PGBRK17"/>
      <w:bookmarkStart w:id="199" w:name="PGBRK17"/>
      <w:bookmarkEnd w:id="1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 w:name="FTR17"/>
      <w:bookmarkStart w:id="201" w:name="FTR17"/>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2" w:name="GLFTR17"/>
      <w:bookmarkEnd w:id="2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3" w:name="PN17"/>
      <w:bookmarkEnd w:id="203"/>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4" w:name="HDR17"/>
      <w:bookmarkStart w:id="205" w:name="HDR17"/>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6" w:name="GLHDR17"/>
      <w:bookmarkEnd w:id="2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TapImmune plans to evaluate its TAP technology for improving the efficacy of vaccines designed to combat a range of additional viral threats in the biodefense and infectious disease field. To expand its technology platform TapImmune also plans additional partnerships for the development of DNA plasmid expression vectors that can deliver TAP genes into target cells.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Over the past 12 months TapImmune has completed financings in excess of $2 million that have enabled the company to continue to grow its technology platform including those through collaborative projects and expand as well as protect its IP portfolio.</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made significant progress in the last 12 months with the establishment of excellent research and development collaborations and the recruitment of world-class advisors to help guide our technical and commercial programs. As we start our clinical programs we expect to reach a number of important milestones in 2011 in both cancer and infectious disease.</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not generated any cash flows from operations to fund our operations and activities due primarily to the nature of lengthy product development cycles that are normal to the biotech industry. Therefore, we must raise additional funds in the future to continue operations. We intend to finance our operating expenses with further issuances of common stock and/or debt. Although we do not currently have funds to continue operations for more than four months, we believe that future investment, if successful, should be adequate to fund our operations over the next 24 months. Thereafter, we expect we will need to raise additional capital to meet long-term operating requirements. Our future success and viability are dependent on our ability to raise additional capital through further private offerings of our stock or loans from private investors. Additional financing may not be available upon acceptable terms, or at all. If adequate funds are not available or not available on acceptable terms, we may not be able to conduct our proposed business operations successfully, which could significantly and materially restrict or delay our overall business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7" w:name="PGBRK18"/>
      <w:bookmarkStart w:id="208" w:name="PGBRK18"/>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 w:name="FTR18"/>
      <w:bookmarkStart w:id="210" w:name="FTR18"/>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1" w:name="GLFTR18"/>
      <w:bookmarkEnd w:id="2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2" w:name="PN18"/>
      <w:bookmarkEnd w:id="212"/>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 w:name="HDR18"/>
      <w:bookmarkStart w:id="214" w:name="HDR18"/>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5" w:name="GLHDR18"/>
      <w:bookmarkEnd w:id="2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out our consolidated losses for the periods indicated and reflects the restated December 31, 2009 numbers (See Note 1A in the Financial Statements) as referenced by our 8k filed April 6 2011:</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910"/>
        <w:gridCol w:w="105"/>
        <w:gridCol w:w="125"/>
        <w:gridCol w:w="1065"/>
        <w:gridCol w:w="111"/>
        <w:gridCol w:w="105"/>
        <w:gridCol w:w="125"/>
        <w:gridCol w:w="1098"/>
        <w:gridCol w:w="111"/>
        <w:gridCol w:w="105"/>
        <w:gridCol w:w="125"/>
        <w:gridCol w:w="1098"/>
        <w:gridCol w:w="122"/>
      </w:tblGrid>
      <w:tr>
        <w:trPr/>
        <w:tc>
          <w:tcPr>
            <w:tcW w:w="5910"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5" w:type="dxa"/>
            <w:tcBorders>
              <w:top w:val="single" w:sz="12" w:space="0" w:color="000000"/>
            </w:tcBorders>
            <w:shd w:fill="auto" w:val="clear"/>
            <w:tcMar>
              <w:bottom w:w="0" w:type="dxa"/>
            </w:tcMar>
            <w:vAlign w:val="bottom"/>
          </w:tcPr>
          <w:p>
            <w:pPr>
              <w:pStyle w:val="TableContents"/>
              <w:spacing w:before="0" w:after="283"/>
              <w:rPr/>
            </w:pPr>
            <w:r>
              <w:rPr/>
              <w:t> </w:t>
            </w:r>
          </w:p>
        </w:tc>
        <w:tc>
          <w:tcPr>
            <w:tcW w:w="119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(Restated)</w:t>
            </w:r>
          </w:p>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1"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5" w:type="dxa"/>
            <w:tcBorders>
              <w:top w:val="single" w:sz="12" w:space="0" w:color="000000"/>
            </w:tcBorders>
            <w:shd w:fill="auto" w:val="clear"/>
            <w:tcMar>
              <w:bottom w:w="0" w:type="dxa"/>
            </w:tcMar>
            <w:vAlign w:val="bottom"/>
          </w:tcPr>
          <w:p>
            <w:pPr>
              <w:pStyle w:val="TableContents"/>
              <w:spacing w:before="0" w:after="283"/>
              <w:rPr/>
            </w:pPr>
            <w:r>
              <w:rPr/>
              <w:t> </w:t>
            </w:r>
          </w:p>
        </w:tc>
        <w:tc>
          <w:tcPr>
            <w:tcW w:w="122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(Restated)</w:t>
            </w:r>
          </w:p>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1"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5" w:type="dxa"/>
            <w:tcBorders>
              <w:top w:val="single" w:sz="12" w:space="0" w:color="000000"/>
            </w:tcBorders>
            <w:shd w:fill="auto" w:val="clear"/>
            <w:tcMar>
              <w:bottom w:w="0" w:type="dxa"/>
            </w:tcMar>
            <w:vAlign w:val="bottom"/>
          </w:tcPr>
          <w:p>
            <w:pPr>
              <w:pStyle w:val="TableContents"/>
              <w:spacing w:before="0" w:after="283"/>
              <w:rPr/>
            </w:pPr>
            <w:r>
              <w:rPr/>
              <w:t> </w:t>
            </w:r>
          </w:p>
        </w:tc>
        <w:tc>
          <w:tcPr>
            <w:tcW w:w="122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(Restated)</w:t>
            </w:r>
          </w:p>
          <w:p>
            <w:pPr>
              <w:pStyle w:val="TableContents"/>
              <w:spacing w:before="0" w:after="0"/>
              <w:ind w:left="0" w:right="0" w:hanging="0"/>
              <w:jc w:val="center"/>
              <w:rPr>
                <w:rFonts w:ascii="times new roman" w:hAnsi="times new roman"/>
                <w:sz w:val="20"/>
              </w:rPr>
            </w:pPr>
            <w:r>
              <w:rPr>
                <w:rFonts w:ascii="times new roman" w:hAnsi="times new roman"/>
                <w:sz w:val="20"/>
              </w:rPr>
              <w:t>Period from</w:t>
            </w:r>
          </w:p>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22"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910" w:type="dxa"/>
            <w:tcBorders/>
            <w:shd w:fill="auto" w:val="clear"/>
            <w:tcMar>
              <w:top w:w="0" w:type="dxa"/>
              <w:bottom w:w="0" w:type="dxa"/>
            </w:tcMar>
            <w:vAlign w:val="bottom"/>
          </w:tcPr>
          <w:p>
            <w:pPr>
              <w:pStyle w:val="TableContents"/>
              <w:spacing w:before="0" w:after="283"/>
              <w:rPr/>
            </w:pPr>
            <w:r>
              <w:rPr/>
              <w:t xml:space="preserve">  </w:t>
            </w:r>
          </w:p>
        </w:tc>
        <w:tc>
          <w:tcPr>
            <w:tcW w:w="105" w:type="dxa"/>
            <w:tcBorders/>
            <w:shd w:fill="auto" w:val="clear"/>
            <w:tcMar>
              <w:top w:w="0" w:type="dxa"/>
              <w:bottom w:w="0" w:type="dxa"/>
            </w:tcMar>
            <w:vAlign w:val="bottom"/>
          </w:tcPr>
          <w:p>
            <w:pPr>
              <w:pStyle w:val="TableContents"/>
              <w:spacing w:before="0" w:after="283"/>
              <w:rPr/>
            </w:pPr>
            <w:r>
              <w:rPr/>
              <w:t> </w:t>
            </w:r>
          </w:p>
        </w:tc>
        <w:tc>
          <w:tcPr>
            <w:tcW w:w="1190" w:type="dxa"/>
            <w:gridSpan w:val="2"/>
            <w:tcBorders/>
            <w:shd w:fill="auto" w:val="clear"/>
            <w:tcMar>
              <w:top w:w="0" w:type="dxa"/>
              <w:bottom w:w="0" w:type="dxa"/>
            </w:tcMar>
            <w:vAlign w:val="bottom"/>
          </w:tcPr>
          <w:p>
            <w:pPr>
              <w:pStyle w:val="TableContents"/>
              <w:spacing w:before="0" w:after="283"/>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23" w:type="dxa"/>
            <w:gridSpan w:val="2"/>
            <w:tcBorders/>
            <w:shd w:fill="auto" w:val="clear"/>
            <w:tcMar>
              <w:top w:w="0" w:type="dxa"/>
              <w:bottom w:w="0" w:type="dxa"/>
            </w:tcMar>
            <w:vAlign w:val="bottom"/>
          </w:tcPr>
          <w:p>
            <w:pPr>
              <w:pStyle w:val="TableContents"/>
              <w:spacing w:before="0" w:after="283"/>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23" w:type="dxa"/>
            <w:gridSpan w:val="2"/>
            <w:tcBorders/>
            <w:shd w:fill="auto" w:val="clear"/>
            <w:tcMar>
              <w:top w:w="0" w:type="dxa"/>
              <w:bottom w:w="0" w:type="dxa"/>
            </w:tcMar>
            <w:vAlign w:val="bottom"/>
          </w:tcPr>
          <w:p>
            <w:pPr>
              <w:pStyle w:val="TableContents"/>
              <w:spacing w:before="0" w:after="283"/>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EXPENSES</w:t>
            </w:r>
          </w:p>
        </w:tc>
        <w:tc>
          <w:tcPr>
            <w:tcW w:w="105" w:type="dxa"/>
            <w:tcBorders/>
            <w:shd w:fill="auto" w:val="clear"/>
            <w:tcMar>
              <w:top w:w="0" w:type="dxa"/>
              <w:bottom w:w="0" w:type="dxa"/>
            </w:tcMar>
            <w:vAlign w:val="bottom"/>
          </w:tcPr>
          <w:p>
            <w:pPr>
              <w:pStyle w:val="TableContents"/>
              <w:spacing w:before="0" w:after="283"/>
              <w:rPr/>
            </w:pPr>
            <w:r>
              <w:rPr/>
              <w:t> </w:t>
            </w:r>
          </w:p>
        </w:tc>
        <w:tc>
          <w:tcPr>
            <w:tcW w:w="1190" w:type="dxa"/>
            <w:gridSpan w:val="2"/>
            <w:tcBorders/>
            <w:shd w:fill="auto" w:val="clear"/>
            <w:tcMar>
              <w:top w:w="0" w:type="dxa"/>
              <w:bottom w:w="0" w:type="dxa"/>
            </w:tcMar>
            <w:vAlign w:val="bottom"/>
          </w:tcPr>
          <w:p>
            <w:pPr>
              <w:pStyle w:val="TableContents"/>
              <w:spacing w:before="0" w:after="283"/>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23" w:type="dxa"/>
            <w:gridSpan w:val="2"/>
            <w:tcBorders/>
            <w:shd w:fill="auto" w:val="clear"/>
            <w:tcMar>
              <w:top w:w="0" w:type="dxa"/>
              <w:bottom w:w="0" w:type="dxa"/>
            </w:tcMar>
            <w:vAlign w:val="bottom"/>
          </w:tcPr>
          <w:p>
            <w:pPr>
              <w:pStyle w:val="TableContents"/>
              <w:spacing w:before="0" w:after="283"/>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23" w:type="dxa"/>
            <w:gridSpan w:val="2"/>
            <w:tcBorders/>
            <w:shd w:fill="auto" w:val="clear"/>
            <w:tcMar>
              <w:top w:w="0" w:type="dxa"/>
              <w:bottom w:w="0" w:type="dxa"/>
            </w:tcMar>
            <w:vAlign w:val="bottom"/>
          </w:tcPr>
          <w:p>
            <w:pPr>
              <w:pStyle w:val="TableContents"/>
              <w:spacing w:before="0" w:after="283"/>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88,231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552,339</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1,859,437</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 stock-based</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1,200,736</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506,042</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4,992,553</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213,227</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203,066</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85,146</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2,611,522</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and financing charges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1,241,078</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1,188,934</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5,151,681</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329,177</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260,242</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2,523,654</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 stock-based</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1,087,915</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2,019,660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3,934,965</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Professional fees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742,338</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673,227</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4,056,787</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290,048</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93,041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5,707,440</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 stock-based</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612,000</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5,182,589</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5,382,372</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31,663,266</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BEFORE OTHER ITEMS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(5,182,589</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(5,382,372</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(31,663,266</w:t>
            </w:r>
          </w:p>
        </w:tc>
        <w:tc>
          <w:tcPr>
            <w:tcW w:w="122" w:type="dxa"/>
            <w:tcBorders/>
            <w:shd w:fill="auto" w:val="clear"/>
            <w:tcMar>
              <w:top w:w="0" w:type="dxa"/>
              <w:bottom w:w="0" w:type="dxa"/>
            </w:tcMar>
            <w:vAlign w:val="bottom"/>
          </w:tcPr>
          <w:p>
            <w:pPr>
              <w:pStyle w:val="TableContents"/>
              <w:spacing w:before="0" w:after="283"/>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ITEMS</w:t>
            </w:r>
          </w:p>
        </w:tc>
        <w:tc>
          <w:tcPr>
            <w:tcW w:w="105"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 exchange</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(1,237</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(38,069</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43,353</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1,655,011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1,655,011</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debt financing</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(1,615,425</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(1,615,425</w:t>
            </w:r>
          </w:p>
        </w:tc>
        <w:tc>
          <w:tcPr>
            <w:tcW w:w="122" w:type="dxa"/>
            <w:tcBorders/>
            <w:shd w:fill="auto" w:val="clear"/>
            <w:tcMar>
              <w:top w:w="0" w:type="dxa"/>
              <w:bottom w:w="0" w:type="dxa"/>
            </w:tcMar>
            <w:vAlign w:val="bottom"/>
          </w:tcPr>
          <w:p>
            <w:pPr>
              <w:pStyle w:val="TableContents"/>
              <w:spacing w:before="0" w:after="283"/>
              <w:jc w:val="left"/>
              <w:rPr>
                <w:rFonts w:ascii="times new roman" w:hAnsi="times new roman"/>
                <w:color w:val="0000FF"/>
                <w:sz w:val="20"/>
                <w:u w:val="single"/>
              </w:rPr>
            </w:pPr>
            <w:r>
              <w:rPr>
                <w:rFonts w:ascii="times new roman" w:hAnsi="times new roman"/>
                <w:color w:val="0000FF"/>
                <w:sz w:val="20"/>
                <w:u w:val="single"/>
              </w:rPr>
              <w:t>)</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(loss) on settlement of debt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53,589</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(12,175,982</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(11,949,383</w:t>
            </w:r>
          </w:p>
        </w:tc>
        <w:tc>
          <w:tcPr>
            <w:tcW w:w="12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2,814</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33,344</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91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disposal of assets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0"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(5,090,651</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(17,599,008</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(43,501,765</w:t>
            </w:r>
          </w:p>
        </w:tc>
        <w:tc>
          <w:tcPr>
            <w:tcW w:w="12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0" w:type="dxa"/>
            <w:tcBorders/>
            <w:shd w:fill="auto" w:val="clear"/>
            <w:tcMar>
              <w:top w:w="0" w:type="dxa"/>
              <w:bottom w:w="0" w:type="dxa"/>
            </w:tcMar>
            <w:vAlign w:val="bottom"/>
          </w:tcPr>
          <w:p>
            <w:pPr>
              <w:pStyle w:val="TableContents"/>
              <w:spacing w:before="0" w:after="283"/>
              <w:rPr/>
            </w:pPr>
            <w:r>
              <w:rPr/>
              <w:t xml:space="preserve">  </w:t>
            </w:r>
          </w:p>
        </w:tc>
        <w:tc>
          <w:tcPr>
            <w:tcW w:w="105"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8"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Year Ended December 31, 2010 Compared to the Year Ended December 31, 2009 (As restated)</w:t>
      </w:r>
    </w:p>
    <w:p>
      <w:pPr>
        <w:pStyle w:val="TextBody"/>
        <w:spacing w:before="0" w:after="0"/>
        <w:ind w:left="0" w:right="0" w:hanging="0"/>
        <w:jc w:val="both"/>
        <w:rPr>
          <w:rFonts w:ascii="Times New Roman" w:hAnsi="Times New Roman"/>
          <w:sz w:val="20"/>
        </w:rPr>
      </w:pPr>
      <w:r>
        <w:rPr>
          <w:rFonts w:ascii="Times New Roman" w:hAnsi="Times New Roman"/>
          <w:sz w:val="20"/>
        </w:rPr>
        <w:t>We are a development stage company. We recorded a net loss of $5,090,651 during the year ended December 31, 2010 compared to $17,599,008 for the year ended December 31, 2009.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Operating Expenses</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Operating expenses incurred during the fiscal year ended December 31, 2010 were </w:t>
      </w:r>
      <w:r>
        <w:rPr>
          <w:rFonts w:ascii="times new roman" w:hAnsi="times new roman"/>
          <w:color w:val="0000FF"/>
          <w:sz w:val="20"/>
          <w:u w:val="single"/>
          <w:bdr w:val="double" w:sz="2" w:space="1" w:color="000000"/>
        </w:rPr>
        <w:t>$5,182,589</w:t>
      </w:r>
      <w:r>
        <w:rPr>
          <w:rFonts w:ascii="Times New Roman" w:hAnsi="Times New Roman"/>
          <w:sz w:val="20"/>
        </w:rPr>
        <w:t xml:space="preserve"> compared to $5,382,372 in the prior year. Significant changes and expenditures are outlined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16" w:name="hangingindent20"/>
      <w:bookmarkStart w:id="217" w:name="hangingindent20"/>
      <w:bookmarkEnd w:id="217"/>
    </w:p>
    <w:tbl>
      <w:tblPr>
        <w:tblW w:w="5000" w:type="pct"/>
        <w:jc w:val="center"/>
        <w:tblInd w:w="0" w:type="dxa"/>
        <w:tblCellMar>
          <w:top w:w="0" w:type="dxa"/>
          <w:left w:w="0" w:type="dxa"/>
          <w:bottom w:w="0" w:type="dxa"/>
          <w:right w:w="0" w:type="dxa"/>
        </w:tblCellMar>
      </w:tblPr>
      <w:tblGrid>
        <w:gridCol w:w="81"/>
        <w:gridCol w:w="95"/>
        <w:gridCol w:w="10029"/>
      </w:tblGrid>
      <w:tr>
        <w:trPr/>
        <w:tc>
          <w:tcPr>
            <w:tcW w:w="81"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were $88,231 during the fiscal year ended December 31, 2010 compared to $552,339 during the prior fiscal year. The decrease was due primarily to absence of business development services including those relating to financing and debt restructuring that were in place during the prior period.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8" w:name="hangingindent21"/>
      <w:bookmarkStart w:id="219" w:name="hangingindent21"/>
      <w:bookmarkEnd w:id="219"/>
    </w:p>
    <w:tbl>
      <w:tblPr>
        <w:tblW w:w="5000" w:type="pct"/>
        <w:jc w:val="center"/>
        <w:tblInd w:w="0" w:type="dxa"/>
        <w:tblCellMar>
          <w:top w:w="0" w:type="dxa"/>
          <w:left w:w="0" w:type="dxa"/>
          <w:bottom w:w="0" w:type="dxa"/>
          <w:right w:w="0" w:type="dxa"/>
        </w:tblCellMar>
      </w:tblPr>
      <w:tblGrid>
        <w:gridCol w:w="83"/>
        <w:gridCol w:w="95"/>
        <w:gridCol w:w="10027"/>
      </w:tblGrid>
      <w:tr>
        <w:trPr/>
        <w:tc>
          <w:tcPr>
            <w:tcW w:w="83"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Stock-based consulting fees were $1,200,736 in the year ended December 31, 2010 compared to $506,042 in the prior year. The current and prior year charges result from the fair valuation of shares issued to consultants and options granted to or earned by consultants during such periods.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0" w:name="hangingindent22"/>
      <w:bookmarkStart w:id="221" w:name="hangingindent22"/>
      <w:bookmarkEnd w:id="221"/>
    </w:p>
    <w:tbl>
      <w:tblPr>
        <w:tblW w:w="5000" w:type="pct"/>
        <w:jc w:val="center"/>
        <w:tblInd w:w="0" w:type="dxa"/>
        <w:tblCellMar>
          <w:top w:w="0" w:type="dxa"/>
          <w:left w:w="0" w:type="dxa"/>
          <w:bottom w:w="0" w:type="dxa"/>
          <w:right w:w="0" w:type="dxa"/>
        </w:tblCellMar>
      </w:tblPr>
      <w:tblGrid>
        <w:gridCol w:w="90"/>
        <w:gridCol w:w="95"/>
        <w:gridCol w:w="10020"/>
      </w:tblGrid>
      <w:tr>
        <w:trPr/>
        <w:tc>
          <w:tcPr>
            <w:tcW w:w="90"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General and administrative expenses were $203,066 in the year ended December 31, 2010 compared to $85,146 in the prior year, with the increase resulting primarily from increased investor relations and travel expenses.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2" w:name="hangingindent23"/>
      <w:bookmarkStart w:id="223" w:name="hangingindent23"/>
      <w:bookmarkEnd w:id="223"/>
    </w:p>
    <w:tbl>
      <w:tblPr>
        <w:tblW w:w="5000" w:type="pct"/>
        <w:jc w:val="center"/>
        <w:tblInd w:w="0" w:type="dxa"/>
        <w:tblCellMar>
          <w:top w:w="0" w:type="dxa"/>
          <w:left w:w="0" w:type="dxa"/>
          <w:bottom w:w="0" w:type="dxa"/>
          <w:right w:w="0" w:type="dxa"/>
        </w:tblCellMar>
      </w:tblPr>
      <w:tblGrid>
        <w:gridCol w:w="84"/>
        <w:gridCol w:w="95"/>
        <w:gridCol w:w="10026"/>
      </w:tblGrid>
      <w:tr>
        <w:trPr/>
        <w:tc>
          <w:tcPr>
            <w:tcW w:w="84"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Interest and finance charges were </w:t>
            </w:r>
            <w:r>
              <w:rPr>
                <w:rFonts w:ascii="times new roman" w:hAnsi="times new roman"/>
                <w:color w:val="0000FF"/>
                <w:sz w:val="20"/>
                <w:u w:val="single"/>
                <w:bdr w:val="double" w:sz="2" w:space="1" w:color="000000"/>
              </w:rPr>
              <w:t>$1,241,078</w:t>
            </w:r>
            <w:r>
              <w:rPr>
                <w:rFonts w:ascii="Times New Roman" w:hAnsi="Times New Roman"/>
                <w:sz w:val="20"/>
              </w:rPr>
              <w:t xml:space="preserve"> during the fiscal year ended December 31, 2010 compared to $1,188,934 during the prior fiscal year. Current and prior period interest charges are primarily accretion of interest and the fair value of warrants issued with convertible notes.</w:t>
            </w:r>
          </w:p>
        </w:tc>
      </w:tr>
    </w:tbl>
    <w:p>
      <w:pPr>
        <w:pStyle w:val="TextBody"/>
        <w:spacing w:before="0" w:after="0"/>
        <w:ind w:left="0" w:right="0" w:hanging="0"/>
        <w:jc w:val="both"/>
        <w:rPr/>
      </w:pPr>
      <w:r>
        <w:rPr/>
        <w:t> </w:t>
      </w:r>
    </w:p>
    <w:p>
      <w:pPr>
        <w:pStyle w:val="Normal"/>
        <w:spacing w:before="0" w:after="0"/>
        <w:ind w:left="0" w:right="0" w:hanging="0"/>
        <w:rPr>
          <w:sz w:val="4"/>
          <w:szCs w:val="4"/>
        </w:rPr>
      </w:pPr>
      <w:r>
        <w:rPr>
          <w:sz w:val="4"/>
          <w:szCs w:val="4"/>
        </w:rPr>
      </w:r>
      <w:bookmarkStart w:id="224" w:name="hangingindent24"/>
      <w:bookmarkStart w:id="225" w:name="hangingindent24"/>
      <w:bookmarkEnd w:id="225"/>
    </w:p>
    <w:tbl>
      <w:tblPr>
        <w:tblW w:w="5000" w:type="pct"/>
        <w:jc w:val="center"/>
        <w:tblInd w:w="0" w:type="dxa"/>
        <w:tblCellMar>
          <w:top w:w="0" w:type="dxa"/>
          <w:left w:w="0" w:type="dxa"/>
          <w:bottom w:w="0" w:type="dxa"/>
          <w:right w:w="0" w:type="dxa"/>
        </w:tblCellMar>
      </w:tblPr>
      <w:tblGrid>
        <w:gridCol w:w="72"/>
        <w:gridCol w:w="95"/>
        <w:gridCol w:w="10038"/>
      </w:tblGrid>
      <w:tr>
        <w:trPr/>
        <w:tc>
          <w:tcPr>
            <w:tcW w:w="72"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were $329,177 in the year ended December 31, 2010 compared to $260,242 in the prior year, with the difference resulting primarily from a change in executive compensation during the second half of the prior year and additional directors’ fees during the current year. Additionally, our Board of Directors and management were reorganized last year, and as of June 1, 2009, a portion of the fees paid or accrued to our Chief Executive Officer have been allocated to research and development.</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6" w:name="PGBRK19"/>
      <w:bookmarkStart w:id="227" w:name="PGBRK19"/>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 w:name="FTR19"/>
      <w:bookmarkStart w:id="229" w:name="FTR19"/>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0" w:name="GLFTR19"/>
      <w:bookmarkEnd w:id="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1" w:name="PN19"/>
      <w:bookmarkEnd w:id="231"/>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2" w:name="HDR19"/>
      <w:bookmarkStart w:id="233" w:name="HDR19"/>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4" w:name="GLHDR19"/>
      <w:bookmarkEnd w:id="2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35" w:name="hangingindent25"/>
      <w:bookmarkStart w:id="236" w:name="hangingindent25"/>
      <w:bookmarkEnd w:id="236"/>
    </w:p>
    <w:tbl>
      <w:tblPr>
        <w:tblW w:w="5000" w:type="pct"/>
        <w:jc w:val="center"/>
        <w:tblInd w:w="0" w:type="dxa"/>
        <w:tblCellMar>
          <w:top w:w="0" w:type="dxa"/>
          <w:left w:w="0" w:type="dxa"/>
          <w:bottom w:w="0" w:type="dxa"/>
          <w:right w:w="0" w:type="dxa"/>
        </w:tblCellMar>
      </w:tblPr>
      <w:tblGrid>
        <w:gridCol w:w="84"/>
        <w:gridCol w:w="95"/>
        <w:gridCol w:w="10026"/>
      </w:tblGrid>
      <w:tr>
        <w:trPr/>
        <w:tc>
          <w:tcPr>
            <w:tcW w:w="84"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compensation – stock-based were $1,087,915 in the year ended December 31, 2010 compared to $2,019,660 in the prior year. The current and prior year charges result from the fair valuation of options granted to management that were earned during the period.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7" w:name="hangingindent26"/>
      <w:bookmarkStart w:id="238" w:name="hangingindent26"/>
      <w:bookmarkEnd w:id="238"/>
    </w:p>
    <w:tbl>
      <w:tblPr>
        <w:tblW w:w="5000" w:type="pct"/>
        <w:jc w:val="center"/>
        <w:tblInd w:w="0" w:type="dxa"/>
        <w:tblCellMar>
          <w:top w:w="0" w:type="dxa"/>
          <w:left w:w="0" w:type="dxa"/>
          <w:bottom w:w="0" w:type="dxa"/>
          <w:right w:w="0" w:type="dxa"/>
        </w:tblCellMar>
      </w:tblPr>
      <w:tblGrid>
        <w:gridCol w:w="86"/>
        <w:gridCol w:w="95"/>
        <w:gridCol w:w="10024"/>
      </w:tblGrid>
      <w:tr>
        <w:trPr/>
        <w:tc>
          <w:tcPr>
            <w:tcW w:w="86"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Professional fees were $742,338 in the year ended December 31, 2010 compared to $673,227 in the prior year. The increase from the prior year results from significant activity relating to debt restructuring and continuing patent applications in the current year.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9" w:name="hangingindent27"/>
      <w:bookmarkStart w:id="240" w:name="hangingindent27"/>
      <w:bookmarkEnd w:id="240"/>
    </w:p>
    <w:tbl>
      <w:tblPr>
        <w:tblW w:w="5000" w:type="pct"/>
        <w:jc w:val="center"/>
        <w:tblInd w:w="0" w:type="dxa"/>
        <w:tblCellMar>
          <w:top w:w="0" w:type="dxa"/>
          <w:left w:w="0" w:type="dxa"/>
          <w:bottom w:w="0" w:type="dxa"/>
          <w:right w:w="0" w:type="dxa"/>
        </w:tblCellMar>
      </w:tblPr>
      <w:tblGrid>
        <w:gridCol w:w="72"/>
        <w:gridCol w:w="95"/>
        <w:gridCol w:w="10038"/>
      </w:tblGrid>
      <w:tr>
        <w:trPr/>
        <w:tc>
          <w:tcPr>
            <w:tcW w:w="72"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Research and development costs during the fiscal year ended December 31, 2010 were $290,048 compared to $93,041 during the prior fiscal year. The increase results from research and consulting service agreements in effect with Crucell and Mayo Foundation during the current fiscal year. Our Board of Directors and management were reorganized during the year, and as of June 1, 2009, a portion of the fees paid or accrued to our Chief Executive Officer have been allocated to research and development.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fiscal year ended December 31, 2010, we recorded a net gain on settlement of debt of $53,589 compared to a loss of $12,175,982 in the prior year. The current year gain was recognized due to write off of accrued interest charges and credit received for consulting services compared to retirement of debt and obligations through conversion to equity and debt settlement arrangements with creditors in the last fiscal year. Foreign exchange loss decreased to $1,237 during the fiscal year ended December 31, 2010 from a loss of $38,069 in the prior year. Interest income was $nil during the fiscal year ended December 31, 2010 compared to $2,814 in the prior year. Loss on disposal of assets decreased to $nil during the fiscal year ended December 31, 2010 from $5,399 in the prior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net loss for the year ended December 31, 2010 was $5,090,651 or ($0.13) per share, compared to a net loss of $17,599,008 or ($0.89) per share in the prior period. The weighted average number of shares outstanding was 39,803,173 for the year ended December 31, 2010 compared to 19,704,002 for the prior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Liquidity and Capital Resources</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our cash and working capital as of December 31, 2009 and 2008:</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7355"/>
        <w:gridCol w:w="109"/>
        <w:gridCol w:w="127"/>
        <w:gridCol w:w="1090"/>
        <w:gridCol w:w="115"/>
        <w:gridCol w:w="109"/>
        <w:gridCol w:w="127"/>
        <w:gridCol w:w="1049"/>
        <w:gridCol w:w="124"/>
      </w:tblGrid>
      <w:tr>
        <w:trPr/>
        <w:tc>
          <w:tcPr>
            <w:tcW w:w="7355"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9" w:type="dxa"/>
            <w:tcBorders>
              <w:top w:val="single" w:sz="12" w:space="0" w:color="000000"/>
            </w:tcBorders>
            <w:shd w:fill="auto" w:val="clear"/>
            <w:tcMar>
              <w:bottom w:w="0" w:type="dxa"/>
            </w:tcMar>
            <w:vAlign w:val="bottom"/>
          </w:tcPr>
          <w:p>
            <w:pPr>
              <w:pStyle w:val="TableContents"/>
              <w:spacing w:before="0" w:after="283"/>
              <w:rPr/>
            </w:pPr>
            <w:r>
              <w:rPr/>
              <w:t> </w:t>
            </w:r>
          </w:p>
        </w:tc>
        <w:tc>
          <w:tcPr>
            <w:tcW w:w="1217"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2010</w:t>
            </w:r>
          </w:p>
        </w:tc>
        <w:tc>
          <w:tcPr>
            <w:tcW w:w="115"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9" w:type="dxa"/>
            <w:tcBorders>
              <w:top w:val="single" w:sz="12" w:space="0" w:color="000000"/>
            </w:tcBorders>
            <w:shd w:fill="auto" w:val="clear"/>
            <w:tcMar>
              <w:bottom w:w="0" w:type="dxa"/>
            </w:tcMar>
            <w:vAlign w:val="bottom"/>
          </w:tcPr>
          <w:p>
            <w:pPr>
              <w:pStyle w:val="TableContents"/>
              <w:spacing w:before="0" w:after="283"/>
              <w:rPr/>
            </w:pPr>
            <w:r>
              <w:rPr/>
              <w:t> </w:t>
            </w:r>
          </w:p>
        </w:tc>
        <w:tc>
          <w:tcPr>
            <w:tcW w:w="117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2009</w:t>
            </w:r>
          </w:p>
        </w:tc>
        <w:tc>
          <w:tcPr>
            <w:tcW w:w="124"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7355" w:type="dxa"/>
            <w:tcBorders/>
            <w:shd w:fill="auto" w:val="clear"/>
            <w:tcMar>
              <w:top w:w="0" w:type="dxa"/>
              <w:bottom w:w="0" w:type="dxa"/>
            </w:tcMar>
            <w:vAlign w:val="bottom"/>
          </w:tcPr>
          <w:p>
            <w:pPr>
              <w:pStyle w:val="TableContents"/>
              <w:spacing w:before="0" w:after="283"/>
              <w:rPr/>
            </w:pPr>
            <w:r>
              <w:rPr/>
              <w:t xml:space="preserve">  </w:t>
            </w:r>
          </w:p>
        </w:tc>
        <w:tc>
          <w:tcPr>
            <w:tcW w:w="109" w:type="dxa"/>
            <w:tcBorders/>
            <w:shd w:fill="auto" w:val="clear"/>
            <w:tcMar>
              <w:top w:w="0" w:type="dxa"/>
              <w:bottom w:w="0" w:type="dxa"/>
            </w:tcMar>
            <w:vAlign w:val="bottom"/>
          </w:tcPr>
          <w:p>
            <w:pPr>
              <w:pStyle w:val="TableContents"/>
              <w:spacing w:before="0" w:after="283"/>
              <w:rPr/>
            </w:pPr>
            <w:r>
              <w:rPr/>
              <w:t> </w:t>
            </w:r>
          </w:p>
        </w:tc>
        <w:tc>
          <w:tcPr>
            <w:tcW w:w="1217" w:type="dxa"/>
            <w:gridSpan w:val="2"/>
            <w:tcBorders/>
            <w:shd w:fill="auto" w:val="clear"/>
            <w:tcMar>
              <w:top w:w="0" w:type="dxa"/>
              <w:bottom w:w="0" w:type="dxa"/>
            </w:tcMar>
            <w:vAlign w:val="bottom"/>
          </w:tcPr>
          <w:p>
            <w:pPr>
              <w:pStyle w:val="TableContents"/>
              <w:spacing w:before="0" w:after="283"/>
              <w:rPr/>
            </w:pPr>
            <w:r>
              <w:rPr/>
              <w:t> </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09" w:type="dxa"/>
            <w:tcBorders/>
            <w:shd w:fill="auto" w:val="clear"/>
            <w:tcMar>
              <w:top w:w="0" w:type="dxa"/>
              <w:bottom w:w="0" w:type="dxa"/>
            </w:tcMar>
            <w:vAlign w:val="bottom"/>
          </w:tcPr>
          <w:p>
            <w:pPr>
              <w:pStyle w:val="TableContents"/>
              <w:spacing w:before="0" w:after="283"/>
              <w:rPr/>
            </w:pPr>
            <w:r>
              <w:rPr/>
              <w:t> </w:t>
            </w:r>
          </w:p>
        </w:tc>
        <w:tc>
          <w:tcPr>
            <w:tcW w:w="1176" w:type="dxa"/>
            <w:gridSpan w:val="2"/>
            <w:tcBorders/>
            <w:shd w:fill="auto" w:val="clear"/>
            <w:tcMar>
              <w:top w:w="0" w:type="dxa"/>
              <w:bottom w:w="0" w:type="dxa"/>
            </w:tcMar>
            <w:vAlign w:val="bottom"/>
          </w:tcPr>
          <w:p>
            <w:pPr>
              <w:pStyle w:val="TableContents"/>
              <w:spacing w:before="0" w:after="283"/>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7355" w:type="dxa"/>
            <w:tcBorders/>
            <w:shd w:fill="auto" w:val="clear"/>
            <w:tcMar>
              <w:top w:w="0" w:type="dxa"/>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Cash reserves</w:t>
            </w:r>
          </w:p>
        </w:tc>
        <w:tc>
          <w:tcPr>
            <w:tcW w:w="109" w:type="dxa"/>
            <w:tcBorders/>
            <w:shd w:fill="auto" w:val="clear"/>
            <w:tcMar>
              <w:top w:w="0" w:type="dxa"/>
              <w:bottom w:w="0" w:type="dxa"/>
            </w:tcMar>
            <w:vAlign w:val="bottom"/>
          </w:tcPr>
          <w:p>
            <w:pPr>
              <w:pStyle w:val="TableContents"/>
              <w:spacing w:before="0" w:after="283"/>
              <w:jc w:val="right"/>
              <w:rPr/>
            </w:pPr>
            <w:r>
              <w:rPr/>
              <w:t> </w:t>
            </w:r>
          </w:p>
        </w:tc>
        <w:tc>
          <w:tcPr>
            <w:tcW w:w="127"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23,516</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09" w:type="dxa"/>
            <w:tcBorders/>
            <w:shd w:fill="auto" w:val="clear"/>
            <w:tcMar>
              <w:top w:w="0" w:type="dxa"/>
              <w:bottom w:w="0" w:type="dxa"/>
            </w:tcMar>
            <w:vAlign w:val="bottom"/>
          </w:tcPr>
          <w:p>
            <w:pPr>
              <w:pStyle w:val="TableContents"/>
              <w:spacing w:before="0" w:after="283"/>
              <w:jc w:val="right"/>
              <w:rPr/>
            </w:pPr>
            <w:r>
              <w:rPr/>
              <w:t> </w:t>
            </w:r>
          </w:p>
        </w:tc>
        <w:tc>
          <w:tcPr>
            <w:tcW w:w="127"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24" w:type="dxa"/>
            <w:tcBorders/>
            <w:shd w:fill="auto" w:val="clear"/>
            <w:tcMar>
              <w:top w:w="0" w:type="dxa"/>
              <w:bottom w:w="0" w:type="dxa"/>
            </w:tcMar>
            <w:vAlign w:val="bottom"/>
          </w:tcPr>
          <w:p>
            <w:pPr>
              <w:pStyle w:val="TableContents"/>
              <w:spacing w:before="0" w:after="283"/>
              <w:jc w:val="left"/>
              <w:rPr/>
            </w:pPr>
            <w:r>
              <w:rPr/>
              <w:t> </w:t>
            </w:r>
          </w:p>
        </w:tc>
      </w:tr>
      <w:tr>
        <w:trPr/>
        <w:tc>
          <w:tcPr>
            <w:tcW w:w="7355" w:type="dxa"/>
            <w:tcBorders>
              <w:bottom w:val="double" w:sz="8" w:space="0" w:color="000000"/>
            </w:tcBorders>
            <w:shd w:fill="auto" w:val="clear"/>
            <w:tcMar>
              <w:top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Working capital (deficit)</w:t>
            </w:r>
          </w:p>
        </w:tc>
        <w:tc>
          <w:tcPr>
            <w:tcW w:w="109" w:type="dxa"/>
            <w:tcBorders/>
            <w:shd w:fill="auto" w:val="clear"/>
            <w:tcMar>
              <w:top w:w="0" w:type="dxa"/>
              <w:bottom w:w="0" w:type="dxa"/>
            </w:tcMar>
            <w:vAlign w:val="bottom"/>
          </w:tcPr>
          <w:p>
            <w:pPr>
              <w:pStyle w:val="TableContents"/>
              <w:spacing w:before="0" w:after="283"/>
              <w:jc w:val="right"/>
              <w:rPr/>
            </w:pPr>
            <w:r>
              <w:rPr/>
              <w:t> </w:t>
            </w:r>
          </w:p>
        </w:tc>
        <w:tc>
          <w:tcPr>
            <w:tcW w:w="12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(3,272,489</w:t>
            </w:r>
          </w:p>
        </w:tc>
        <w:tc>
          <w:tcPr>
            <w:tcW w:w="11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auto" w:val="clear"/>
            <w:tcMar>
              <w:top w:w="0" w:type="dxa"/>
              <w:bottom w:w="0" w:type="dxa"/>
            </w:tcMar>
            <w:vAlign w:val="bottom"/>
          </w:tcPr>
          <w:p>
            <w:pPr>
              <w:pStyle w:val="TableContents"/>
              <w:spacing w:before="0" w:after="283"/>
              <w:jc w:val="right"/>
              <w:rPr/>
            </w:pPr>
            <w:r>
              <w:rPr/>
              <w:t> </w:t>
            </w:r>
          </w:p>
        </w:tc>
        <w:tc>
          <w:tcPr>
            <w:tcW w:w="12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(629,388</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Subject to the availability of additional financing, we intend to spend approximately $5,000,000 over the next twelve months in carrying out our plan of operations. At December 31, 2010, we had $23,516 of cash on hand and a working capital deficit of $3,272,489. As such, our working capital at December 31, 2010 will not be sufficient to enable us to pay our general and administrative expenses, and to pursue our plan of operations over the next twelve months. We anticipate that we will require additional funding of approximately $5,000,000. Our management is currently making significant efforts to secure the needed financing, but we have not yet secured any commitments with respect to such financing. If we are not able to obtain financing in the amounts required or on terms that are acceptable to us, we may be forced to scale back, or abandon, our plan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Various conditions outside of our control may detract from our ability to raise the capital needed to execute our plan of operations, including overall market conditions in the international and local economies. We recognize that the United States economy has suffered through a period of uncertainty during which the capital markets have been depressed from levels established twelve months ago, and that there is no certainty that these levels will stabilize or reverse. Any of these factors could have a material impact upon our ability to raise financing and, as a result, upon our short-term or long-term liquidity.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1" w:name="PGBRK20"/>
      <w:bookmarkStart w:id="242" w:name="PGBRK20"/>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3" w:name="FTR20"/>
      <w:bookmarkStart w:id="244" w:name="FTR20"/>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5" w:name="GLFTR20"/>
      <w:bookmarkEnd w:id="2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6" w:name="PN20"/>
      <w:bookmarkEnd w:id="246"/>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7" w:name="HDR20"/>
      <w:bookmarkStart w:id="248" w:name="HDR20"/>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9" w:name="GLHDR20"/>
      <w:bookmarkEnd w:id="2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Going Concern</w:t>
      </w:r>
    </w:p>
    <w:p>
      <w:pPr>
        <w:pStyle w:val="TextBody"/>
        <w:spacing w:before="0" w:after="0"/>
        <w:ind w:left="0" w:right="0" w:hanging="0"/>
        <w:jc w:val="both"/>
        <w:rPr>
          <w:rFonts w:ascii="Times New Roman" w:hAnsi="Times New Roman"/>
          <w:sz w:val="20"/>
        </w:rPr>
      </w:pPr>
      <w:r>
        <w:rPr>
          <w:rFonts w:ascii="Times New Roman" w:hAnsi="Times New Roman"/>
          <w:sz w:val="20"/>
        </w:rPr>
        <w:t>We have no sources of revenue to provide incoming cash flows to sustain our future operations. As outlined above, our ability to pursue our planned business activities is dependent upon our successful efforts to raise additional equity financing. 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As at December 31, 2010, we had accumulated losses of $43,501,765 since inception. Our financial statements do not include any adjustments to the recoverability and classification of recorded asset amounts and classification of liabilities that might be necessary should we be unable to continue as a going concern.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Net Cash Used in Operating Activities</w:t>
      </w:r>
    </w:p>
    <w:p>
      <w:pPr>
        <w:pStyle w:val="TextBody"/>
        <w:spacing w:before="0" w:after="0"/>
        <w:ind w:left="0" w:right="0" w:hanging="0"/>
        <w:jc w:val="both"/>
        <w:rPr>
          <w:rFonts w:ascii="Times New Roman" w:hAnsi="Times New Roman"/>
          <w:sz w:val="20"/>
        </w:rPr>
      </w:pPr>
      <w:r>
        <w:rPr>
          <w:rFonts w:ascii="Times New Roman" w:hAnsi="Times New Roman"/>
          <w:sz w:val="20"/>
        </w:rPr>
        <w:t>Operating activities in the year ended December 31, 2010 used cash of $925,041 compared to $1,121,726 in the year ended December 31, 2009. Operating activities in the period from inception on July 27, 1999 to December 31, 2010 used cash of $13,544,563. Operating activities have primarily used cash as a result of the operating and organizational activities such as consulting fees, management fees, professional fees and research and development.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Net Cash Used in Investing Activities</w:t>
      </w:r>
    </w:p>
    <w:p>
      <w:pPr>
        <w:pStyle w:val="TextBody"/>
        <w:spacing w:before="0" w:after="0"/>
        <w:ind w:left="0" w:right="0" w:hanging="0"/>
        <w:jc w:val="both"/>
        <w:rPr>
          <w:rFonts w:ascii="Times New Roman" w:hAnsi="Times New Roman"/>
          <w:sz w:val="20"/>
        </w:rPr>
      </w:pPr>
      <w:r>
        <w:rPr>
          <w:rFonts w:ascii="Times New Roman" w:hAnsi="Times New Roman"/>
          <w:sz w:val="20"/>
        </w:rPr>
        <w:t>In the year ended December 31, 2010, investing activities used cash of $Nil compared to $Nil in the year ended December 31, 2009. In the period from inception on July 27, 1999 to December 31, 2010 investing activities provided cash of $204,747.</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Net Cash Provided by Financing Activities</w:t>
      </w:r>
    </w:p>
    <w:p>
      <w:pPr>
        <w:pStyle w:val="TextBody"/>
        <w:spacing w:before="0" w:after="0"/>
        <w:ind w:left="0" w:right="0" w:hanging="0"/>
        <w:jc w:val="both"/>
        <w:rPr>
          <w:rFonts w:ascii="Times New Roman" w:hAnsi="Times New Roman"/>
          <w:sz w:val="20"/>
        </w:rPr>
      </w:pPr>
      <w:r>
        <w:rPr>
          <w:rFonts w:ascii="Times New Roman" w:hAnsi="Times New Roman"/>
          <w:sz w:val="20"/>
        </w:rPr>
        <w:t>As we have had no revenues since inception, we have financed our operations primarily through private placements of our stock. Financing activities in the year ended December 31, 2010 provided cash of $807,126 compared to $1,262,170 in the year ended December 31, 2009. In the period from inception on July 27, 1999 to December 31, 2010, financing activities provided net cash of $13,363,332 primarily from the sale of our equity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Critical Accounting Policies</w:t>
      </w:r>
    </w:p>
    <w:p>
      <w:pPr>
        <w:pStyle w:val="TextBody"/>
        <w:spacing w:before="0" w:after="0"/>
        <w:ind w:left="0" w:right="0" w:hanging="0"/>
        <w:jc w:val="both"/>
        <w:rPr>
          <w:rFonts w:ascii="Times New Roman" w:hAnsi="Times New Roman"/>
          <w:sz w:val="20"/>
        </w:rPr>
      </w:pPr>
      <w:r>
        <w:rPr>
          <w:rFonts w:ascii="Times New Roman" w:hAnsi="Times New Roman"/>
          <w:sz w:val="20"/>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See Note 2 of our consolidated financial statements for our year ended December 31, 2010 for a summary of significant accounting policies.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rFonts w:ascii="Times New Roman" w:hAnsi="Times New Roman"/>
          <w:sz w:val="20"/>
        </w:rPr>
      </w:pPr>
      <w:r>
        <w:rPr>
          <w:rFonts w:ascii="Times New Roman" w:hAnsi="Times New Roman"/>
          <w:sz w:val="20"/>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7A.                   QUANTITATIVE AND QUALITATIVE DISCLOSURES ABOUT MARKET RISK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a smaller reporting company as defined by Rule 12b-2 of the Exchange Act and are not required to provide the information required under this item.</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0" w:name="PGBRK21"/>
      <w:bookmarkStart w:id="251" w:name="PGBRK21"/>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2" w:name="FTR21"/>
      <w:bookmarkStart w:id="253" w:name="FTR21"/>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4" w:name="GLFTR21"/>
      <w:bookmarkEnd w:id="2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5" w:name="PN21"/>
      <w:bookmarkEnd w:id="255"/>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6" w:name="HDR21"/>
      <w:bookmarkStart w:id="257" w:name="HDR21"/>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8" w:name="GLHDR21"/>
      <w:bookmarkEnd w:id="2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8.                      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FINANCIAL STATEMENTS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2010 AND 2009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Report of Independent Registered Public Accounting Firm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Consolidated Statements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Notes to the Consolidated Financial Statements</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9" w:name="PGBRK22"/>
      <w:bookmarkStart w:id="260" w:name="PGBRK22"/>
      <w:bookmarkEnd w:id="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1" w:name="FTR22"/>
      <w:bookmarkStart w:id="262" w:name="FTR22"/>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3" w:name="GLFTR22"/>
      <w:bookmarkEnd w:id="2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4" w:name="PN22"/>
      <w:bookmarkEnd w:id="264"/>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5" w:name="HDR22"/>
      <w:bookmarkStart w:id="266" w:name="HDR22"/>
      <w:bookmarkEnd w:id="2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7" w:name="GLHDR22"/>
      <w:bookmarkEnd w:id="2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jc w:val="center"/>
        <w:rPr>
          <w:rFonts w:ascii="times new roman" w:hAnsi="times new roman"/>
          <w:b w:val="false"/>
          <w:strike/>
          <w:color w:val="FF0000"/>
          <w:sz w:val="20"/>
        </w:rPr>
      </w:pPr>
      <w:r>
        <w:rPr>
          <w:rFonts w:ascii="times new roman" w:hAnsi="times new roman"/>
          <w:b w:val="false"/>
          <w:strike/>
          <w:color w:val="FF0000"/>
          <w:sz w:val="20"/>
        </w:rPr>
        <w:t>"DRAFT"</w:t>
      </w:r>
    </w:p>
    <w:p>
      <w:pPr>
        <w:pStyle w:val="TextBody"/>
        <w:spacing w:before="0" w:after="0"/>
        <w:jc w:val="center"/>
        <w:rPr/>
      </w:pPr>
      <w:r>
        <w:rPr/>
        <w:t> </w:t>
      </w:r>
    </w:p>
    <w:p>
      <w:pPr>
        <w:pStyle w:val="TextBody"/>
        <w:spacing w:before="0" w:after="0"/>
        <w:jc w:val="center"/>
        <w:rPr>
          <w:rFonts w:ascii="Times New Roman" w:hAnsi="Times New Roman"/>
          <w:b/>
          <w:sz w:val="20"/>
        </w:rPr>
      </w:pPr>
      <w:r>
        <w:rPr>
          <w:rFonts w:ascii="Times New Roman" w:hAnsi="Times New Roman"/>
          <w:b/>
          <w:sz w:val="20"/>
        </w:rPr>
        <w:t>REPORT OF INDEPENDENT REGISTERED PUBLIC ACCOUNTING FIRM</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jc w:val="left"/>
        <w:rPr>
          <w:rFonts w:ascii="Times New Roman" w:hAnsi="Times New Roman"/>
          <w:sz w:val="20"/>
        </w:rPr>
      </w:pPr>
      <w:r>
        <w:rPr>
          <w:rFonts w:ascii="Times New Roman" w:hAnsi="Times New Roman"/>
          <w:sz w:val="20"/>
        </w:rPr>
        <w:t>To the Stockholders and Board of Directors of TapImmune Inc.</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jc w:val="both"/>
        <w:rPr>
          <w:rFonts w:ascii="Times New Roman" w:hAnsi="Times New Roman"/>
          <w:sz w:val="20"/>
        </w:rPr>
      </w:pPr>
      <w:r>
        <w:rPr>
          <w:rFonts w:ascii="Times New Roman" w:hAnsi="Times New Roman"/>
          <w:sz w:val="20"/>
        </w:rPr>
        <w:t>We have audited the accompanying consolidated balance sheets of TapImmune Inc.(a development stage company) as of December 31, 2010 and 2009 and the related consolidated statements of operations, stockholders’ deficit and cash flows for the years ended December 2010 and 2009 and the period from July 27, 1999 (inception) through December 31, 2010.  These financial statements are the responsibility of the Company's management.  Our responsibility is to express an opinion on these financial statements based on our audits.</w:t>
      </w:r>
    </w:p>
    <w:p>
      <w:pPr>
        <w:pStyle w:val="TextBody"/>
        <w:spacing w:before="0" w:after="0"/>
        <w:ind w:left="0" w:right="0" w:hanging="0"/>
        <w:rPr/>
      </w:pPr>
      <w:r>
        <w:rPr/>
      </w:r>
    </w:p>
    <w:p>
      <w:pPr>
        <w:pStyle w:val="TextBody"/>
        <w:spacing w:before="0" w:after="0"/>
        <w:jc w:val="both"/>
        <w:rPr>
          <w:rFonts w:ascii="Times New Roman" w:hAnsi="Times New Roman"/>
          <w:sz w:val="20"/>
        </w:rPr>
      </w:pPr>
      <w:r>
        <w:rPr>
          <w:rFonts w:ascii="Times New Roman" w:hAnsi="Times New Roman"/>
          <w:sz w:val="20"/>
        </w:rPr>
        <w:t>We conducted our audits in accordance with the standards of the Public Company Accounting Oversight Board (United States).  Those standards require that we plan and perform an audit to obtain reasonable assurance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pStyle w:val="TextBody"/>
        <w:spacing w:before="0" w:after="0"/>
        <w:ind w:left="0" w:right="0" w:hanging="0"/>
        <w:rPr/>
      </w:pPr>
      <w:r>
        <w:rPr/>
      </w:r>
    </w:p>
    <w:p>
      <w:pPr>
        <w:pStyle w:val="TextBody"/>
        <w:spacing w:before="0" w:after="0"/>
        <w:jc w:val="both"/>
        <w:rPr>
          <w:rFonts w:ascii="Times New Roman" w:hAnsi="Times New Roman"/>
          <w:sz w:val="20"/>
        </w:rPr>
      </w:pPr>
      <w:r>
        <w:rPr>
          <w:rFonts w:ascii="Times New Roman" w:hAnsi="Times New Roman"/>
          <w:sz w:val="20"/>
        </w:rPr>
        <w:t>In our opinion, these consolidated financial statements present fairly, in all material respects, the financial position of TapImmune Inc. as of December 31, 2010 and 2009 and the results of its operations and its cash flows for the years ended December 31, 2010 and 2009 and the period from July 27, 1999 (inception) through December 31, 2010 in conformity with accounting principles generally accepted in the United States of America.</w:t>
      </w:r>
    </w:p>
    <w:p>
      <w:pPr>
        <w:pStyle w:val="TextBody"/>
        <w:spacing w:before="0" w:after="0"/>
        <w:ind w:left="0" w:right="0" w:hanging="0"/>
        <w:rPr/>
      </w:pPr>
      <w:r>
        <w:rPr/>
      </w:r>
    </w:p>
    <w:p>
      <w:pPr>
        <w:pStyle w:val="TextBody"/>
        <w:spacing w:before="0" w:after="0"/>
        <w:jc w:val="both"/>
        <w:rPr>
          <w:rFonts w:ascii="Times New Roman" w:hAnsi="Times New Roman"/>
          <w:sz w:val="20"/>
        </w:rPr>
      </w:pPr>
      <w:r>
        <w:rPr>
          <w:rFonts w:ascii="Times New Roman" w:hAnsi="Times New Roman"/>
          <w:sz w:val="20"/>
        </w:rPr>
        <w:t>The accompanying consolidated financial statements have been prepared assuming that the Company will continue as a going concern.  As discussed in Note 1 to the financial statements, the Company has not generated revenues since inception, has incurred losses in developing its business, and further losses are anticipated.  The Company requires additional funds to meet its obligations and the costs of its operations.  These factors raise substantial doubt about the Company’s ability to continue as a going concern.  Management’s plans in this regard are described in Note 1.  The financial statements do not include any adjustments that might result from the outcome of this uncertainty.</w:t>
      </w:r>
    </w:p>
    <w:p>
      <w:pPr>
        <w:pStyle w:val="TextBody"/>
        <w:spacing w:before="0" w:after="0"/>
        <w:ind w:left="0" w:right="0" w:hanging="0"/>
        <w:rPr/>
      </w:pPr>
      <w:r>
        <w:rPr/>
        <w:t> </w:t>
      </w:r>
    </w:p>
    <w:p>
      <w:pPr>
        <w:pStyle w:val="TextBody"/>
        <w:spacing w:before="0" w:after="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Our previous report dated April 15, 2011 has been withdrawn and the accompanying financial statements restated to correct misstatements as disclosed in Note 1A.</w:t>
      </w:r>
    </w:p>
    <w:p>
      <w:pPr>
        <w:pStyle w:val="TextBody"/>
        <w:spacing w:before="0" w:after="0"/>
        <w:ind w:left="0" w:right="0" w:hanging="0"/>
        <w:rPr/>
      </w:pPr>
      <w:r>
        <w:rPr/>
        <w:t> </w:t>
      </w:r>
    </w:p>
    <w:p>
      <w:pPr>
        <w:pStyle w:val="TextBody"/>
        <w:spacing w:before="0" w:after="0"/>
        <w:ind w:left="6930" w:right="0" w:hanging="0"/>
        <w:jc w:val="left"/>
        <w:rPr>
          <w:color w:val="0000FF"/>
          <w:u w:val="single"/>
        </w:rPr>
      </w:pPr>
      <w:bookmarkStart w:id="268" w:name="TAB13"/>
      <w:bookmarkEnd w:id="268"/>
      <w:r>
        <w:rPr>
          <w:color w:val="0000FF"/>
          <w:u w:val="single"/>
        </w:rPr>
        <w:t>“</w:t>
      </w:r>
      <w:r>
        <w:rPr>
          <w:rFonts w:ascii="times new roman" w:hAnsi="times new roman"/>
          <w:color w:val="0000FF"/>
          <w:sz w:val="20"/>
          <w:u w:val="single"/>
        </w:rPr>
        <w:t>DMCL”</w:t>
      </w:r>
    </w:p>
    <w:p>
      <w:pPr>
        <w:pStyle w:val="TextBody"/>
        <w:spacing w:before="0" w:after="0"/>
        <w:ind w:left="0" w:right="0" w:hanging="0"/>
        <w:rPr/>
      </w:pPr>
      <w:r>
        <w:rPr/>
        <w:t> </w:t>
      </w:r>
    </w:p>
    <w:p>
      <w:pPr>
        <w:pStyle w:val="TextBody"/>
        <w:spacing w:before="0" w:after="0"/>
        <w:ind w:left="0" w:right="0" w:hanging="0"/>
        <w:rPr/>
      </w:pPr>
      <w:bookmarkStart w:id="269" w:name="TAB29"/>
      <w:bookmarkEnd w:id="269"/>
      <w:r>
        <w:rPr>
          <w:spacing w:val="180"/>
        </w:rPr>
        <w:t>   </w:t>
      </w:r>
      <w:bookmarkStart w:id="270" w:name="TAB28"/>
      <w:bookmarkEnd w:id="270"/>
      <w:r>
        <w:rPr>
          <w:spacing w:val="180"/>
        </w:rPr>
        <w:t>   </w:t>
      </w:r>
      <w:bookmarkStart w:id="271" w:name="TAB27"/>
      <w:bookmarkEnd w:id="271"/>
      <w:r>
        <w:rPr>
          <w:spacing w:val="180"/>
        </w:rPr>
        <w:t>   </w:t>
      </w:r>
      <w:bookmarkStart w:id="272" w:name="TAB26"/>
      <w:bookmarkEnd w:id="272"/>
      <w:r>
        <w:rPr>
          <w:spacing w:val="180"/>
        </w:rPr>
        <w:t>   </w:t>
      </w:r>
      <w:bookmarkStart w:id="273" w:name="TAB25"/>
      <w:bookmarkEnd w:id="273"/>
      <w:r>
        <w:rPr>
          <w:spacing w:val="180"/>
        </w:rPr>
        <w:t>   </w:t>
      </w:r>
      <w:bookmarkStart w:id="274" w:name="TAB24"/>
      <w:bookmarkEnd w:id="274"/>
      <w:r>
        <w:rPr>
          <w:spacing w:val="180"/>
        </w:rPr>
        <w:t>   </w:t>
      </w:r>
      <w:bookmarkStart w:id="275" w:name="TAB23"/>
      <w:bookmarkEnd w:id="275"/>
      <w:r>
        <w:rPr>
          <w:spacing w:val="180"/>
        </w:rPr>
        <w:t>   </w:t>
      </w:r>
      <w:bookmarkStart w:id="276" w:name="TAB22"/>
      <w:bookmarkEnd w:id="276"/>
      <w:r>
        <w:rPr>
          <w:spacing w:val="180"/>
        </w:rPr>
        <w:t>   </w:t>
      </w:r>
      <w:bookmarkStart w:id="277" w:name="TAB21"/>
      <w:bookmarkEnd w:id="277"/>
      <w:r>
        <w:rPr>
          <w:spacing w:val="180"/>
        </w:rPr>
        <w:t>   </w:t>
      </w:r>
      <w:bookmarkStart w:id="278" w:name="TAB2"/>
      <w:bookmarkEnd w:id="278"/>
      <w:r>
        <w:rPr>
          <w:spacing w:val="180"/>
        </w:rPr>
        <w:t>   </w:t>
      </w:r>
      <w:r>
        <w:rPr/>
        <w:t> </w:t>
      </w:r>
      <w:r>
        <w:rPr>
          <w:rFonts w:ascii="Times New Roman" w:hAnsi="Times New Roman"/>
          <w:sz w:val="20"/>
        </w:rPr>
        <w:t>DALE MATHESON CARR-HILTON LABONTE LLP</w:t>
      </w:r>
    </w:p>
    <w:p>
      <w:pPr>
        <w:pStyle w:val="TextBody"/>
        <w:spacing w:before="0" w:after="0"/>
        <w:jc w:val="left"/>
        <w:rPr>
          <w:rFonts w:ascii="Times New Roman" w:hAnsi="Times New Roman"/>
          <w:sz w:val="20"/>
        </w:rPr>
      </w:pPr>
      <w:r>
        <w:rPr>
          <w:rFonts w:ascii="Times New Roman" w:hAnsi="Times New Roman"/>
          <w:sz w:val="20"/>
        </w:rPr>
        <w:t>Vancouver, Canada                                                                                                     CHARTERED ACCOUNTANTS</w:t>
      </w:r>
    </w:p>
    <w:p>
      <w:pPr>
        <w:pStyle w:val="TextBody"/>
        <w:spacing w:before="0" w:after="0"/>
        <w:jc w:val="left"/>
        <w:rPr>
          <w:rFonts w:ascii="Times New Roman" w:hAnsi="Times New Roman"/>
          <w:sz w:val="20"/>
        </w:rPr>
      </w:pPr>
      <w:r>
        <w:rPr>
          <w:rFonts w:ascii="Times New Roman" w:hAnsi="Times New Roman"/>
          <w:sz w:val="20"/>
        </w:rPr>
        <w:t xml:space="preserve">April 15, 2011 (except for Note 1A, which </w:t>
      </w:r>
    </w:p>
    <w:p>
      <w:pPr>
        <w:pStyle w:val="TextBody"/>
        <w:spacing w:before="0" w:after="0"/>
        <w:jc w:val="left"/>
        <w:rPr>
          <w:rFonts w:ascii="Times New Roman" w:hAnsi="Times New Roman"/>
          <w:sz w:val="20"/>
        </w:rPr>
      </w:pPr>
      <w:r>
        <w:rPr>
          <w:rFonts w:ascii="Times New Roman" w:hAnsi="Times New Roman"/>
          <w:sz w:val="20"/>
        </w:rPr>
        <w:t xml:space="preserve">as at </w:t>
      </w:r>
      <w:r>
        <w:rPr>
          <w:rFonts w:ascii="times new roman" w:hAnsi="times new roman"/>
          <w:color w:val="0000FF"/>
          <w:sz w:val="20"/>
          <w:u w:val="single"/>
          <w:bdr w:val="double" w:sz="2" w:space="1" w:color="000000"/>
        </w:rPr>
        <w:t>October 6, 2011</w:t>
      </w:r>
      <w:r>
        <w:rPr>
          <w:rFonts w:ascii="Times New Roman" w:hAnsi="Times New Roman"/>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9" w:name="PGBRK23"/>
      <w:bookmarkStart w:id="280" w:name="PGBRK23"/>
      <w:bookmarkEnd w:id="2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1" w:name="FTR23"/>
      <w:bookmarkStart w:id="282" w:name="FTR23"/>
      <w:bookmarkEnd w:id="2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3" w:name="GLFTR23"/>
      <w:bookmarkEnd w:id="2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4" w:name="PN23"/>
      <w:bookmarkEnd w:id="28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5" w:name="HDR23"/>
      <w:bookmarkStart w:id="286" w:name="HDR23"/>
      <w:bookmarkEnd w:id="2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7" w:name="GLHDR23"/>
      <w:bookmarkEnd w:id="2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8" w:name="PGBRK24"/>
      <w:bookmarkStart w:id="289" w:name="PGBRK24"/>
      <w:bookmarkEnd w:id="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0" w:name="FTR24"/>
      <w:bookmarkStart w:id="291" w:name="FTR24"/>
      <w:bookmarkEnd w:id="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2" w:name="GLFTR24"/>
      <w:bookmarkEnd w:id="2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3" w:name="PN24"/>
      <w:bookmarkEnd w:id="293"/>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4" w:name="HDR24"/>
      <w:bookmarkStart w:id="295" w:name="HDR24"/>
      <w:bookmarkEnd w:id="2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6" w:name="GLHDR24"/>
      <w:bookmarkEnd w:id="2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7285"/>
        <w:gridCol w:w="107"/>
        <w:gridCol w:w="126"/>
        <w:gridCol w:w="1109"/>
        <w:gridCol w:w="113"/>
        <w:gridCol w:w="107"/>
        <w:gridCol w:w="126"/>
        <w:gridCol w:w="1109"/>
        <w:gridCol w:w="123"/>
      </w:tblGrid>
      <w:tr>
        <w:trPr/>
        <w:tc>
          <w:tcPr>
            <w:tcW w:w="7285"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7" w:type="dxa"/>
            <w:tcBorders>
              <w:top w:val="single" w:sz="12" w:space="0" w:color="000000"/>
            </w:tcBorders>
            <w:shd w:fill="auto" w:val="clear"/>
            <w:tcMar>
              <w:bottom w:w="0" w:type="dxa"/>
            </w:tcMar>
            <w:vAlign w:val="bottom"/>
          </w:tcPr>
          <w:p>
            <w:pPr>
              <w:pStyle w:val="TableContents"/>
              <w:spacing w:before="0" w:after="283"/>
              <w:rPr/>
            </w:pPr>
            <w:r>
              <w:rPr/>
              <w:t> </w:t>
            </w:r>
          </w:p>
        </w:tc>
        <w:tc>
          <w:tcPr>
            <w:tcW w:w="123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3"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7" w:type="dxa"/>
            <w:tcBorders>
              <w:top w:val="single" w:sz="12" w:space="0" w:color="000000"/>
            </w:tcBorders>
            <w:shd w:fill="auto" w:val="clear"/>
            <w:tcMar>
              <w:bottom w:w="0" w:type="dxa"/>
            </w:tcMar>
            <w:vAlign w:val="bottom"/>
          </w:tcPr>
          <w:p>
            <w:pPr>
              <w:pStyle w:val="TableContents"/>
              <w:spacing w:before="0" w:after="283"/>
              <w:rPr/>
            </w:pPr>
            <w:r>
              <w:rPr/>
              <w:t> </w:t>
            </w:r>
          </w:p>
        </w:tc>
        <w:tc>
          <w:tcPr>
            <w:tcW w:w="123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(Restated)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35" w:type="dxa"/>
            <w:gridSpan w:val="2"/>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35"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8"/>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107" w:type="dxa"/>
            <w:tcBorders/>
            <w:shd w:fill="auto" w:val="clear"/>
            <w:tcMar>
              <w:top w:w="0" w:type="dxa"/>
              <w:bottom w:w="0" w:type="dxa"/>
            </w:tcMar>
            <w:vAlign w:val="bottom"/>
          </w:tcPr>
          <w:p>
            <w:pPr>
              <w:pStyle w:val="TableContents"/>
              <w:spacing w:before="0" w:after="283"/>
              <w:rPr/>
            </w:pPr>
            <w:r>
              <w:rPr/>
              <w:t> </w:t>
            </w:r>
          </w:p>
        </w:tc>
        <w:tc>
          <w:tcPr>
            <w:tcW w:w="1235" w:type="dxa"/>
            <w:gridSpan w:val="2"/>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35"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Cash</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23,516</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1,083</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1,033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Prepaid expenses and deposits</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214,501</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Deferred financing costs (Note 5)</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91,134</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116,433</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356,965</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8"/>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AND STOCKHOLDERS’ DEFICIT</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 (Note 11)</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809,292</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586,556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 (Note 3)</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141,761</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45,676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Derivative liability – conversion option (Note 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175,389</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Derivative liability – warrants (Note 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1,225,125</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Convertible note payable (Note 5)</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353,050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203,021</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Loans payable (Note 6)</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425,000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Notes payable and secured loan (Note 5)</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Due to related parties (Note 7)</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259,305</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3,388,922</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986,353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Deficit</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Capital stock (Note 8)</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Common stock, $0.001 par value, 150,000,000 shares authorized</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40,256,027 shares issued and outstanding (2009 – 38,361,674)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40,256</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38,362</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Additional paid-in capital</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40,214,935</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37,289,357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Shares and warrants to be issued</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34,980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513,733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Deficit accumulated during the development stage</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(43,501,765</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(38,411,114</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285"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Accumulated other comprehensive loss</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(60,895</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285"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(3,272,489</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(629,388</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116,433</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356,965</w:t>
            </w:r>
          </w:p>
        </w:tc>
        <w:tc>
          <w:tcPr>
            <w:tcW w:w="123"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RESTATEMENT (Note 1(A))</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COMMITMENTS AND CONTINGENCIES</w:t>
      </w:r>
      <w:r>
        <w:rPr>
          <w:rFonts w:ascii="Times New Roman" w:hAnsi="Times New Roman"/>
          <w:sz w:val="20"/>
        </w:rPr>
        <w:t xml:space="preserve"> (Notes 1, 3, 5 and 11)</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7" w:name="PGBRK25"/>
      <w:bookmarkStart w:id="298" w:name="PGBRK25"/>
      <w:bookmarkEnd w:id="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9" w:name="FTR25"/>
      <w:bookmarkStart w:id="300" w:name="FTR25"/>
      <w:bookmarkEnd w:id="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1" w:name="GLFTR25"/>
      <w:bookmarkEnd w:id="3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2" w:name="PN25"/>
      <w:bookmarkEnd w:id="302"/>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3" w:name="HDR25"/>
      <w:bookmarkStart w:id="304" w:name="HDR25"/>
      <w:bookmarkEnd w:id="3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5" w:name="GLHDR25"/>
      <w:bookmarkEnd w:id="3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i/>
          <w:sz w:val="20"/>
        </w:rPr>
      </w:pPr>
      <w:r>
        <w:rPr>
          <w:rFonts w:ascii="Times New Roman" w:hAnsi="Times New Roman"/>
          <w:b/>
          <w:i/>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OPERATIONS</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5888"/>
        <w:gridCol w:w="104"/>
        <w:gridCol w:w="126"/>
        <w:gridCol w:w="1081"/>
        <w:gridCol w:w="110"/>
        <w:gridCol w:w="104"/>
        <w:gridCol w:w="126"/>
        <w:gridCol w:w="1102"/>
        <w:gridCol w:w="110"/>
        <w:gridCol w:w="104"/>
        <w:gridCol w:w="126"/>
        <w:gridCol w:w="1102"/>
        <w:gridCol w:w="122"/>
      </w:tblGrid>
      <w:tr>
        <w:trPr/>
        <w:tc>
          <w:tcPr>
            <w:tcW w:w="5888"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207"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(Restated)</w:t>
            </w:r>
          </w:p>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22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(Restated)</w:t>
            </w:r>
          </w:p>
          <w:p>
            <w:pPr>
              <w:pStyle w:val="TableContents"/>
              <w:spacing w:before="0" w:after="0"/>
              <w:ind w:left="0" w:right="0" w:hanging="0"/>
              <w:jc w:val="center"/>
              <w:rPr>
                <w:rFonts w:ascii="times new roman" w:hAnsi="times new roman"/>
                <w:sz w:val="20"/>
              </w:rPr>
            </w:pPr>
            <w:r>
              <w:rPr>
                <w:rFonts w:ascii="times new roman" w:hAnsi="times new roman"/>
                <w:sz w:val="20"/>
              </w:rPr>
              <w:t>(Note 1(A))</w:t>
            </w:r>
          </w:p>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22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(Restated)</w:t>
            </w:r>
          </w:p>
          <w:p>
            <w:pPr>
              <w:pStyle w:val="TableContents"/>
              <w:spacing w:before="0" w:after="0"/>
              <w:ind w:left="0" w:right="0" w:hanging="0"/>
              <w:jc w:val="center"/>
              <w:rPr>
                <w:rFonts w:ascii="times new roman" w:hAnsi="times new roman"/>
                <w:sz w:val="20"/>
              </w:rPr>
            </w:pPr>
            <w:r>
              <w:rPr>
                <w:rFonts w:ascii="times new roman" w:hAnsi="times new roman"/>
                <w:sz w:val="20"/>
              </w:rPr>
              <w:t>Period from</w:t>
            </w:r>
          </w:p>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22"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07"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28"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28" w:type="dxa"/>
            <w:gridSpan w:val="2"/>
            <w:tcBorders/>
            <w:shd w:fill="auto" w:val="clear"/>
            <w:tcMar>
              <w:top w:w="0" w:type="dxa"/>
              <w:bottom w:w="0" w:type="dxa"/>
            </w:tcMar>
            <w:vAlign w:val="bottom"/>
          </w:tcPr>
          <w:p>
            <w:pPr>
              <w:pStyle w:val="TableContents"/>
              <w:spacing w:before="0" w:after="283"/>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EXPENSES</w:t>
            </w:r>
          </w:p>
        </w:tc>
        <w:tc>
          <w:tcPr>
            <w:tcW w:w="104" w:type="dxa"/>
            <w:tcBorders/>
            <w:shd w:fill="auto" w:val="clear"/>
            <w:tcMar>
              <w:top w:w="0" w:type="dxa"/>
              <w:bottom w:w="0" w:type="dxa"/>
            </w:tcMar>
            <w:vAlign w:val="bottom"/>
          </w:tcPr>
          <w:p>
            <w:pPr>
              <w:pStyle w:val="TableContents"/>
              <w:spacing w:before="0" w:after="283"/>
              <w:rPr/>
            </w:pPr>
            <w:r>
              <w:rPr/>
              <w:t> </w:t>
            </w:r>
          </w:p>
        </w:tc>
        <w:tc>
          <w:tcPr>
            <w:tcW w:w="1207"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28"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28" w:type="dxa"/>
            <w:gridSpan w:val="2"/>
            <w:tcBorders/>
            <w:shd w:fill="auto" w:val="clear"/>
            <w:tcMar>
              <w:top w:w="0" w:type="dxa"/>
              <w:bottom w:w="0" w:type="dxa"/>
            </w:tcMar>
            <w:vAlign w:val="bottom"/>
          </w:tcPr>
          <w:p>
            <w:pPr>
              <w:pStyle w:val="TableContents"/>
              <w:spacing w:before="0" w:after="283"/>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88,231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552,339</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1,859,437</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 stock-based (Note 8)</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1,200,736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506,042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4,992,553</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213,227</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203,066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85,146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2,611,522</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and financing charges (Note 6)</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1,241,078</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1,188,934</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5,151,681</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 (Note 7)</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329,177</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260,242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2,523,654</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 stock-based (Note 8)</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1,087,915</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2,019,660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3,934,965</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Professional fees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742,338</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673,227</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4,056,787</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 (Note 7)</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290,048</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93,041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5,707,440</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 stock-based</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81"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612,000</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81"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5,182,589</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5,382,372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31,663,266</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BEFORE OTHER ITEMS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(5,182,589</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(5,382,372</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(31,663,266</w:t>
            </w:r>
          </w:p>
        </w:tc>
        <w:tc>
          <w:tcPr>
            <w:tcW w:w="122" w:type="dxa"/>
            <w:tcBorders/>
            <w:shd w:fill="auto" w:val="clear"/>
            <w:tcMar>
              <w:top w:w="0" w:type="dxa"/>
              <w:bottom w:w="0" w:type="dxa"/>
            </w:tcMar>
            <w:vAlign w:val="bottom"/>
          </w:tcPr>
          <w:p>
            <w:pPr>
              <w:pStyle w:val="TableContents"/>
              <w:spacing w:before="0" w:after="283"/>
              <w:jc w:val="left"/>
              <w:rPr>
                <w:rFonts w:ascii="times new roman" w:hAnsi="times new roman"/>
                <w:color w:val="0000FF"/>
                <w:sz w:val="20"/>
                <w:u w:val="single"/>
              </w:rPr>
            </w:pPr>
            <w:r>
              <w:rPr>
                <w:rFonts w:ascii="times new roman" w:hAnsi="times new roman"/>
                <w:color w:val="0000FF"/>
                <w:sz w:val="20"/>
                <w:u w:val="single"/>
              </w:rPr>
              <w:t>)</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ITEMS</w:t>
            </w:r>
          </w:p>
        </w:tc>
        <w:tc>
          <w:tcPr>
            <w:tcW w:w="104"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 exchange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(1,237</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(38,069</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43,353</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 (Note 4)</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1,655,011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1,655,011</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debt financing (Note 5)</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(1,615,425</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(1,615,425</w:t>
            </w:r>
          </w:p>
        </w:tc>
        <w:tc>
          <w:tcPr>
            <w:tcW w:w="122" w:type="dxa"/>
            <w:tcBorders/>
            <w:shd w:fill="auto" w:val="clear"/>
            <w:tcMar>
              <w:top w:w="0" w:type="dxa"/>
              <w:bottom w:w="0" w:type="dxa"/>
            </w:tcMar>
            <w:vAlign w:val="bottom"/>
          </w:tcPr>
          <w:p>
            <w:pPr>
              <w:pStyle w:val="TableContents"/>
              <w:spacing w:before="0" w:after="283"/>
              <w:jc w:val="left"/>
              <w:rPr>
                <w:rFonts w:ascii="times new roman" w:hAnsi="times new roman"/>
                <w:color w:val="0000FF"/>
                <w:sz w:val="20"/>
                <w:u w:val="single"/>
              </w:rPr>
            </w:pPr>
            <w:r>
              <w:rPr>
                <w:rFonts w:ascii="times new roman" w:hAnsi="times new roman"/>
                <w:color w:val="0000FF"/>
                <w:sz w:val="20"/>
                <w:u w:val="single"/>
              </w:rPr>
              <w:t>)</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Gain </w:t>
            </w:r>
            <w:r>
              <w:rPr>
                <w:rFonts w:ascii="times new roman" w:hAnsi="times new roman"/>
                <w:color w:val="0000FF"/>
                <w:sz w:val="20"/>
                <w:u w:val="single"/>
              </w:rPr>
              <w:t>(loss)</w:t>
            </w:r>
            <w:r>
              <w:rPr>
                <w:rFonts w:ascii="times new roman" w:hAnsi="times new roman"/>
                <w:sz w:val="20"/>
              </w:rPr>
              <w:t xml:space="preserve"> on settlement of debt (Notes 1(A) and 8)</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53,589</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(12,175,982</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(11,949,383</w:t>
            </w:r>
          </w:p>
        </w:tc>
        <w:tc>
          <w:tcPr>
            <w:tcW w:w="12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8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2,814</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33,344</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disposal of assets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81"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8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1"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(5,090,651</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(17,599,008</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(43,501,765</w:t>
            </w:r>
          </w:p>
        </w:tc>
        <w:tc>
          <w:tcPr>
            <w:tcW w:w="12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88"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BASIC AND DILUTED NET LOSS PER SHARE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1"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(0.13</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(0.89</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81"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588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WEIGHTED AVERAGE NUMBER OF</w:t>
            </w:r>
          </w:p>
          <w:p>
            <w:pPr>
              <w:pStyle w:val="TableContents"/>
              <w:spacing w:before="0" w:after="0"/>
              <w:ind w:left="0" w:right="0" w:hanging="0"/>
              <w:jc w:val="left"/>
              <w:rPr>
                <w:rFonts w:ascii="times new roman" w:hAnsi="times new roman"/>
                <w:b/>
                <w:sz w:val="20"/>
              </w:rPr>
            </w:pPr>
            <w:r>
              <w:rPr>
                <w:rFonts w:ascii="times new roman" w:hAnsi="times new roman"/>
                <w:b/>
                <w:sz w:val="20"/>
              </w:rPr>
              <w:t>COMMON SHARES OUTSTANDING,</w:t>
            </w:r>
          </w:p>
          <w:p>
            <w:pPr>
              <w:pStyle w:val="TableContents"/>
              <w:spacing w:before="0" w:after="0"/>
              <w:ind w:left="0" w:right="0" w:hanging="0"/>
              <w:jc w:val="left"/>
              <w:rPr>
                <w:rFonts w:ascii="times new roman" w:hAnsi="times new roman"/>
                <w:b/>
                <w:sz w:val="20"/>
              </w:rPr>
            </w:pPr>
            <w:r>
              <w:rPr>
                <w:rFonts w:ascii="times new roman" w:hAnsi="times new roman"/>
                <w:b/>
                <w:sz w:val="20"/>
              </w:rPr>
              <w:t>BASIC AND DILUTED</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081"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39,803,173</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0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19,704,002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2"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6" w:name="PGBRK26"/>
      <w:bookmarkStart w:id="307" w:name="PGBRK26"/>
      <w:bookmarkEnd w:id="3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8" w:name="FTR26"/>
      <w:bookmarkStart w:id="309" w:name="FTR26"/>
      <w:bookmarkEnd w:id="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0" w:name="GLFTR26"/>
      <w:bookmarkEnd w:id="3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1" w:name="PN26"/>
      <w:bookmarkEnd w:id="311"/>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2" w:name="HDR26"/>
      <w:bookmarkStart w:id="313" w:name="HDR26"/>
      <w:bookmarkEnd w:id="3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4" w:name="GLHDR26"/>
      <w:bookmarkEnd w:id="3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2010</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1508"/>
        <w:gridCol w:w="74"/>
        <w:gridCol w:w="74"/>
        <w:gridCol w:w="865"/>
        <w:gridCol w:w="92"/>
        <w:gridCol w:w="74"/>
        <w:gridCol w:w="134"/>
        <w:gridCol w:w="680"/>
        <w:gridCol w:w="92"/>
        <w:gridCol w:w="74"/>
        <w:gridCol w:w="134"/>
        <w:gridCol w:w="1004"/>
        <w:gridCol w:w="91"/>
        <w:gridCol w:w="74"/>
        <w:gridCol w:w="136"/>
        <w:gridCol w:w="886"/>
        <w:gridCol w:w="92"/>
        <w:gridCol w:w="74"/>
        <w:gridCol w:w="142"/>
        <w:gridCol w:w="1074"/>
        <w:gridCol w:w="92"/>
        <w:gridCol w:w="74"/>
        <w:gridCol w:w="241"/>
        <w:gridCol w:w="1141"/>
        <w:gridCol w:w="91"/>
        <w:gridCol w:w="74"/>
        <w:gridCol w:w="134"/>
        <w:gridCol w:w="865"/>
        <w:gridCol w:w="119"/>
      </w:tblGrid>
      <w:tr>
        <w:trPr/>
        <w:tc>
          <w:tcPr>
            <w:tcW w:w="1508" w:type="dxa"/>
            <w:tcBorders>
              <w:top w:val="single" w:sz="12" w:space="0" w:color="000000"/>
            </w:tcBorders>
            <w:shd w:fill="auto" w:val="clear"/>
            <w:vAlign w:val="bottom"/>
          </w:tcPr>
          <w:p>
            <w:pPr>
              <w:pStyle w:val="TableContents"/>
              <w:spacing w:before="0" w:after="283"/>
              <w:rPr/>
            </w:pPr>
            <w:r>
              <w:rPr/>
              <w:t xml:space="preserve">  </w:t>
            </w:r>
          </w:p>
        </w:tc>
        <w:tc>
          <w:tcPr>
            <w:tcW w:w="74" w:type="dxa"/>
            <w:tcBorders>
              <w:top w:val="single" w:sz="12" w:space="0" w:color="000000"/>
            </w:tcBorders>
            <w:shd w:fill="auto" w:val="clear"/>
            <w:vAlign w:val="bottom"/>
          </w:tcPr>
          <w:p>
            <w:pPr>
              <w:pStyle w:val="TableContents"/>
              <w:spacing w:before="0" w:after="283"/>
              <w:rPr/>
            </w:pPr>
            <w:r>
              <w:rPr/>
              <w:t> </w:t>
            </w:r>
          </w:p>
        </w:tc>
        <w:tc>
          <w:tcPr>
            <w:tcW w:w="1919"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92"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138"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91"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02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92"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216"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92"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38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91"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999" w:type="dxa"/>
            <w:gridSpan w:val="2"/>
            <w:tcBorders>
              <w:top w:val="single" w:sz="12" w:space="0" w:color="000000"/>
            </w:tcBorders>
            <w:shd w:fill="auto" w:val="clear"/>
            <w:vAlign w:val="bottom"/>
          </w:tcPr>
          <w:p>
            <w:pPr>
              <w:pStyle w:val="TableContents"/>
              <w:spacing w:before="0" w:after="283"/>
              <w:rPr/>
            </w:pPr>
            <w:r>
              <w:rPr/>
              <w:t> </w:t>
            </w:r>
          </w:p>
        </w:tc>
        <w:tc>
          <w:tcPr>
            <w:tcW w:w="119" w:type="dxa"/>
            <w:tcBorders>
              <w:top w:val="single" w:sz="12" w:space="0" w:color="000000"/>
            </w:tcBorders>
            <w:shd w:fill="auto" w:val="clear"/>
            <w:vAlign w:val="bottom"/>
          </w:tcPr>
          <w:p>
            <w:pPr>
              <w:pStyle w:val="TableContents"/>
              <w:spacing w:before="0" w:after="283"/>
              <w:jc w:val="left"/>
              <w:rPr/>
            </w:pPr>
            <w:r>
              <w:rPr/>
              <w:t> </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74" w:type="dxa"/>
            <w:tcBorders/>
            <w:shd w:fill="auto" w:val="clear"/>
            <w:tcMar>
              <w:top w:w="0" w:type="dxa"/>
            </w:tcMar>
            <w:vAlign w:val="bottom"/>
          </w:tcPr>
          <w:p>
            <w:pPr>
              <w:pStyle w:val="TableContents"/>
              <w:spacing w:before="0" w:after="283"/>
              <w:rPr/>
            </w:pPr>
            <w:r>
              <w:rPr/>
              <w:t> </w:t>
            </w:r>
          </w:p>
        </w:tc>
        <w:tc>
          <w:tcPr>
            <w:tcW w:w="93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81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138"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2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1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8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99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283"/>
              <w:rPr/>
            </w:pPr>
            <w:r>
              <w:rPr/>
              <w:t xml:space="preserve">  </w:t>
            </w:r>
          </w:p>
        </w:tc>
        <w:tc>
          <w:tcPr>
            <w:tcW w:w="74" w:type="dxa"/>
            <w:tcBorders/>
            <w:shd w:fill="auto" w:val="clear"/>
            <w:tcMar>
              <w:top w:w="0" w:type="dxa"/>
            </w:tcMar>
            <w:vAlign w:val="bottom"/>
          </w:tcPr>
          <w:p>
            <w:pPr>
              <w:pStyle w:val="TableContents"/>
              <w:spacing w:before="0" w:after="283"/>
              <w:rPr/>
            </w:pPr>
            <w:r>
              <w:rPr/>
              <w:t> </w:t>
            </w:r>
          </w:p>
        </w:tc>
        <w:tc>
          <w:tcPr>
            <w:tcW w:w="939" w:type="dxa"/>
            <w:gridSpan w:val="2"/>
            <w:tcBorders/>
            <w:shd w:fill="auto" w:val="clear"/>
            <w:tcMar>
              <w:top w:w="0" w:type="dxa"/>
            </w:tcMar>
            <w:vAlign w:val="bottom"/>
          </w:tcPr>
          <w:p>
            <w:pPr>
              <w:pStyle w:val="TableContents"/>
              <w:spacing w:before="0" w:after="283"/>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814" w:type="dxa"/>
            <w:gridSpan w:val="2"/>
            <w:tcBorders/>
            <w:shd w:fill="auto" w:val="clear"/>
            <w:tcMar>
              <w:top w:w="0" w:type="dxa"/>
            </w:tcMar>
            <w:vAlign w:val="bottom"/>
          </w:tcPr>
          <w:p>
            <w:pPr>
              <w:pStyle w:val="TableContents"/>
              <w:spacing w:before="0" w:after="283"/>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138" w:type="dxa"/>
            <w:gridSpan w:val="2"/>
            <w:tcBorders/>
            <w:shd w:fill="auto" w:val="clear"/>
            <w:tcMar>
              <w:top w:w="0" w:type="dxa"/>
            </w:tcMar>
            <w:vAlign w:val="bottom"/>
          </w:tcPr>
          <w:p>
            <w:pPr>
              <w:pStyle w:val="TableContents"/>
              <w:spacing w:before="0" w:after="283"/>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22" w:type="dxa"/>
            <w:gridSpan w:val="2"/>
            <w:tcBorders/>
            <w:shd w:fill="auto" w:val="clear"/>
            <w:tcMar>
              <w:top w:w="0" w:type="dxa"/>
            </w:tcMar>
            <w:vAlign w:val="bottom"/>
          </w:tcPr>
          <w:p>
            <w:pPr>
              <w:pStyle w:val="TableContents"/>
              <w:spacing w:before="0" w:after="283"/>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16" w:type="dxa"/>
            <w:gridSpan w:val="2"/>
            <w:tcBorders/>
            <w:shd w:fill="auto" w:val="clear"/>
            <w:tcMar>
              <w:top w:w="0" w:type="dxa"/>
            </w:tcMar>
            <w:vAlign w:val="bottom"/>
          </w:tcPr>
          <w:p>
            <w:pPr>
              <w:pStyle w:val="TableContents"/>
              <w:spacing w:before="0" w:after="283"/>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82" w:type="dxa"/>
            <w:gridSpan w:val="2"/>
            <w:tcBorders/>
            <w:shd w:fill="auto" w:val="clear"/>
            <w:tcMar>
              <w:top w:w="0" w:type="dxa"/>
            </w:tcMar>
            <w:vAlign w:val="bottom"/>
          </w:tcPr>
          <w:p>
            <w:pPr>
              <w:pStyle w:val="TableContents"/>
              <w:spacing w:before="0" w:after="283"/>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999" w:type="dxa"/>
            <w:gridSpan w:val="2"/>
            <w:tcBorders/>
            <w:shd w:fill="auto" w:val="clear"/>
            <w:tcMar>
              <w:top w:w="0" w:type="dxa"/>
            </w:tcMar>
            <w:vAlign w:val="bottom"/>
          </w:tcPr>
          <w:p>
            <w:pPr>
              <w:pStyle w:val="TableContents"/>
              <w:spacing w:before="0" w:after="283"/>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incorporation - July 27, 1999</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to the founders for:</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cash</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74,000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1,110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consulting services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86,000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1,290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2,150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subscriptions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(80,733</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(80,733</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1999</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160,001</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2,400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(80,733</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100,367</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with UBC agreement for:</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consulting services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144,000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1,440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2,160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for license fees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$1.50 per share, net of finders’ fees of $95,570</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56,353</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564</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749,166</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(177,100</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572,630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$1.50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34,160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342</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512,058</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512,400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finders’ fees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4,986</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(935,332</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(935,332</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(1,937</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(1,937</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2000</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419,499</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4,195</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1,266,034</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(1,016,065</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(1,937</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252,228</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$1.88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4,413</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82,706</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82,750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$2.50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264,894</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265,000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(671,986</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(671,986</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(2,041</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(2,041</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2001</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434,512</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4,345</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1,613,635</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(1,688,051</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(74,049</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$2.50 per share, net of finders’ fees of $17,000</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170,425</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170,500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settlement of debt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7,266</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136,172</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136,245</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GPI balance, July 15, 2002</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449,279</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4,493</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1,920,232</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(1,688,051</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232,696</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GMC balance, July 15, 2002</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612,805</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6,128</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7,180,164</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(6,607,580</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493,712</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Reverse acquisition recapitalization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(449,279</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(4,493</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(6,603,087</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6,607,580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5" w:name="PGBRK27"/>
      <w:bookmarkStart w:id="316" w:name="PGBRK27"/>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7" w:name="FTR27"/>
      <w:bookmarkStart w:id="318" w:name="FTR27"/>
      <w:bookmarkEnd w:id="3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9" w:name="GLFTR27"/>
      <w:bookmarkEnd w:id="3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0" w:name="PN27"/>
      <w:bookmarkEnd w:id="320"/>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1" w:name="HDR27"/>
      <w:bookmarkStart w:id="322" w:name="HDR27"/>
      <w:bookmarkEnd w:id="3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3" w:name="GLHDR27"/>
      <w:bookmarkEnd w:id="3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2010</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1432"/>
        <w:gridCol w:w="78"/>
        <w:gridCol w:w="78"/>
        <w:gridCol w:w="834"/>
        <w:gridCol w:w="78"/>
        <w:gridCol w:w="78"/>
        <w:gridCol w:w="90"/>
        <w:gridCol w:w="759"/>
        <w:gridCol w:w="78"/>
        <w:gridCol w:w="78"/>
        <w:gridCol w:w="78"/>
        <w:gridCol w:w="959"/>
        <w:gridCol w:w="95"/>
        <w:gridCol w:w="78"/>
        <w:gridCol w:w="83"/>
        <w:gridCol w:w="954"/>
        <w:gridCol w:w="170"/>
        <w:gridCol w:w="77"/>
        <w:gridCol w:w="85"/>
        <w:gridCol w:w="1127"/>
        <w:gridCol w:w="95"/>
        <w:gridCol w:w="78"/>
        <w:gridCol w:w="118"/>
        <w:gridCol w:w="1244"/>
        <w:gridCol w:w="95"/>
        <w:gridCol w:w="78"/>
        <w:gridCol w:w="78"/>
        <w:gridCol w:w="1009"/>
        <w:gridCol w:w="121"/>
      </w:tblGrid>
      <w:tr>
        <w:trPr/>
        <w:tc>
          <w:tcPr>
            <w:tcW w:w="1432" w:type="dxa"/>
            <w:tcBorders>
              <w:top w:val="single" w:sz="12" w:space="0" w:color="000000"/>
            </w:tcBorders>
            <w:shd w:fill="auto" w:val="clear"/>
            <w:vAlign w:val="bottom"/>
          </w:tcPr>
          <w:p>
            <w:pPr>
              <w:pStyle w:val="TableContents"/>
              <w:spacing w:before="0" w:after="283"/>
              <w:rPr/>
            </w:pPr>
            <w:r>
              <w:rPr/>
              <w:t xml:space="preserve">  </w:t>
            </w:r>
          </w:p>
        </w:tc>
        <w:tc>
          <w:tcPr>
            <w:tcW w:w="78" w:type="dxa"/>
            <w:tcBorders>
              <w:top w:val="single" w:sz="12" w:space="0" w:color="000000"/>
            </w:tcBorders>
            <w:shd w:fill="auto" w:val="clear"/>
            <w:vAlign w:val="bottom"/>
          </w:tcPr>
          <w:p>
            <w:pPr>
              <w:pStyle w:val="TableContents"/>
              <w:spacing w:before="0" w:after="283"/>
              <w:rPr/>
            </w:pPr>
            <w:r>
              <w:rPr/>
              <w:t> </w:t>
            </w:r>
          </w:p>
        </w:tc>
        <w:tc>
          <w:tcPr>
            <w:tcW w:w="1917"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78" w:type="dxa"/>
            <w:tcBorders>
              <w:top w:val="single" w:sz="12" w:space="0" w:color="000000"/>
            </w:tcBorders>
            <w:shd w:fill="auto" w:val="clear"/>
            <w:vAlign w:val="bottom"/>
          </w:tcPr>
          <w:p>
            <w:pPr>
              <w:pStyle w:val="TableContents"/>
              <w:spacing w:before="0" w:after="283"/>
              <w:jc w:val="left"/>
              <w:rPr/>
            </w:pPr>
            <w:r>
              <w:rPr/>
              <w:t> </w:t>
            </w:r>
          </w:p>
        </w:tc>
        <w:tc>
          <w:tcPr>
            <w:tcW w:w="78" w:type="dxa"/>
            <w:tcBorders>
              <w:top w:val="single" w:sz="12" w:space="0" w:color="000000"/>
            </w:tcBorders>
            <w:shd w:fill="auto" w:val="clear"/>
            <w:vAlign w:val="bottom"/>
          </w:tcPr>
          <w:p>
            <w:pPr>
              <w:pStyle w:val="TableContents"/>
              <w:spacing w:before="0" w:after="283"/>
              <w:rPr/>
            </w:pPr>
            <w:r>
              <w:rPr/>
              <w:t> </w:t>
            </w:r>
          </w:p>
        </w:tc>
        <w:tc>
          <w:tcPr>
            <w:tcW w:w="1037"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95" w:type="dxa"/>
            <w:tcBorders>
              <w:top w:val="single" w:sz="12" w:space="0" w:color="000000"/>
            </w:tcBorders>
            <w:shd w:fill="auto" w:val="clear"/>
            <w:vAlign w:val="bottom"/>
          </w:tcPr>
          <w:p>
            <w:pPr>
              <w:pStyle w:val="TableContents"/>
              <w:spacing w:before="0" w:after="283"/>
              <w:jc w:val="left"/>
              <w:rPr/>
            </w:pPr>
            <w:r>
              <w:rPr/>
              <w:t> </w:t>
            </w:r>
          </w:p>
        </w:tc>
        <w:tc>
          <w:tcPr>
            <w:tcW w:w="78" w:type="dxa"/>
            <w:tcBorders>
              <w:top w:val="single" w:sz="12" w:space="0" w:color="000000"/>
            </w:tcBorders>
            <w:shd w:fill="auto" w:val="clear"/>
            <w:vAlign w:val="bottom"/>
          </w:tcPr>
          <w:p>
            <w:pPr>
              <w:pStyle w:val="TableContents"/>
              <w:spacing w:before="0" w:after="283"/>
              <w:rPr/>
            </w:pPr>
            <w:r>
              <w:rPr/>
              <w:t> </w:t>
            </w:r>
          </w:p>
        </w:tc>
        <w:tc>
          <w:tcPr>
            <w:tcW w:w="1037"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170" w:type="dxa"/>
            <w:tcBorders>
              <w:top w:val="single" w:sz="12" w:space="0" w:color="000000"/>
            </w:tcBorders>
            <w:shd w:fill="auto" w:val="clear"/>
            <w:vAlign w:val="bottom"/>
          </w:tcPr>
          <w:p>
            <w:pPr>
              <w:pStyle w:val="TableContents"/>
              <w:spacing w:before="0" w:after="283"/>
              <w:jc w:val="left"/>
              <w:rPr/>
            </w:pPr>
            <w:r>
              <w:rPr/>
              <w:t> </w:t>
            </w:r>
          </w:p>
        </w:tc>
        <w:tc>
          <w:tcPr>
            <w:tcW w:w="77" w:type="dxa"/>
            <w:tcBorders>
              <w:top w:val="single" w:sz="12" w:space="0" w:color="000000"/>
            </w:tcBorders>
            <w:shd w:fill="auto" w:val="clear"/>
            <w:vAlign w:val="bottom"/>
          </w:tcPr>
          <w:p>
            <w:pPr>
              <w:pStyle w:val="TableContents"/>
              <w:spacing w:before="0" w:after="283"/>
              <w:rPr/>
            </w:pPr>
            <w:r>
              <w:rPr/>
              <w:t> </w:t>
            </w:r>
          </w:p>
        </w:tc>
        <w:tc>
          <w:tcPr>
            <w:tcW w:w="121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95" w:type="dxa"/>
            <w:tcBorders>
              <w:top w:val="single" w:sz="12" w:space="0" w:color="000000"/>
            </w:tcBorders>
            <w:shd w:fill="auto" w:val="clear"/>
            <w:vAlign w:val="bottom"/>
          </w:tcPr>
          <w:p>
            <w:pPr>
              <w:pStyle w:val="TableContents"/>
              <w:spacing w:before="0" w:after="283"/>
              <w:jc w:val="left"/>
              <w:rPr/>
            </w:pPr>
            <w:r>
              <w:rPr/>
              <w:t> </w:t>
            </w:r>
          </w:p>
        </w:tc>
        <w:tc>
          <w:tcPr>
            <w:tcW w:w="78" w:type="dxa"/>
            <w:tcBorders>
              <w:top w:val="single" w:sz="12" w:space="0" w:color="000000"/>
            </w:tcBorders>
            <w:shd w:fill="auto" w:val="clear"/>
            <w:vAlign w:val="bottom"/>
          </w:tcPr>
          <w:p>
            <w:pPr>
              <w:pStyle w:val="TableContents"/>
              <w:spacing w:before="0" w:after="283"/>
              <w:rPr/>
            </w:pPr>
            <w:r>
              <w:rPr/>
              <w:t> </w:t>
            </w:r>
          </w:p>
        </w:tc>
        <w:tc>
          <w:tcPr>
            <w:tcW w:w="136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95" w:type="dxa"/>
            <w:tcBorders>
              <w:top w:val="single" w:sz="12" w:space="0" w:color="000000"/>
            </w:tcBorders>
            <w:shd w:fill="auto" w:val="clear"/>
            <w:vAlign w:val="bottom"/>
          </w:tcPr>
          <w:p>
            <w:pPr>
              <w:pStyle w:val="TableContents"/>
              <w:spacing w:before="0" w:after="283"/>
              <w:jc w:val="left"/>
              <w:rPr/>
            </w:pPr>
            <w:r>
              <w:rPr/>
              <w:t> </w:t>
            </w:r>
          </w:p>
        </w:tc>
        <w:tc>
          <w:tcPr>
            <w:tcW w:w="78" w:type="dxa"/>
            <w:tcBorders>
              <w:top w:val="single" w:sz="12" w:space="0" w:color="000000"/>
            </w:tcBorders>
            <w:shd w:fill="auto" w:val="clear"/>
            <w:vAlign w:val="bottom"/>
          </w:tcPr>
          <w:p>
            <w:pPr>
              <w:pStyle w:val="TableContents"/>
              <w:spacing w:before="0" w:after="283"/>
              <w:rPr/>
            </w:pPr>
            <w:r>
              <w:rPr/>
              <w:t> </w:t>
            </w:r>
          </w:p>
        </w:tc>
        <w:tc>
          <w:tcPr>
            <w:tcW w:w="1087" w:type="dxa"/>
            <w:gridSpan w:val="2"/>
            <w:tcBorders>
              <w:top w:val="single" w:sz="12" w:space="0" w:color="000000"/>
            </w:tcBorders>
            <w:shd w:fill="auto" w:val="clear"/>
            <w:vAlign w:val="bottom"/>
          </w:tcPr>
          <w:p>
            <w:pPr>
              <w:pStyle w:val="TableContents"/>
              <w:spacing w:before="0" w:after="283"/>
              <w:rPr/>
            </w:pPr>
            <w:r>
              <w:rPr/>
              <w:t> </w:t>
            </w:r>
          </w:p>
        </w:tc>
        <w:tc>
          <w:tcPr>
            <w:tcW w:w="121" w:type="dxa"/>
            <w:tcBorders>
              <w:top w:val="single" w:sz="12" w:space="0" w:color="000000"/>
            </w:tcBorders>
            <w:shd w:fill="auto" w:val="clear"/>
            <w:vAlign w:val="bottom"/>
          </w:tcPr>
          <w:p>
            <w:pPr>
              <w:pStyle w:val="TableContents"/>
              <w:spacing w:before="0" w:after="283"/>
              <w:jc w:val="left"/>
              <w:rPr/>
            </w:pPr>
            <w:r>
              <w:rPr/>
              <w:t> </w:t>
            </w:r>
          </w:p>
        </w:tc>
      </w:tr>
      <w:tr>
        <w:trPr/>
        <w:tc>
          <w:tcPr>
            <w:tcW w:w="1432"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78" w:type="dxa"/>
            <w:tcBorders/>
            <w:shd w:fill="auto" w:val="clear"/>
            <w:tcMar>
              <w:top w:w="0" w:type="dxa"/>
            </w:tcMar>
            <w:vAlign w:val="bottom"/>
          </w:tcPr>
          <w:p>
            <w:pPr>
              <w:pStyle w:val="TableContents"/>
              <w:spacing w:before="0" w:after="283"/>
              <w:rPr/>
            </w:pPr>
            <w:r>
              <w:rPr/>
              <w:t> </w:t>
            </w:r>
          </w:p>
        </w:tc>
        <w:tc>
          <w:tcPr>
            <w:tcW w:w="91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4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3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3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121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36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8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283"/>
              <w:rPr/>
            </w:pPr>
            <w:r>
              <w:rPr/>
              <w:t xml:space="preserve">  </w:t>
            </w:r>
          </w:p>
        </w:tc>
        <w:tc>
          <w:tcPr>
            <w:tcW w:w="78" w:type="dxa"/>
            <w:tcBorders/>
            <w:shd w:fill="auto" w:val="clear"/>
            <w:tcMar>
              <w:top w:w="0" w:type="dxa"/>
            </w:tcMar>
            <w:vAlign w:val="bottom"/>
          </w:tcPr>
          <w:p>
            <w:pPr>
              <w:pStyle w:val="TableContents"/>
              <w:spacing w:before="0" w:after="283"/>
              <w:rPr/>
            </w:pPr>
            <w:r>
              <w:rPr/>
              <w:t> </w:t>
            </w:r>
          </w:p>
        </w:tc>
        <w:tc>
          <w:tcPr>
            <w:tcW w:w="912" w:type="dxa"/>
            <w:gridSpan w:val="2"/>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49" w:type="dxa"/>
            <w:gridSpan w:val="2"/>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37" w:type="dxa"/>
            <w:gridSpan w:val="2"/>
            <w:tcBorders/>
            <w:shd w:fill="auto" w:val="clear"/>
            <w:tcMar>
              <w:top w:w="0" w:type="dxa"/>
            </w:tcMar>
            <w:vAlign w:val="bottom"/>
          </w:tcPr>
          <w:p>
            <w:pPr>
              <w:pStyle w:val="TableContents"/>
              <w:spacing w:before="0" w:after="283"/>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37" w:type="dxa"/>
            <w:gridSpan w:val="2"/>
            <w:tcBorders/>
            <w:shd w:fill="auto" w:val="clear"/>
            <w:tcMar>
              <w:top w:w="0" w:type="dxa"/>
            </w:tcMar>
            <w:vAlign w:val="bottom"/>
          </w:tcPr>
          <w:p>
            <w:pPr>
              <w:pStyle w:val="TableContents"/>
              <w:spacing w:before="0" w:after="283"/>
              <w:rPr/>
            </w:pPr>
            <w:r>
              <w:rPr/>
              <w:t> </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1212" w:type="dxa"/>
            <w:gridSpan w:val="2"/>
            <w:tcBorders/>
            <w:shd w:fill="auto" w:val="clear"/>
            <w:tcMar>
              <w:top w:w="0" w:type="dxa"/>
            </w:tcMar>
            <w:vAlign w:val="bottom"/>
          </w:tcPr>
          <w:p>
            <w:pPr>
              <w:pStyle w:val="TableContents"/>
              <w:spacing w:before="0" w:after="283"/>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362" w:type="dxa"/>
            <w:gridSpan w:val="2"/>
            <w:tcBorders/>
            <w:shd w:fill="auto" w:val="clear"/>
            <w:tcMar>
              <w:top w:w="0" w:type="dxa"/>
            </w:tcMar>
            <w:vAlign w:val="bottom"/>
          </w:tcPr>
          <w:p>
            <w:pPr>
              <w:pStyle w:val="TableContents"/>
              <w:spacing w:before="0" w:after="283"/>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87" w:type="dxa"/>
            <w:gridSpan w:val="2"/>
            <w:tcBorders/>
            <w:shd w:fill="auto" w:val="clear"/>
            <w:tcMar>
              <w:top w:w="0" w:type="dxa"/>
            </w:tcMar>
            <w:vAlign w:val="bottom"/>
          </w:tcPr>
          <w:p>
            <w:pPr>
              <w:pStyle w:val="TableContents"/>
              <w:spacing w:before="0" w:after="283"/>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post reverse acquisition</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612,805</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6,128</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2,497,309</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17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(1,688,051</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726,408</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GMC subscription proceeds received</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285,000</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285,000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pPr>
            <w:r>
              <w:rPr/>
              <w:t> </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$6.25 per share</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17,016</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1,063,330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1,063,500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4,080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50,959</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630,275</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630,275</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(2,284,709</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(2,284,709</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3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2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4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(5,645</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(5,645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2002</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633,901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6,339</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4,241,873</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(3,972,760</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(9,623</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465,829</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92,745</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927</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1,420,888</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1,421,815</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pPr>
            <w:r>
              <w:rPr/>
              <w:t> </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$12.50 per share</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1,720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214,983</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(185,000</w:t>
            </w:r>
          </w:p>
        </w:tc>
        <w:tc>
          <w:tcPr>
            <w:tcW w:w="17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$2.50 per share, net of finders’ fees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22,214</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222</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521,593</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521,815</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as finders’ fees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1,341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license agreement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9,996</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Subscriptions repaid</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7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2,733,000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2,733,000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(5,778,905</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(5,778,905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3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2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4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(37,299</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(37,299</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2003</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752,321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7,523</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9,147,319</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(9,751,665</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(46,922</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(643,745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pPr>
            <w:r>
              <w:rPr/>
              <w:t> </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$1.75 per share, net of finders’ fees of $50,000</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34,286</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343</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549,657</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as finders’ fees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2,857</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w:t>
            </w:r>
          </w:p>
          <w:p>
            <w:pPr>
              <w:pStyle w:val="TableContents"/>
              <w:spacing w:before="0" w:after="0"/>
              <w:ind w:left="0" w:right="0" w:hanging="0"/>
              <w:jc w:val="left"/>
              <w:rPr/>
            </w:pPr>
            <w:r>
              <w:rPr/>
              <w:t>  </w:t>
            </w:r>
            <w:r>
              <w:rPr>
                <w:rFonts w:ascii="times new roman" w:hAnsi="times new roman"/>
                <w:sz w:val="20"/>
              </w:rPr>
              <w:t>with convertible notes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14,291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143</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204,942</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205,085</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Settlement of debt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9,996</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73,500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73,500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(2,683,105</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(2,683,105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4" w:name="PGBRK28"/>
      <w:bookmarkStart w:id="325" w:name="PGBRK28"/>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6" w:name="FTR28"/>
      <w:bookmarkStart w:id="327" w:name="FTR28"/>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8" w:name="GLFTR28"/>
      <w:bookmarkEnd w:id="3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9" w:name="PN28"/>
      <w:bookmarkEnd w:id="329"/>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0" w:name="HDR28"/>
      <w:bookmarkStart w:id="331" w:name="HDR28"/>
      <w:bookmarkEnd w:id="3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2" w:name="GLHDR28"/>
      <w:bookmarkEnd w:id="3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2010</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1307"/>
        <w:gridCol w:w="74"/>
        <w:gridCol w:w="74"/>
        <w:gridCol w:w="961"/>
        <w:gridCol w:w="74"/>
        <w:gridCol w:w="74"/>
        <w:gridCol w:w="76"/>
        <w:gridCol w:w="743"/>
        <w:gridCol w:w="74"/>
        <w:gridCol w:w="74"/>
        <w:gridCol w:w="74"/>
        <w:gridCol w:w="1061"/>
        <w:gridCol w:w="93"/>
        <w:gridCol w:w="74"/>
        <w:gridCol w:w="387"/>
        <w:gridCol w:w="647"/>
        <w:gridCol w:w="74"/>
        <w:gridCol w:w="74"/>
        <w:gridCol w:w="74"/>
        <w:gridCol w:w="1161"/>
        <w:gridCol w:w="93"/>
        <w:gridCol w:w="74"/>
        <w:gridCol w:w="120"/>
        <w:gridCol w:w="1288"/>
        <w:gridCol w:w="93"/>
        <w:gridCol w:w="74"/>
        <w:gridCol w:w="74"/>
        <w:gridCol w:w="1018"/>
        <w:gridCol w:w="121"/>
      </w:tblGrid>
      <w:tr>
        <w:trPr/>
        <w:tc>
          <w:tcPr>
            <w:tcW w:w="1307" w:type="dxa"/>
            <w:tcBorders>
              <w:top w:val="single" w:sz="12" w:space="0" w:color="000000"/>
            </w:tcBorders>
            <w:shd w:fill="auto" w:val="clear"/>
            <w:vAlign w:val="bottom"/>
          </w:tcPr>
          <w:p>
            <w:pPr>
              <w:pStyle w:val="TableContents"/>
              <w:spacing w:before="0" w:after="283"/>
              <w:rPr/>
            </w:pPr>
            <w:r>
              <w:rPr/>
              <w:t xml:space="preserve">  </w:t>
            </w:r>
          </w:p>
        </w:tc>
        <w:tc>
          <w:tcPr>
            <w:tcW w:w="74" w:type="dxa"/>
            <w:tcBorders>
              <w:top w:val="single" w:sz="12" w:space="0" w:color="000000"/>
            </w:tcBorders>
            <w:shd w:fill="auto" w:val="clear"/>
            <w:vAlign w:val="bottom"/>
          </w:tcPr>
          <w:p>
            <w:pPr>
              <w:pStyle w:val="TableContents"/>
              <w:spacing w:before="0" w:after="283"/>
              <w:rPr/>
            </w:pPr>
            <w:r>
              <w:rPr/>
              <w:t> </w:t>
            </w:r>
          </w:p>
        </w:tc>
        <w:tc>
          <w:tcPr>
            <w:tcW w:w="2002"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74"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135"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93"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034"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74"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235"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93"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408"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93"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092" w:type="dxa"/>
            <w:gridSpan w:val="2"/>
            <w:tcBorders>
              <w:top w:val="single" w:sz="12" w:space="0" w:color="000000"/>
            </w:tcBorders>
            <w:shd w:fill="auto" w:val="clear"/>
            <w:vAlign w:val="bottom"/>
          </w:tcPr>
          <w:p>
            <w:pPr>
              <w:pStyle w:val="TableContents"/>
              <w:spacing w:before="0" w:after="283"/>
              <w:rPr/>
            </w:pPr>
            <w:r>
              <w:rPr/>
              <w:t> </w:t>
            </w:r>
          </w:p>
        </w:tc>
        <w:tc>
          <w:tcPr>
            <w:tcW w:w="121" w:type="dxa"/>
            <w:tcBorders>
              <w:top w:val="single" w:sz="12" w:space="0" w:color="000000"/>
            </w:tcBorders>
            <w:shd w:fill="auto" w:val="clear"/>
            <w:vAlign w:val="bottom"/>
          </w:tcPr>
          <w:p>
            <w:pPr>
              <w:pStyle w:val="TableContents"/>
              <w:spacing w:before="0" w:after="283"/>
              <w:jc w:val="left"/>
              <w:rPr/>
            </w:pPr>
            <w:r>
              <w:rPr/>
              <w:t> </w:t>
            </w:r>
          </w:p>
        </w:tc>
      </w:tr>
      <w:tr>
        <w:trPr/>
        <w:tc>
          <w:tcPr>
            <w:tcW w:w="1307"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74" w:type="dxa"/>
            <w:tcBorders/>
            <w:shd w:fill="auto" w:val="clear"/>
            <w:tcMar>
              <w:top w:w="0" w:type="dxa"/>
            </w:tcMar>
            <w:vAlign w:val="bottom"/>
          </w:tcPr>
          <w:p>
            <w:pPr>
              <w:pStyle w:val="TableContents"/>
              <w:spacing w:before="0" w:after="283"/>
              <w:rPr/>
            </w:pPr>
            <w:r>
              <w:rPr/>
              <w:t> </w:t>
            </w:r>
          </w:p>
        </w:tc>
        <w:tc>
          <w:tcPr>
            <w:tcW w:w="103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81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13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3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3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08"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9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283"/>
              <w:rPr/>
            </w:pPr>
            <w:r>
              <w:rPr/>
              <w:t xml:space="preserve">  </w:t>
            </w:r>
          </w:p>
        </w:tc>
        <w:tc>
          <w:tcPr>
            <w:tcW w:w="74" w:type="dxa"/>
            <w:tcBorders/>
            <w:shd w:fill="auto" w:val="clear"/>
            <w:tcMar>
              <w:top w:w="0" w:type="dxa"/>
            </w:tcMar>
            <w:vAlign w:val="bottom"/>
          </w:tcPr>
          <w:p>
            <w:pPr>
              <w:pStyle w:val="TableContents"/>
              <w:spacing w:before="0" w:after="283"/>
              <w:rPr/>
            </w:pPr>
            <w:r>
              <w:rPr/>
              <w:t> </w:t>
            </w:r>
          </w:p>
        </w:tc>
        <w:tc>
          <w:tcPr>
            <w:tcW w:w="1035" w:type="dxa"/>
            <w:gridSpan w:val="2"/>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819" w:type="dxa"/>
            <w:gridSpan w:val="2"/>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135" w:type="dxa"/>
            <w:gridSpan w:val="2"/>
            <w:tcBorders/>
            <w:shd w:fill="auto" w:val="clear"/>
            <w:tcMar>
              <w:top w:w="0" w:type="dxa"/>
            </w:tcMar>
            <w:vAlign w:val="bottom"/>
          </w:tcPr>
          <w:p>
            <w:pPr>
              <w:pStyle w:val="TableContents"/>
              <w:spacing w:before="0" w:after="283"/>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34" w:type="dxa"/>
            <w:gridSpan w:val="2"/>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35" w:type="dxa"/>
            <w:gridSpan w:val="2"/>
            <w:tcBorders/>
            <w:shd w:fill="auto" w:val="clear"/>
            <w:tcMar>
              <w:top w:w="0" w:type="dxa"/>
            </w:tcMar>
            <w:vAlign w:val="bottom"/>
          </w:tcPr>
          <w:p>
            <w:pPr>
              <w:pStyle w:val="TableContents"/>
              <w:spacing w:before="0" w:after="283"/>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08" w:type="dxa"/>
            <w:gridSpan w:val="2"/>
            <w:tcBorders/>
            <w:shd w:fill="auto" w:val="clear"/>
            <w:tcMar>
              <w:top w:w="0" w:type="dxa"/>
            </w:tcMar>
            <w:vAlign w:val="bottom"/>
          </w:tcPr>
          <w:p>
            <w:pPr>
              <w:pStyle w:val="TableContents"/>
              <w:spacing w:before="0" w:after="283"/>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92" w:type="dxa"/>
            <w:gridSpan w:val="2"/>
            <w:tcBorders/>
            <w:shd w:fill="auto" w:val="clear"/>
            <w:tcMar>
              <w:top w:w="0" w:type="dxa"/>
            </w:tcMar>
            <w:vAlign w:val="bottom"/>
          </w:tcPr>
          <w:p>
            <w:pPr>
              <w:pStyle w:val="TableContents"/>
              <w:spacing w:before="0" w:after="283"/>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4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4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8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(16,865</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1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(16,865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2004</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804,155</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8,042</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10,050,385</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(12,434,770</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(63,787</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(2,440,130</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component of convertible note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46,250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46,250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$0.38 per share, net of finders’ fees</w:t>
            </w:r>
          </w:p>
          <w:p>
            <w:pPr>
              <w:pStyle w:val="TableContents"/>
              <w:spacing w:before="0" w:after="0"/>
              <w:ind w:left="0" w:right="0" w:hanging="0"/>
              <w:jc w:val="left"/>
              <w:rPr/>
            </w:pPr>
            <w:r>
              <w:rPr/>
              <w:t>  </w:t>
            </w:r>
            <w:r>
              <w:rPr>
                <w:rFonts w:ascii="times new roman" w:hAnsi="times new roman"/>
                <w:sz w:val="20"/>
              </w:rPr>
              <w:t>of $97,620 and legal fees of $100,561</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362,732</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3,627</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1,158,437</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1,162,064</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(985,599</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(985,599</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4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4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8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(2,333</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1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(2,333</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2005</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1,166,887</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11,669</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11,255,072</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(13,420,369</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(66,120</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(2,219,748</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beneficial feature on</w:t>
            </w:r>
          </w:p>
          <w:p>
            <w:pPr>
              <w:pStyle w:val="TableContents"/>
              <w:spacing w:before="0" w:after="0"/>
              <w:ind w:left="0" w:right="0" w:hanging="0"/>
              <w:jc w:val="left"/>
              <w:rPr/>
            </w:pPr>
            <w:r>
              <w:rPr/>
              <w:t>  </w:t>
            </w:r>
            <w:r>
              <w:rPr>
                <w:rFonts w:ascii="times new roman" w:hAnsi="times new roman"/>
                <w:sz w:val="20"/>
              </w:rPr>
              <w:t>convertible notes (Note 5)</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205,579</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205,579</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with</w:t>
            </w:r>
          </w:p>
          <w:p>
            <w:pPr>
              <w:pStyle w:val="TableContents"/>
              <w:spacing w:before="0" w:after="0"/>
              <w:ind w:left="0" w:right="0" w:hanging="0"/>
              <w:jc w:val="left"/>
              <w:rPr/>
            </w:pPr>
            <w:r>
              <w:rPr/>
              <w:t>  </w:t>
            </w:r>
            <w:r>
              <w:rPr>
                <w:rFonts w:ascii="times new roman" w:hAnsi="times new roman"/>
                <w:sz w:val="20"/>
              </w:rPr>
              <w:t>convertible notes (Note 5)</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288,921</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288,921</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(1,304,387</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(1,304,387</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4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4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8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29,555</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1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29,555</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2006</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1,166,887</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11,669</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11,749,572</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(14,724,756</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(36,565</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(3,000,080</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218,000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542,820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545,000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the conversion of notes:</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- 2006 convertible notes at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197,800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1,978</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492,522</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494,500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- 2007 convertible notes at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406,400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4,064</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1,011,936</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1,016,000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the conversion of accounts payable</w:t>
            </w:r>
          </w:p>
          <w:p>
            <w:pPr>
              <w:pStyle w:val="TableContents"/>
              <w:spacing w:before="0" w:after="0"/>
              <w:ind w:left="0" w:right="0" w:hanging="0"/>
              <w:jc w:val="left"/>
              <w:rPr/>
            </w:pPr>
            <w:r>
              <w:rPr/>
              <w:t>  </w:t>
            </w:r>
            <w:r>
              <w:rPr>
                <w:rFonts w:ascii="times new roman" w:hAnsi="times new roman"/>
                <w:sz w:val="20"/>
              </w:rPr>
              <w:t>and related party debt at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291,181</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2,912</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725,040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727,952</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finance charges on the 2007</w:t>
            </w:r>
          </w:p>
          <w:p>
            <w:pPr>
              <w:pStyle w:val="TableContents"/>
              <w:spacing w:before="0" w:after="0"/>
              <w:ind w:left="0" w:right="0" w:hanging="0"/>
              <w:jc w:val="left"/>
              <w:rPr/>
            </w:pPr>
            <w:r>
              <w:rPr/>
              <w:t>  </w:t>
            </w:r>
            <w:r>
              <w:rPr>
                <w:rFonts w:ascii="times new roman" w:hAnsi="times new roman"/>
                <w:sz w:val="20"/>
              </w:rPr>
              <w:t>convertible notes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60,000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149,400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pursuant to service agreements at a</w:t>
            </w:r>
          </w:p>
          <w:p>
            <w:pPr>
              <w:pStyle w:val="TableContents"/>
              <w:spacing w:before="0" w:after="0"/>
              <w:ind w:left="0" w:right="0" w:hanging="0"/>
              <w:jc w:val="left"/>
              <w:rPr/>
            </w:pPr>
            <w:r>
              <w:rPr/>
              <w:t>  </w:t>
            </w:r>
            <w:r>
              <w:rPr>
                <w:rFonts w:ascii="times new roman" w:hAnsi="times new roman"/>
                <w:sz w:val="20"/>
              </w:rPr>
              <w:t>fair value of $0.36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35,900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Financing charges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(167,500</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(167,500</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3" w:name="PGBRK29"/>
      <w:bookmarkStart w:id="334" w:name="PGBRK29"/>
      <w:bookmarkEnd w:id="3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5" w:name="FTR29"/>
      <w:bookmarkStart w:id="336" w:name="FTR29"/>
      <w:bookmarkEnd w:id="3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7" w:name="GLFTR29"/>
      <w:bookmarkEnd w:id="3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8" w:name="PN29"/>
      <w:bookmarkEnd w:id="338"/>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9" w:name="HDR29"/>
      <w:bookmarkStart w:id="340" w:name="HDR29"/>
      <w:bookmarkEnd w:id="3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1" w:name="GLHDR29"/>
      <w:bookmarkEnd w:id="3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2010</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1446"/>
        <w:gridCol w:w="80"/>
        <w:gridCol w:w="80"/>
        <w:gridCol w:w="946"/>
        <w:gridCol w:w="80"/>
        <w:gridCol w:w="80"/>
        <w:gridCol w:w="82"/>
        <w:gridCol w:w="783"/>
        <w:gridCol w:w="80"/>
        <w:gridCol w:w="80"/>
        <w:gridCol w:w="79"/>
        <w:gridCol w:w="1021"/>
        <w:gridCol w:w="80"/>
        <w:gridCol w:w="80"/>
        <w:gridCol w:w="88"/>
        <w:gridCol w:w="938"/>
        <w:gridCol w:w="80"/>
        <w:gridCol w:w="80"/>
        <w:gridCol w:w="81"/>
        <w:gridCol w:w="1096"/>
        <w:gridCol w:w="94"/>
        <w:gridCol w:w="79"/>
        <w:gridCol w:w="115"/>
        <w:gridCol w:w="1191"/>
        <w:gridCol w:w="94"/>
        <w:gridCol w:w="80"/>
        <w:gridCol w:w="80"/>
        <w:gridCol w:w="989"/>
        <w:gridCol w:w="123"/>
      </w:tblGrid>
      <w:tr>
        <w:trPr/>
        <w:tc>
          <w:tcPr>
            <w:tcW w:w="1446" w:type="dxa"/>
            <w:tcBorders>
              <w:top w:val="single" w:sz="12" w:space="0" w:color="000000"/>
            </w:tcBorders>
            <w:shd w:fill="auto" w:val="clear"/>
            <w:vAlign w:val="bottom"/>
          </w:tcPr>
          <w:p>
            <w:pPr>
              <w:pStyle w:val="TableContents"/>
              <w:spacing w:before="0" w:after="283"/>
              <w:rPr/>
            </w:pPr>
            <w:r>
              <w:rPr/>
              <w:t xml:space="preserve">  </w:t>
            </w:r>
          </w:p>
        </w:tc>
        <w:tc>
          <w:tcPr>
            <w:tcW w:w="80" w:type="dxa"/>
            <w:tcBorders>
              <w:top w:val="single" w:sz="12" w:space="0" w:color="000000"/>
            </w:tcBorders>
            <w:shd w:fill="auto" w:val="clear"/>
            <w:vAlign w:val="bottom"/>
          </w:tcPr>
          <w:p>
            <w:pPr>
              <w:pStyle w:val="TableContents"/>
              <w:spacing w:before="0" w:after="283"/>
              <w:rPr/>
            </w:pPr>
            <w:r>
              <w:rPr/>
              <w:t> </w:t>
            </w:r>
          </w:p>
        </w:tc>
        <w:tc>
          <w:tcPr>
            <w:tcW w:w="2051"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80" w:type="dxa"/>
            <w:tcBorders>
              <w:top w:val="single" w:sz="12" w:space="0" w:color="000000"/>
            </w:tcBorders>
            <w:shd w:fill="auto" w:val="clear"/>
            <w:vAlign w:val="bottom"/>
          </w:tcPr>
          <w:p>
            <w:pPr>
              <w:pStyle w:val="TableContents"/>
              <w:spacing w:before="0" w:after="283"/>
              <w:jc w:val="left"/>
              <w:rPr/>
            </w:pPr>
            <w:r>
              <w:rPr/>
              <w:t> </w:t>
            </w:r>
          </w:p>
        </w:tc>
        <w:tc>
          <w:tcPr>
            <w:tcW w:w="80" w:type="dxa"/>
            <w:tcBorders>
              <w:top w:val="single" w:sz="12" w:space="0" w:color="000000"/>
            </w:tcBorders>
            <w:shd w:fill="auto" w:val="clear"/>
            <w:vAlign w:val="bottom"/>
          </w:tcPr>
          <w:p>
            <w:pPr>
              <w:pStyle w:val="TableContents"/>
              <w:spacing w:before="0" w:after="283"/>
              <w:rPr/>
            </w:pPr>
            <w:r>
              <w:rPr/>
              <w:t> </w:t>
            </w:r>
          </w:p>
        </w:tc>
        <w:tc>
          <w:tcPr>
            <w:tcW w:w="1100"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80" w:type="dxa"/>
            <w:tcBorders>
              <w:top w:val="single" w:sz="12" w:space="0" w:color="000000"/>
            </w:tcBorders>
            <w:shd w:fill="auto" w:val="clear"/>
            <w:vAlign w:val="bottom"/>
          </w:tcPr>
          <w:p>
            <w:pPr>
              <w:pStyle w:val="TableContents"/>
              <w:spacing w:before="0" w:after="283"/>
              <w:jc w:val="left"/>
              <w:rPr/>
            </w:pPr>
            <w:r>
              <w:rPr/>
              <w:t> </w:t>
            </w:r>
          </w:p>
        </w:tc>
        <w:tc>
          <w:tcPr>
            <w:tcW w:w="80" w:type="dxa"/>
            <w:tcBorders>
              <w:top w:val="single" w:sz="12" w:space="0" w:color="000000"/>
            </w:tcBorders>
            <w:shd w:fill="auto" w:val="clear"/>
            <w:vAlign w:val="bottom"/>
          </w:tcPr>
          <w:p>
            <w:pPr>
              <w:pStyle w:val="TableContents"/>
              <w:spacing w:before="0" w:after="283"/>
              <w:rPr/>
            </w:pPr>
            <w:r>
              <w:rPr/>
              <w:t> </w:t>
            </w:r>
          </w:p>
        </w:tc>
        <w:tc>
          <w:tcPr>
            <w:tcW w:w="1026"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80" w:type="dxa"/>
            <w:tcBorders>
              <w:top w:val="single" w:sz="12" w:space="0" w:color="000000"/>
            </w:tcBorders>
            <w:shd w:fill="auto" w:val="clear"/>
            <w:vAlign w:val="bottom"/>
          </w:tcPr>
          <w:p>
            <w:pPr>
              <w:pStyle w:val="TableContents"/>
              <w:spacing w:before="0" w:after="283"/>
              <w:jc w:val="left"/>
              <w:rPr/>
            </w:pPr>
            <w:r>
              <w:rPr/>
              <w:t> </w:t>
            </w:r>
          </w:p>
        </w:tc>
        <w:tc>
          <w:tcPr>
            <w:tcW w:w="80" w:type="dxa"/>
            <w:tcBorders>
              <w:top w:val="single" w:sz="12" w:space="0" w:color="000000"/>
            </w:tcBorders>
            <w:shd w:fill="auto" w:val="clear"/>
            <w:vAlign w:val="bottom"/>
          </w:tcPr>
          <w:p>
            <w:pPr>
              <w:pStyle w:val="TableContents"/>
              <w:spacing w:before="0" w:after="283"/>
              <w:rPr/>
            </w:pPr>
            <w:r>
              <w:rPr/>
              <w:t> </w:t>
            </w:r>
          </w:p>
        </w:tc>
        <w:tc>
          <w:tcPr>
            <w:tcW w:w="1177"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94" w:type="dxa"/>
            <w:tcBorders>
              <w:top w:val="single" w:sz="12" w:space="0" w:color="000000"/>
            </w:tcBorders>
            <w:shd w:fill="auto" w:val="clear"/>
            <w:vAlign w:val="bottom"/>
          </w:tcPr>
          <w:p>
            <w:pPr>
              <w:pStyle w:val="TableContents"/>
              <w:spacing w:before="0" w:after="283"/>
              <w:jc w:val="left"/>
              <w:rPr/>
            </w:pPr>
            <w:r>
              <w:rPr/>
              <w:t> </w:t>
            </w:r>
          </w:p>
        </w:tc>
        <w:tc>
          <w:tcPr>
            <w:tcW w:w="79" w:type="dxa"/>
            <w:tcBorders>
              <w:top w:val="single" w:sz="12" w:space="0" w:color="000000"/>
            </w:tcBorders>
            <w:shd w:fill="auto" w:val="clear"/>
            <w:vAlign w:val="bottom"/>
          </w:tcPr>
          <w:p>
            <w:pPr>
              <w:pStyle w:val="TableContents"/>
              <w:spacing w:before="0" w:after="283"/>
              <w:rPr/>
            </w:pPr>
            <w:r>
              <w:rPr/>
              <w:t> </w:t>
            </w:r>
          </w:p>
        </w:tc>
        <w:tc>
          <w:tcPr>
            <w:tcW w:w="1306"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94" w:type="dxa"/>
            <w:tcBorders>
              <w:top w:val="single" w:sz="12" w:space="0" w:color="000000"/>
            </w:tcBorders>
            <w:shd w:fill="auto" w:val="clear"/>
            <w:vAlign w:val="bottom"/>
          </w:tcPr>
          <w:p>
            <w:pPr>
              <w:pStyle w:val="TableContents"/>
              <w:spacing w:before="0" w:after="283"/>
              <w:jc w:val="left"/>
              <w:rPr/>
            </w:pPr>
            <w:r>
              <w:rPr/>
              <w:t> </w:t>
            </w:r>
          </w:p>
        </w:tc>
        <w:tc>
          <w:tcPr>
            <w:tcW w:w="80" w:type="dxa"/>
            <w:tcBorders>
              <w:top w:val="single" w:sz="12" w:space="0" w:color="000000"/>
            </w:tcBorders>
            <w:shd w:fill="auto" w:val="clear"/>
            <w:vAlign w:val="bottom"/>
          </w:tcPr>
          <w:p>
            <w:pPr>
              <w:pStyle w:val="TableContents"/>
              <w:spacing w:before="0" w:after="283"/>
              <w:rPr/>
            </w:pPr>
            <w:r>
              <w:rPr/>
              <w:t> </w:t>
            </w:r>
          </w:p>
        </w:tc>
        <w:tc>
          <w:tcPr>
            <w:tcW w:w="1069" w:type="dxa"/>
            <w:gridSpan w:val="2"/>
            <w:tcBorders>
              <w:top w:val="single" w:sz="12" w:space="0" w:color="000000"/>
            </w:tcBorders>
            <w:shd w:fill="auto" w:val="clear"/>
            <w:vAlign w:val="bottom"/>
          </w:tcPr>
          <w:p>
            <w:pPr>
              <w:pStyle w:val="TableContents"/>
              <w:spacing w:before="0" w:after="283"/>
              <w:rPr/>
            </w:pPr>
            <w:r>
              <w:rPr/>
              <w:t> </w:t>
            </w:r>
          </w:p>
        </w:tc>
        <w:tc>
          <w:tcPr>
            <w:tcW w:w="123" w:type="dxa"/>
            <w:tcBorders>
              <w:top w:val="single" w:sz="12" w:space="0" w:color="000000"/>
            </w:tcBorders>
            <w:shd w:fill="auto" w:val="clear"/>
            <w:vAlign w:val="bottom"/>
          </w:tcPr>
          <w:p>
            <w:pPr>
              <w:pStyle w:val="TableContents"/>
              <w:spacing w:before="0" w:after="283"/>
              <w:jc w:val="left"/>
              <w:rPr/>
            </w:pPr>
            <w:r>
              <w:rPr/>
              <w:t> </w:t>
            </w:r>
          </w:p>
        </w:tc>
      </w:tr>
      <w:tr>
        <w:trPr/>
        <w:tc>
          <w:tcPr>
            <w:tcW w:w="1446"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80" w:type="dxa"/>
            <w:tcBorders/>
            <w:shd w:fill="auto" w:val="clear"/>
            <w:tcMar>
              <w:top w:w="0" w:type="dxa"/>
            </w:tcMar>
            <w:vAlign w:val="bottom"/>
          </w:tcPr>
          <w:p>
            <w:pPr>
              <w:pStyle w:val="TableContents"/>
              <w:spacing w:before="0" w:after="283"/>
              <w:rPr/>
            </w:pPr>
            <w:r>
              <w:rPr/>
              <w:t> </w:t>
            </w:r>
          </w:p>
        </w:tc>
        <w:tc>
          <w:tcPr>
            <w:tcW w:w="102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6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10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02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17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rPr/>
            </w:pPr>
            <w:r>
              <w:rPr/>
              <w:t> </w:t>
            </w:r>
          </w:p>
        </w:tc>
        <w:tc>
          <w:tcPr>
            <w:tcW w:w="130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06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283"/>
              <w:rPr/>
            </w:pPr>
            <w:r>
              <w:rPr/>
              <w:t xml:space="preserve">  </w:t>
            </w:r>
          </w:p>
        </w:tc>
        <w:tc>
          <w:tcPr>
            <w:tcW w:w="80" w:type="dxa"/>
            <w:tcBorders/>
            <w:shd w:fill="auto" w:val="clear"/>
            <w:tcMar>
              <w:top w:w="0" w:type="dxa"/>
            </w:tcMar>
            <w:vAlign w:val="bottom"/>
          </w:tcPr>
          <w:p>
            <w:pPr>
              <w:pStyle w:val="TableContents"/>
              <w:spacing w:before="0" w:after="283"/>
              <w:rPr/>
            </w:pPr>
            <w:r>
              <w:rPr/>
              <w:t> </w:t>
            </w:r>
          </w:p>
        </w:tc>
        <w:tc>
          <w:tcPr>
            <w:tcW w:w="1026"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65"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100"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026"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177" w:type="dxa"/>
            <w:gridSpan w:val="2"/>
            <w:tcBorders/>
            <w:shd w:fill="auto" w:val="clear"/>
            <w:tcMar>
              <w:top w:w="0" w:type="dxa"/>
            </w:tcMar>
            <w:vAlign w:val="bottom"/>
          </w:tcPr>
          <w:p>
            <w:pPr>
              <w:pStyle w:val="TableContents"/>
              <w:spacing w:before="0" w:after="283"/>
              <w:rPr/>
            </w:pPr>
            <w:r>
              <w:rPr/>
              <w:t> </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rPr/>
            </w:pPr>
            <w:r>
              <w:rPr/>
              <w:t> </w:t>
            </w:r>
          </w:p>
        </w:tc>
        <w:tc>
          <w:tcPr>
            <w:tcW w:w="1306" w:type="dxa"/>
            <w:gridSpan w:val="2"/>
            <w:tcBorders/>
            <w:shd w:fill="auto" w:val="clear"/>
            <w:tcMar>
              <w:top w:w="0" w:type="dxa"/>
            </w:tcMar>
            <w:vAlign w:val="bottom"/>
          </w:tcPr>
          <w:p>
            <w:pPr>
              <w:pStyle w:val="TableContents"/>
              <w:spacing w:before="0" w:after="283"/>
              <w:rPr/>
            </w:pPr>
            <w:r>
              <w:rPr/>
              <w:t> </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069" w:type="dxa"/>
            <w:gridSpan w:val="2"/>
            <w:tcBorders/>
            <w:shd w:fill="auto" w:val="clear"/>
            <w:tcMar>
              <w:top w:w="0" w:type="dxa"/>
            </w:tcMar>
            <w:vAlign w:val="bottom"/>
          </w:tcPr>
          <w:p>
            <w:pPr>
              <w:pStyle w:val="TableContents"/>
              <w:spacing w:before="0" w:after="283"/>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beneficial conversion feature on</w:t>
            </w:r>
          </w:p>
          <w:p>
            <w:pPr>
              <w:pStyle w:val="TableContents"/>
              <w:spacing w:before="0" w:after="0"/>
              <w:ind w:left="0" w:right="0" w:hanging="0"/>
              <w:jc w:val="left"/>
              <w:rPr/>
            </w:pPr>
            <w:r>
              <w:rPr/>
              <w:t>   </w:t>
            </w:r>
            <w:r>
              <w:rPr>
                <w:rFonts w:ascii="times new roman" w:hAnsi="times new roman"/>
                <w:sz w:val="20"/>
              </w:rPr>
              <w:t>the 2007 convertible notes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358,906</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358,906</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w:t>
            </w:r>
          </w:p>
          <w:p>
            <w:pPr>
              <w:pStyle w:val="TableContents"/>
              <w:spacing w:before="0" w:after="0"/>
              <w:ind w:left="0" w:right="0" w:hanging="0"/>
              <w:jc w:val="left"/>
              <w:rPr/>
            </w:pPr>
            <w:r>
              <w:rPr/>
              <w:t>   </w:t>
            </w:r>
            <w:r>
              <w:rPr>
                <w:rFonts w:ascii="times new roman" w:hAnsi="times new roman"/>
                <w:sz w:val="20"/>
              </w:rPr>
              <w:t>with the 2007 convertible notes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657,095</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657,095</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w:t>
            </w:r>
          </w:p>
          <w:p>
            <w:pPr>
              <w:pStyle w:val="TableContents"/>
              <w:spacing w:before="0" w:after="0"/>
              <w:ind w:left="0" w:right="0" w:hanging="0"/>
              <w:jc w:val="left"/>
              <w:rPr/>
            </w:pPr>
            <w:r>
              <w:rPr/>
              <w:t>   </w:t>
            </w:r>
            <w:r>
              <w:rPr>
                <w:rFonts w:ascii="times new roman" w:hAnsi="times new roman"/>
                <w:sz w:val="20"/>
              </w:rPr>
              <w:t>with the 2007 promissory notes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374,104</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374,104</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as finders’ fees</w:t>
            </w:r>
          </w:p>
          <w:p>
            <w:pPr>
              <w:pStyle w:val="TableContents"/>
              <w:spacing w:before="0" w:after="0"/>
              <w:ind w:left="0" w:right="0" w:hanging="0"/>
              <w:jc w:val="left"/>
              <w:rPr/>
            </w:pPr>
            <w:r>
              <w:rPr/>
              <w:t>   </w:t>
            </w:r>
            <w:r>
              <w:rPr>
                <w:rFonts w:ascii="times new roman" w:hAnsi="times new roman"/>
                <w:sz w:val="20"/>
              </w:rPr>
              <w:t>for the 2007 promissory notes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Re-pricing and extension of warrants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based compensation</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904,822</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904,822</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warrants at fair value pursuant</w:t>
            </w:r>
          </w:p>
          <w:p>
            <w:pPr>
              <w:pStyle w:val="TableContents"/>
              <w:spacing w:before="0" w:after="0"/>
              <w:ind w:left="0" w:right="0" w:hanging="0"/>
              <w:jc w:val="left"/>
              <w:rPr/>
            </w:pPr>
            <w:r>
              <w:rPr/>
              <w:t>   </w:t>
            </w:r>
            <w:r>
              <w:rPr>
                <w:rFonts w:ascii="times new roman" w:hAnsi="times new roman"/>
                <w:sz w:val="20"/>
              </w:rPr>
              <w:t>to promissory note extension</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44,000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shares at fair value pursuant</w:t>
            </w:r>
          </w:p>
          <w:p>
            <w:pPr>
              <w:pStyle w:val="TableContents"/>
              <w:spacing w:before="0" w:after="0"/>
              <w:ind w:left="0" w:right="0" w:hanging="0"/>
              <w:jc w:val="left"/>
              <w:rPr/>
            </w:pPr>
            <w:r>
              <w:rPr/>
              <w:t>   </w:t>
            </w:r>
            <w:r>
              <w:rPr>
                <w:rFonts w:ascii="times new roman" w:hAnsi="times new roman"/>
                <w:sz w:val="20"/>
              </w:rPr>
              <w:t>to service agreements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(3,891,411</w:t>
            </w:r>
          </w:p>
        </w:tc>
        <w:tc>
          <w:tcPr>
            <w:tcW w:w="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(3,891,411</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4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4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8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3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9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(23,161</w:t>
            </w:r>
          </w:p>
        </w:tc>
        <w:tc>
          <w:tcPr>
            <w:tcW w:w="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8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(23,161</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2007</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2,350,268</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23,503</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16,910,218</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67,400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(18,616,167</w:t>
            </w:r>
          </w:p>
        </w:tc>
        <w:tc>
          <w:tcPr>
            <w:tcW w:w="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(1,674,772</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80" w:type="dxa"/>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pPr>
            <w:r>
              <w:rPr/>
              <w:t> </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pPr>
            <w:r>
              <w:rPr/>
              <w:t> </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$0.25 per share in July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34,860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the exercise of warrants in June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20,715</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207</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24,793</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pursuant to service agreements</w:t>
            </w:r>
          </w:p>
          <w:p>
            <w:pPr>
              <w:pStyle w:val="TableContents"/>
              <w:spacing w:before="0" w:after="0"/>
              <w:ind w:left="0" w:right="0" w:hanging="0"/>
              <w:jc w:val="left"/>
              <w:rPr/>
            </w:pPr>
            <w:r>
              <w:rPr/>
              <w:t>  </w:t>
            </w:r>
            <w:r>
              <w:rPr>
                <w:rFonts w:ascii="times new roman" w:hAnsi="times new roman"/>
                <w:sz w:val="20"/>
              </w:rPr>
              <w:t>at a fair value of $0.30 per share in April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89,700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w:t>
            </w:r>
          </w:p>
          <w:p>
            <w:pPr>
              <w:pStyle w:val="TableContents"/>
              <w:spacing w:before="0" w:after="0"/>
              <w:ind w:left="0" w:right="0" w:hanging="0"/>
              <w:jc w:val="left"/>
              <w:rPr/>
            </w:pPr>
            <w:r>
              <w:rPr/>
              <w:t>  </w:t>
            </w:r>
            <w:r>
              <w:rPr>
                <w:rFonts w:ascii="times new roman" w:hAnsi="times new roman"/>
                <w:sz w:val="20"/>
              </w:rPr>
              <w:t>with the 2008 promissory notes in May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206,820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206,820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to be issued in</w:t>
            </w:r>
          </w:p>
          <w:p>
            <w:pPr>
              <w:pStyle w:val="TableContents"/>
              <w:spacing w:before="0" w:after="0"/>
              <w:ind w:left="0" w:right="0" w:hanging="0"/>
              <w:jc w:val="left"/>
              <w:rPr/>
            </w:pPr>
            <w:r>
              <w:rPr/>
              <w:t>  </w:t>
            </w:r>
            <w:r>
              <w:rPr>
                <w:rFonts w:ascii="times new roman" w:hAnsi="times new roman"/>
                <w:sz w:val="20"/>
              </w:rPr>
              <w:t>connection with notes payable in October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256,350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256,350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based compensation in January to December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234,168</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234,168</w:t>
            </w:r>
          </w:p>
        </w:tc>
        <w:tc>
          <w:tcPr>
            <w:tcW w:w="123"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2" w:name="PGBRK30"/>
      <w:bookmarkStart w:id="343" w:name="PGBRK30"/>
      <w:bookmarkEnd w:id="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4" w:name="FTR30"/>
      <w:bookmarkStart w:id="345" w:name="FTR30"/>
      <w:bookmarkEnd w:id="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6" w:name="GLFTR30"/>
      <w:bookmarkEnd w:id="3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7" w:name="PN30"/>
      <w:bookmarkEnd w:id="347"/>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8" w:name="HDR30"/>
      <w:bookmarkStart w:id="349" w:name="HDR30"/>
      <w:bookmarkEnd w:id="3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0" w:name="GLHDR30"/>
      <w:bookmarkEnd w:id="3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2010</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1489"/>
        <w:gridCol w:w="66"/>
        <w:gridCol w:w="66"/>
        <w:gridCol w:w="993"/>
        <w:gridCol w:w="66"/>
        <w:gridCol w:w="66"/>
        <w:gridCol w:w="128"/>
        <w:gridCol w:w="705"/>
        <w:gridCol w:w="85"/>
        <w:gridCol w:w="66"/>
        <w:gridCol w:w="128"/>
        <w:gridCol w:w="993"/>
        <w:gridCol w:w="66"/>
        <w:gridCol w:w="66"/>
        <w:gridCol w:w="131"/>
        <w:gridCol w:w="828"/>
        <w:gridCol w:w="84"/>
        <w:gridCol w:w="66"/>
        <w:gridCol w:w="128"/>
        <w:gridCol w:w="1050"/>
        <w:gridCol w:w="85"/>
        <w:gridCol w:w="66"/>
        <w:gridCol w:w="208"/>
        <w:gridCol w:w="1122"/>
        <w:gridCol w:w="85"/>
        <w:gridCol w:w="66"/>
        <w:gridCol w:w="128"/>
        <w:gridCol w:w="1050"/>
        <w:gridCol w:w="125"/>
      </w:tblGrid>
      <w:tr>
        <w:trPr/>
        <w:tc>
          <w:tcPr>
            <w:tcW w:w="1489" w:type="dxa"/>
            <w:tcBorders>
              <w:top w:val="single" w:sz="12" w:space="0" w:color="000000"/>
            </w:tcBorders>
            <w:shd w:fill="auto" w:val="clear"/>
            <w:vAlign w:val="bottom"/>
          </w:tcPr>
          <w:p>
            <w:pPr>
              <w:pStyle w:val="TableContents"/>
              <w:spacing w:before="0" w:after="283"/>
              <w:rPr/>
            </w:pPr>
            <w:r>
              <w:rPr/>
              <w:t xml:space="preserve">  </w:t>
            </w:r>
          </w:p>
        </w:tc>
        <w:tc>
          <w:tcPr>
            <w:tcW w:w="66" w:type="dxa"/>
            <w:tcBorders>
              <w:top w:val="single" w:sz="12" w:space="0" w:color="000000"/>
            </w:tcBorders>
            <w:shd w:fill="auto" w:val="clear"/>
            <w:vAlign w:val="bottom"/>
          </w:tcPr>
          <w:p>
            <w:pPr>
              <w:pStyle w:val="TableContents"/>
              <w:spacing w:before="0" w:after="283"/>
              <w:rPr/>
            </w:pPr>
            <w:r>
              <w:rPr/>
              <w:t> </w:t>
            </w:r>
          </w:p>
        </w:tc>
        <w:tc>
          <w:tcPr>
            <w:tcW w:w="2024"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85" w:type="dxa"/>
            <w:tcBorders>
              <w:top w:val="single" w:sz="12" w:space="0" w:color="000000"/>
            </w:tcBorders>
            <w:shd w:fill="auto" w:val="clear"/>
            <w:vAlign w:val="bottom"/>
          </w:tcPr>
          <w:p>
            <w:pPr>
              <w:pStyle w:val="TableContents"/>
              <w:spacing w:before="0" w:after="283"/>
              <w:jc w:val="left"/>
              <w:rPr/>
            </w:pPr>
            <w:r>
              <w:rPr/>
              <w:t> </w:t>
            </w:r>
          </w:p>
        </w:tc>
        <w:tc>
          <w:tcPr>
            <w:tcW w:w="66" w:type="dxa"/>
            <w:tcBorders>
              <w:top w:val="single" w:sz="12" w:space="0" w:color="000000"/>
            </w:tcBorders>
            <w:shd w:fill="auto" w:val="clear"/>
            <w:vAlign w:val="bottom"/>
          </w:tcPr>
          <w:p>
            <w:pPr>
              <w:pStyle w:val="TableContents"/>
              <w:spacing w:before="0" w:after="283"/>
              <w:rPr/>
            </w:pPr>
            <w:r>
              <w:rPr/>
              <w:t> </w:t>
            </w:r>
          </w:p>
        </w:tc>
        <w:tc>
          <w:tcPr>
            <w:tcW w:w="1121"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66" w:type="dxa"/>
            <w:tcBorders>
              <w:top w:val="single" w:sz="12" w:space="0" w:color="000000"/>
            </w:tcBorders>
            <w:shd w:fill="auto" w:val="clear"/>
            <w:vAlign w:val="bottom"/>
          </w:tcPr>
          <w:p>
            <w:pPr>
              <w:pStyle w:val="TableContents"/>
              <w:spacing w:before="0" w:after="283"/>
              <w:jc w:val="left"/>
              <w:rPr/>
            </w:pPr>
            <w:r>
              <w:rPr/>
              <w:t> </w:t>
            </w:r>
          </w:p>
        </w:tc>
        <w:tc>
          <w:tcPr>
            <w:tcW w:w="66" w:type="dxa"/>
            <w:tcBorders>
              <w:top w:val="single" w:sz="12" w:space="0" w:color="000000"/>
            </w:tcBorders>
            <w:shd w:fill="auto" w:val="clear"/>
            <w:vAlign w:val="bottom"/>
          </w:tcPr>
          <w:p>
            <w:pPr>
              <w:pStyle w:val="TableContents"/>
              <w:spacing w:before="0" w:after="283"/>
              <w:rPr/>
            </w:pPr>
            <w:r>
              <w:rPr/>
              <w:t> </w:t>
            </w:r>
          </w:p>
        </w:tc>
        <w:tc>
          <w:tcPr>
            <w:tcW w:w="959"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84" w:type="dxa"/>
            <w:tcBorders>
              <w:top w:val="single" w:sz="12" w:space="0" w:color="000000"/>
            </w:tcBorders>
            <w:shd w:fill="auto" w:val="clear"/>
            <w:vAlign w:val="bottom"/>
          </w:tcPr>
          <w:p>
            <w:pPr>
              <w:pStyle w:val="TableContents"/>
              <w:spacing w:before="0" w:after="283"/>
              <w:jc w:val="left"/>
              <w:rPr/>
            </w:pPr>
            <w:r>
              <w:rPr/>
              <w:t> </w:t>
            </w:r>
          </w:p>
        </w:tc>
        <w:tc>
          <w:tcPr>
            <w:tcW w:w="66" w:type="dxa"/>
            <w:tcBorders>
              <w:top w:val="single" w:sz="12" w:space="0" w:color="000000"/>
            </w:tcBorders>
            <w:shd w:fill="auto" w:val="clear"/>
            <w:vAlign w:val="bottom"/>
          </w:tcPr>
          <w:p>
            <w:pPr>
              <w:pStyle w:val="TableContents"/>
              <w:spacing w:before="0" w:after="283"/>
              <w:rPr/>
            </w:pPr>
            <w:r>
              <w:rPr/>
              <w:t> </w:t>
            </w:r>
          </w:p>
        </w:tc>
        <w:tc>
          <w:tcPr>
            <w:tcW w:w="1178"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85" w:type="dxa"/>
            <w:tcBorders>
              <w:top w:val="single" w:sz="12" w:space="0" w:color="000000"/>
            </w:tcBorders>
            <w:shd w:fill="auto" w:val="clear"/>
            <w:vAlign w:val="bottom"/>
          </w:tcPr>
          <w:p>
            <w:pPr>
              <w:pStyle w:val="TableContents"/>
              <w:spacing w:before="0" w:after="283"/>
              <w:jc w:val="left"/>
              <w:rPr/>
            </w:pPr>
            <w:r>
              <w:rPr/>
              <w:t> </w:t>
            </w:r>
          </w:p>
        </w:tc>
        <w:tc>
          <w:tcPr>
            <w:tcW w:w="66" w:type="dxa"/>
            <w:tcBorders>
              <w:top w:val="single" w:sz="12" w:space="0" w:color="000000"/>
            </w:tcBorders>
            <w:shd w:fill="auto" w:val="clear"/>
            <w:vAlign w:val="bottom"/>
          </w:tcPr>
          <w:p>
            <w:pPr>
              <w:pStyle w:val="TableContents"/>
              <w:spacing w:before="0" w:after="283"/>
              <w:rPr/>
            </w:pPr>
            <w:r>
              <w:rPr/>
              <w:t> </w:t>
            </w:r>
          </w:p>
        </w:tc>
        <w:tc>
          <w:tcPr>
            <w:tcW w:w="1330"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85" w:type="dxa"/>
            <w:tcBorders>
              <w:top w:val="single" w:sz="12" w:space="0" w:color="000000"/>
            </w:tcBorders>
            <w:shd w:fill="auto" w:val="clear"/>
            <w:vAlign w:val="bottom"/>
          </w:tcPr>
          <w:p>
            <w:pPr>
              <w:pStyle w:val="TableContents"/>
              <w:spacing w:before="0" w:after="283"/>
              <w:jc w:val="left"/>
              <w:rPr/>
            </w:pPr>
            <w:r>
              <w:rPr/>
              <w:t> </w:t>
            </w:r>
          </w:p>
        </w:tc>
        <w:tc>
          <w:tcPr>
            <w:tcW w:w="66" w:type="dxa"/>
            <w:tcBorders>
              <w:top w:val="single" w:sz="12" w:space="0" w:color="000000"/>
            </w:tcBorders>
            <w:shd w:fill="auto" w:val="clear"/>
            <w:vAlign w:val="bottom"/>
          </w:tcPr>
          <w:p>
            <w:pPr>
              <w:pStyle w:val="TableContents"/>
              <w:spacing w:before="0" w:after="283"/>
              <w:rPr/>
            </w:pPr>
            <w:r>
              <w:rPr/>
              <w:t> </w:t>
            </w:r>
          </w:p>
        </w:tc>
        <w:tc>
          <w:tcPr>
            <w:tcW w:w="1178" w:type="dxa"/>
            <w:gridSpan w:val="2"/>
            <w:tcBorders>
              <w:top w:val="single" w:sz="12" w:space="0" w:color="000000"/>
            </w:tcBorders>
            <w:shd w:fill="auto" w:val="clear"/>
            <w:vAlign w:val="bottom"/>
          </w:tcPr>
          <w:p>
            <w:pPr>
              <w:pStyle w:val="TableContents"/>
              <w:spacing w:before="0" w:after="283"/>
              <w:rPr/>
            </w:pPr>
            <w:r>
              <w:rPr/>
              <w:t> </w:t>
            </w:r>
          </w:p>
        </w:tc>
        <w:tc>
          <w:tcPr>
            <w:tcW w:w="125" w:type="dxa"/>
            <w:tcBorders>
              <w:top w:val="single" w:sz="12" w:space="0" w:color="000000"/>
            </w:tcBorders>
            <w:shd w:fill="auto" w:val="clear"/>
            <w:vAlign w:val="bottom"/>
          </w:tcPr>
          <w:p>
            <w:pPr>
              <w:pStyle w:val="TableContents"/>
              <w:spacing w:before="0" w:after="283"/>
              <w:jc w:val="left"/>
              <w:rPr/>
            </w:pPr>
            <w:r>
              <w:rPr/>
              <w:t> </w:t>
            </w:r>
          </w:p>
        </w:tc>
      </w:tr>
      <w:tr>
        <w:trPr/>
        <w:tc>
          <w:tcPr>
            <w:tcW w:w="1489"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66" w:type="dxa"/>
            <w:tcBorders/>
            <w:shd w:fill="auto" w:val="clear"/>
            <w:tcMar>
              <w:top w:w="0" w:type="dxa"/>
            </w:tcMar>
            <w:vAlign w:val="bottom"/>
          </w:tcPr>
          <w:p>
            <w:pPr>
              <w:pStyle w:val="TableContents"/>
              <w:spacing w:before="0" w:after="283"/>
              <w:rPr/>
            </w:pPr>
            <w:r>
              <w:rPr/>
              <w:t> </w:t>
            </w:r>
          </w:p>
        </w:tc>
        <w:tc>
          <w:tcPr>
            <w:tcW w:w="105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833"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1121"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95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1178"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133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1178"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5" w:type="dxa"/>
            <w:tcBorders/>
            <w:shd w:fill="auto" w:val="clear"/>
            <w:tcMar>
              <w:top w:w="0" w:type="dxa"/>
            </w:tcMar>
            <w:vAlign w:val="bottom"/>
          </w:tcPr>
          <w:p>
            <w:pPr>
              <w:pStyle w:val="TableContents"/>
              <w:spacing w:before="0" w:after="283"/>
              <w:jc w:val="left"/>
              <w:rPr/>
            </w:pPr>
            <w:r>
              <w:rPr/>
              <w:t> </w:t>
            </w:r>
          </w:p>
        </w:tc>
      </w:tr>
      <w:tr>
        <w:trPr/>
        <w:tc>
          <w:tcPr>
            <w:tcW w:w="1489" w:type="dxa"/>
            <w:tcBorders/>
            <w:shd w:fill="auto" w:val="clear"/>
            <w:tcMar>
              <w:top w:w="0" w:type="dxa"/>
            </w:tcMar>
            <w:vAlign w:val="bottom"/>
          </w:tcPr>
          <w:p>
            <w:pPr>
              <w:pStyle w:val="TableContents"/>
              <w:spacing w:before="0" w:after="283"/>
              <w:rPr/>
            </w:pPr>
            <w:r>
              <w:rPr/>
              <w:t xml:space="preserve">  </w:t>
            </w:r>
          </w:p>
        </w:tc>
        <w:tc>
          <w:tcPr>
            <w:tcW w:w="66" w:type="dxa"/>
            <w:tcBorders/>
            <w:shd w:fill="auto" w:val="clear"/>
            <w:tcMar>
              <w:top w:w="0" w:type="dxa"/>
            </w:tcMar>
            <w:vAlign w:val="bottom"/>
          </w:tcPr>
          <w:p>
            <w:pPr>
              <w:pStyle w:val="TableContents"/>
              <w:spacing w:before="0" w:after="283"/>
              <w:rPr/>
            </w:pPr>
            <w:r>
              <w:rPr/>
              <w:t> </w:t>
            </w:r>
          </w:p>
        </w:tc>
        <w:tc>
          <w:tcPr>
            <w:tcW w:w="1059" w:type="dxa"/>
            <w:gridSpan w:val="2"/>
            <w:tcBorders/>
            <w:shd w:fill="auto" w:val="clear"/>
            <w:tcMar>
              <w:top w:w="0" w:type="dxa"/>
            </w:tcMar>
            <w:vAlign w:val="bottom"/>
          </w:tcPr>
          <w:p>
            <w:pPr>
              <w:pStyle w:val="TableContents"/>
              <w:spacing w:before="0" w:after="283"/>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833" w:type="dxa"/>
            <w:gridSpan w:val="2"/>
            <w:tcBorders/>
            <w:shd w:fill="auto" w:val="clear"/>
            <w:tcMar>
              <w:top w:w="0" w:type="dxa"/>
            </w:tcMar>
            <w:vAlign w:val="bottom"/>
          </w:tcPr>
          <w:p>
            <w:pPr>
              <w:pStyle w:val="TableContents"/>
              <w:spacing w:before="0" w:after="283"/>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1121" w:type="dxa"/>
            <w:gridSpan w:val="2"/>
            <w:tcBorders/>
            <w:shd w:fill="auto" w:val="clear"/>
            <w:tcMar>
              <w:top w:w="0" w:type="dxa"/>
            </w:tcMar>
            <w:vAlign w:val="bottom"/>
          </w:tcPr>
          <w:p>
            <w:pPr>
              <w:pStyle w:val="TableContents"/>
              <w:spacing w:before="0" w:after="283"/>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959" w:type="dxa"/>
            <w:gridSpan w:val="2"/>
            <w:tcBorders/>
            <w:shd w:fill="auto" w:val="clear"/>
            <w:tcMar>
              <w:top w:w="0" w:type="dxa"/>
            </w:tcMar>
            <w:vAlign w:val="bottom"/>
          </w:tcPr>
          <w:p>
            <w:pPr>
              <w:pStyle w:val="TableContents"/>
              <w:spacing w:before="0" w:after="283"/>
              <w:rPr/>
            </w:pPr>
            <w:r>
              <w:rPr/>
              <w:t> </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1178" w:type="dxa"/>
            <w:gridSpan w:val="2"/>
            <w:tcBorders/>
            <w:shd w:fill="auto" w:val="clear"/>
            <w:tcMar>
              <w:top w:w="0" w:type="dxa"/>
            </w:tcMar>
            <w:vAlign w:val="bottom"/>
          </w:tcPr>
          <w:p>
            <w:pPr>
              <w:pStyle w:val="TableContents"/>
              <w:spacing w:before="0" w:after="283"/>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1330" w:type="dxa"/>
            <w:gridSpan w:val="2"/>
            <w:tcBorders/>
            <w:shd w:fill="auto" w:val="clear"/>
            <w:tcMar>
              <w:top w:w="0" w:type="dxa"/>
            </w:tcMar>
            <w:vAlign w:val="bottom"/>
          </w:tcPr>
          <w:p>
            <w:pPr>
              <w:pStyle w:val="TableContents"/>
              <w:spacing w:before="0" w:after="283"/>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1178" w:type="dxa"/>
            <w:gridSpan w:val="2"/>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r>
      <w:tr>
        <w:trPr/>
        <w:tc>
          <w:tcPr>
            <w:tcW w:w="148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66" w:type="dxa"/>
            <w:tcBorders/>
            <w:shd w:fill="auto" w:val="clear"/>
            <w:tcMar>
              <w:top w:w="0" w:type="dxa"/>
            </w:tcMar>
            <w:vAlign w:val="bottom"/>
          </w:tcPr>
          <w:p>
            <w:pPr>
              <w:pStyle w:val="TableContents"/>
              <w:spacing w:before="0" w:after="283"/>
              <w:jc w:val="right"/>
              <w:rPr/>
            </w:pPr>
            <w:r>
              <w:rPr/>
              <w:t> </w:t>
            </w:r>
          </w:p>
        </w:tc>
        <w:tc>
          <w:tcPr>
            <w:tcW w:w="6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9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0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9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3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2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5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(2,195,939</w:t>
            </w:r>
          </w:p>
        </w:tc>
        <w:tc>
          <w:tcPr>
            <w:tcW w:w="8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right"/>
              <w:rPr/>
            </w:pPr>
            <w:r>
              <w:rPr/>
              <w:t> </w:t>
            </w:r>
          </w:p>
        </w:tc>
        <w:tc>
          <w:tcPr>
            <w:tcW w:w="20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22"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5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(2,195,939</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2008</w:t>
            </w:r>
          </w:p>
        </w:tc>
        <w:tc>
          <w:tcPr>
            <w:tcW w:w="66" w:type="dxa"/>
            <w:tcBorders/>
            <w:shd w:fill="auto" w:val="clear"/>
            <w:tcMar>
              <w:top w:w="0" w:type="dxa"/>
            </w:tcMar>
            <w:vAlign w:val="bottom"/>
          </w:tcPr>
          <w:p>
            <w:pPr>
              <w:pStyle w:val="TableContents"/>
              <w:spacing w:before="0" w:after="283"/>
              <w:jc w:val="right"/>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2,414,983</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24,150</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17,500,559</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31" w:type="dxa"/>
            <w:tcBorders/>
            <w:shd w:fill="auto" w:val="clear"/>
            <w:tcMar>
              <w:top w:w="0" w:type="dxa"/>
            </w:tcMar>
            <w:vAlign w:val="bottom"/>
          </w:tcPr>
          <w:p>
            <w:pPr>
              <w:pStyle w:val="TableContents"/>
              <w:spacing w:before="0" w:after="283"/>
              <w:jc w:val="left"/>
              <w:rPr/>
            </w:pPr>
            <w:r>
              <w:rPr/>
              <w:t> </w:t>
            </w:r>
          </w:p>
        </w:tc>
        <w:tc>
          <w:tcPr>
            <w:tcW w:w="82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323,750</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(20,812,106</w:t>
            </w:r>
          </w:p>
        </w:tc>
        <w:tc>
          <w:tcPr>
            <w:tcW w:w="8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2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8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(3,023,373</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Reverse split recapitalization adjustment (rounding) in July 2009</w:t>
            </w:r>
          </w:p>
        </w:tc>
        <w:tc>
          <w:tcPr>
            <w:tcW w:w="66" w:type="dxa"/>
            <w:tcBorders/>
            <w:shd w:fill="auto" w:val="clear"/>
            <w:tcMar>
              <w:top w:w="0" w:type="dxa"/>
            </w:tcMar>
            <w:vAlign w:val="bottom"/>
          </w:tcPr>
          <w:p>
            <w:pPr>
              <w:pStyle w:val="TableContents"/>
              <w:spacing w:before="0" w:after="283"/>
              <w:jc w:val="right"/>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(21,735</w:t>
            </w:r>
          </w:p>
        </w:tc>
        <w:tc>
          <w:tcPr>
            <w:tcW w:w="8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21,735</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31" w:type="dxa"/>
            <w:tcBorders/>
            <w:shd w:fill="auto" w:val="clear"/>
            <w:tcMar>
              <w:top w:w="0" w:type="dxa"/>
            </w:tcMar>
            <w:vAlign w:val="bottom"/>
          </w:tcPr>
          <w:p>
            <w:pPr>
              <w:pStyle w:val="TableContents"/>
              <w:spacing w:before="0" w:after="283"/>
              <w:jc w:val="left"/>
              <w:rPr/>
            </w:pPr>
            <w:r>
              <w:rPr/>
              <w:t> </w:t>
            </w:r>
          </w:p>
        </w:tc>
        <w:tc>
          <w:tcPr>
            <w:tcW w:w="82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2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r>
      <w:tr>
        <w:trPr/>
        <w:tc>
          <w:tcPr>
            <w:tcW w:w="14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66" w:type="dxa"/>
            <w:tcBorders/>
            <w:shd w:fill="auto" w:val="clear"/>
            <w:tcMar>
              <w:top w:w="0" w:type="dxa"/>
            </w:tcMar>
            <w:vAlign w:val="bottom"/>
          </w:tcPr>
          <w:p>
            <w:pPr>
              <w:pStyle w:val="TableContents"/>
              <w:spacing w:before="0" w:after="283"/>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05"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131" w:type="dxa"/>
            <w:tcBorders/>
            <w:shd w:fill="auto" w:val="clear"/>
            <w:tcMar>
              <w:top w:w="0" w:type="dxa"/>
            </w:tcMar>
            <w:vAlign w:val="bottom"/>
          </w:tcPr>
          <w:p>
            <w:pPr>
              <w:pStyle w:val="TableContents"/>
              <w:spacing w:before="0" w:after="283"/>
              <w:jc w:val="left"/>
              <w:rPr/>
            </w:pPr>
            <w:r>
              <w:rPr/>
              <w:t> </w:t>
            </w:r>
          </w:p>
        </w:tc>
        <w:tc>
          <w:tcPr>
            <w:tcW w:w="828" w:type="dxa"/>
            <w:tcBorders/>
            <w:shd w:fill="auto" w:val="clear"/>
            <w:tcMar>
              <w:top w:w="0" w:type="dxa"/>
            </w:tcMar>
            <w:vAlign w:val="bottom"/>
          </w:tcPr>
          <w:p>
            <w:pPr>
              <w:pStyle w:val="TableContents"/>
              <w:spacing w:before="0" w:after="283"/>
              <w:jc w:val="right"/>
              <w:rPr/>
            </w:pPr>
            <w:r>
              <w:rPr/>
              <w:t> </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22"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r>
      <w:tr>
        <w:trPr/>
        <w:tc>
          <w:tcPr>
            <w:tcW w:w="14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at $0.80 per share in November 2009</w:t>
            </w:r>
          </w:p>
        </w:tc>
        <w:tc>
          <w:tcPr>
            <w:tcW w:w="66" w:type="dxa"/>
            <w:tcBorders/>
            <w:shd w:fill="auto" w:val="clear"/>
            <w:tcMar>
              <w:top w:w="0" w:type="dxa"/>
            </w:tcMar>
            <w:vAlign w:val="bottom"/>
          </w:tcPr>
          <w:p>
            <w:pPr>
              <w:pStyle w:val="TableContents"/>
              <w:spacing w:before="0" w:after="283"/>
              <w:jc w:val="right"/>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875,000</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875</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699,125</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31" w:type="dxa"/>
            <w:tcBorders/>
            <w:shd w:fill="auto" w:val="clear"/>
            <w:tcMar>
              <w:top w:w="0" w:type="dxa"/>
            </w:tcMar>
            <w:vAlign w:val="bottom"/>
          </w:tcPr>
          <w:p>
            <w:pPr>
              <w:pStyle w:val="TableContents"/>
              <w:spacing w:before="0" w:after="283"/>
              <w:jc w:val="left"/>
              <w:rPr/>
            </w:pPr>
            <w:r>
              <w:rPr/>
              <w:t> </w:t>
            </w:r>
          </w:p>
        </w:tc>
        <w:tc>
          <w:tcPr>
            <w:tcW w:w="82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2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125" w:type="dxa"/>
            <w:tcBorders/>
            <w:shd w:fill="auto" w:val="clear"/>
            <w:tcMar>
              <w:top w:w="0" w:type="dxa"/>
            </w:tcMar>
            <w:vAlign w:val="bottom"/>
          </w:tcPr>
          <w:p>
            <w:pPr>
              <w:pStyle w:val="TableContents"/>
              <w:spacing w:before="0" w:after="283"/>
              <w:jc w:val="left"/>
              <w:rPr/>
            </w:pPr>
            <w:r>
              <w:rPr/>
              <w:t> </w:t>
            </w:r>
          </w:p>
        </w:tc>
      </w:tr>
      <w:tr>
        <w:trPr/>
        <w:tc>
          <w:tcPr>
            <w:tcW w:w="14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at fair value pursuant to service agreements in August 2009</w:t>
            </w:r>
          </w:p>
        </w:tc>
        <w:tc>
          <w:tcPr>
            <w:tcW w:w="66" w:type="dxa"/>
            <w:tcBorders/>
            <w:shd w:fill="auto" w:val="clear"/>
            <w:tcMar>
              <w:top w:w="0" w:type="dxa"/>
            </w:tcMar>
            <w:vAlign w:val="bottom"/>
          </w:tcPr>
          <w:p>
            <w:pPr>
              <w:pStyle w:val="TableContents"/>
              <w:spacing w:before="0" w:after="283"/>
              <w:jc w:val="right"/>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27,475</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31" w:type="dxa"/>
            <w:tcBorders/>
            <w:shd w:fill="auto" w:val="clear"/>
            <w:tcMar>
              <w:top w:w="0" w:type="dxa"/>
            </w:tcMar>
            <w:vAlign w:val="bottom"/>
          </w:tcPr>
          <w:p>
            <w:pPr>
              <w:pStyle w:val="TableContents"/>
              <w:spacing w:before="0" w:after="283"/>
              <w:jc w:val="left"/>
              <w:rPr/>
            </w:pPr>
            <w:r>
              <w:rPr/>
              <w:t> </w:t>
            </w:r>
          </w:p>
        </w:tc>
        <w:tc>
          <w:tcPr>
            <w:tcW w:w="82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2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125" w:type="dxa"/>
            <w:tcBorders/>
            <w:shd w:fill="auto" w:val="clear"/>
            <w:tcMar>
              <w:top w:w="0" w:type="dxa"/>
            </w:tcMar>
            <w:vAlign w:val="bottom"/>
          </w:tcPr>
          <w:p>
            <w:pPr>
              <w:pStyle w:val="TableContents"/>
              <w:spacing w:before="0" w:after="283"/>
              <w:jc w:val="left"/>
              <w:rPr/>
            </w:pPr>
            <w:r>
              <w:rPr/>
              <w:t> </w:t>
            </w:r>
          </w:p>
        </w:tc>
      </w:tr>
      <w:tr>
        <w:trPr/>
        <w:tc>
          <w:tcPr>
            <w:tcW w:w="14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at fair value pursuant to</w:t>
            </w:r>
          </w:p>
          <w:p>
            <w:pPr>
              <w:pStyle w:val="TableContents"/>
              <w:spacing w:before="0" w:after="0"/>
              <w:ind w:left="0" w:right="0" w:hanging="0"/>
              <w:jc w:val="left"/>
              <w:rPr/>
            </w:pPr>
            <w:r>
              <w:rPr/>
              <w:t>  </w:t>
            </w:r>
            <w:r>
              <w:rPr>
                <w:rFonts w:ascii="times new roman" w:hAnsi="times new roman"/>
                <w:sz w:val="20"/>
              </w:rPr>
              <w:t>debt settlement agreements in July 2009</w:t>
            </w:r>
          </w:p>
        </w:tc>
        <w:tc>
          <w:tcPr>
            <w:tcW w:w="66" w:type="dxa"/>
            <w:tcBorders/>
            <w:shd w:fill="auto" w:val="clear"/>
            <w:tcMar>
              <w:top w:w="0" w:type="dxa"/>
            </w:tcMar>
            <w:vAlign w:val="bottom"/>
          </w:tcPr>
          <w:p>
            <w:pPr>
              <w:pStyle w:val="TableContents"/>
              <w:spacing w:before="0" w:after="283"/>
              <w:jc w:val="right"/>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33,812,065</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33,812</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15,181,618</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31" w:type="dxa"/>
            <w:tcBorders/>
            <w:shd w:fill="auto" w:val="clear"/>
            <w:tcMar>
              <w:top w:w="0" w:type="dxa"/>
            </w:tcMar>
            <w:vAlign w:val="bottom"/>
          </w:tcPr>
          <w:p>
            <w:pPr>
              <w:pStyle w:val="TableContents"/>
              <w:spacing w:before="0" w:after="283"/>
              <w:jc w:val="left"/>
              <w:rPr/>
            </w:pPr>
            <w:r>
              <w:rPr/>
              <w:t> </w:t>
            </w:r>
          </w:p>
        </w:tc>
        <w:tc>
          <w:tcPr>
            <w:tcW w:w="82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2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15,215,430</w:t>
            </w:r>
          </w:p>
        </w:tc>
        <w:tc>
          <w:tcPr>
            <w:tcW w:w="125" w:type="dxa"/>
            <w:tcBorders/>
            <w:shd w:fill="auto" w:val="clear"/>
            <w:tcMar>
              <w:top w:w="0" w:type="dxa"/>
            </w:tcMar>
            <w:vAlign w:val="bottom"/>
          </w:tcPr>
          <w:p>
            <w:pPr>
              <w:pStyle w:val="TableContents"/>
              <w:spacing w:before="0" w:after="283"/>
              <w:jc w:val="left"/>
              <w:rPr/>
            </w:pPr>
            <w:r>
              <w:rPr/>
              <w:t> </w:t>
            </w:r>
          </w:p>
        </w:tc>
      </w:tr>
      <w:tr>
        <w:trPr/>
        <w:tc>
          <w:tcPr>
            <w:tcW w:w="14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the exercise of warrants in August and November 2009</w:t>
            </w:r>
          </w:p>
        </w:tc>
        <w:tc>
          <w:tcPr>
            <w:tcW w:w="66" w:type="dxa"/>
            <w:tcBorders/>
            <w:shd w:fill="auto" w:val="clear"/>
            <w:tcMar>
              <w:top w:w="0" w:type="dxa"/>
            </w:tcMar>
            <w:vAlign w:val="bottom"/>
          </w:tcPr>
          <w:p>
            <w:pPr>
              <w:pStyle w:val="TableContents"/>
              <w:spacing w:before="0" w:after="283"/>
              <w:jc w:val="right"/>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1,234,508</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1,235</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241,515</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31" w:type="dxa"/>
            <w:tcBorders/>
            <w:shd w:fill="auto" w:val="clear"/>
            <w:tcMar>
              <w:top w:w="0" w:type="dxa"/>
            </w:tcMar>
            <w:vAlign w:val="bottom"/>
          </w:tcPr>
          <w:p>
            <w:pPr>
              <w:pStyle w:val="TableContents"/>
              <w:spacing w:before="0" w:after="283"/>
              <w:jc w:val="left"/>
              <w:rPr/>
            </w:pPr>
            <w:r>
              <w:rPr/>
              <w:t> </w:t>
            </w:r>
          </w:p>
        </w:tc>
        <w:tc>
          <w:tcPr>
            <w:tcW w:w="82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2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242,750</w:t>
            </w:r>
          </w:p>
        </w:tc>
        <w:tc>
          <w:tcPr>
            <w:tcW w:w="125" w:type="dxa"/>
            <w:tcBorders/>
            <w:shd w:fill="auto" w:val="clear"/>
            <w:tcMar>
              <w:top w:w="0" w:type="dxa"/>
            </w:tcMar>
            <w:vAlign w:val="bottom"/>
          </w:tcPr>
          <w:p>
            <w:pPr>
              <w:pStyle w:val="TableContents"/>
              <w:spacing w:before="0" w:after="283"/>
              <w:jc w:val="left"/>
              <w:rPr/>
            </w:pPr>
            <w:r>
              <w:rPr/>
              <w:t> </w:t>
            </w:r>
          </w:p>
        </w:tc>
      </w:tr>
      <w:tr>
        <w:trPr/>
        <w:tc>
          <w:tcPr>
            <w:tcW w:w="14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based compensation in October 2009</w:t>
            </w:r>
          </w:p>
        </w:tc>
        <w:tc>
          <w:tcPr>
            <w:tcW w:w="66" w:type="dxa"/>
            <w:tcBorders/>
            <w:shd w:fill="auto" w:val="clear"/>
            <w:tcMar>
              <w:top w:w="0" w:type="dxa"/>
            </w:tcMar>
            <w:vAlign w:val="bottom"/>
          </w:tcPr>
          <w:p>
            <w:pPr>
              <w:pStyle w:val="TableContents"/>
              <w:spacing w:before="0" w:after="283"/>
              <w:jc w:val="right"/>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2,091,900</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31" w:type="dxa"/>
            <w:tcBorders/>
            <w:shd w:fill="auto" w:val="clear"/>
            <w:tcMar>
              <w:top w:w="0" w:type="dxa"/>
            </w:tcMar>
            <w:vAlign w:val="bottom"/>
          </w:tcPr>
          <w:p>
            <w:pPr>
              <w:pStyle w:val="TableContents"/>
              <w:spacing w:before="0" w:after="283"/>
              <w:jc w:val="left"/>
              <w:rPr/>
            </w:pPr>
            <w:r>
              <w:rPr/>
              <w:t> </w:t>
            </w:r>
          </w:p>
        </w:tc>
        <w:tc>
          <w:tcPr>
            <w:tcW w:w="82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2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2,091,900</w:t>
            </w:r>
          </w:p>
        </w:tc>
        <w:tc>
          <w:tcPr>
            <w:tcW w:w="125" w:type="dxa"/>
            <w:tcBorders/>
            <w:shd w:fill="auto" w:val="clear"/>
            <w:tcMar>
              <w:top w:w="0" w:type="dxa"/>
            </w:tcMar>
            <w:vAlign w:val="bottom"/>
          </w:tcPr>
          <w:p>
            <w:pPr>
              <w:pStyle w:val="TableContents"/>
              <w:spacing w:before="0" w:after="283"/>
              <w:jc w:val="left"/>
              <w:rPr/>
            </w:pPr>
            <w:r>
              <w:rPr/>
              <w:t> </w:t>
            </w:r>
          </w:p>
        </w:tc>
      </w:tr>
      <w:tr>
        <w:trPr/>
        <w:tc>
          <w:tcPr>
            <w:tcW w:w="14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February , May and  June 2009 in connection with promissory notes</w:t>
            </w:r>
          </w:p>
        </w:tc>
        <w:tc>
          <w:tcPr>
            <w:tcW w:w="66" w:type="dxa"/>
            <w:tcBorders/>
            <w:shd w:fill="auto" w:val="clear"/>
            <w:tcMar>
              <w:top w:w="0" w:type="dxa"/>
            </w:tcMar>
            <w:vAlign w:val="bottom"/>
          </w:tcPr>
          <w:p>
            <w:pPr>
              <w:pStyle w:val="TableContents"/>
              <w:spacing w:before="0" w:after="283"/>
              <w:jc w:val="right"/>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725,669</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31" w:type="dxa"/>
            <w:tcBorders/>
            <w:shd w:fill="auto" w:val="clear"/>
            <w:tcMar>
              <w:top w:w="0" w:type="dxa"/>
            </w:tcMar>
            <w:vAlign w:val="bottom"/>
          </w:tcPr>
          <w:p>
            <w:pPr>
              <w:pStyle w:val="TableContents"/>
              <w:spacing w:before="0" w:after="283"/>
              <w:jc w:val="left"/>
              <w:rPr/>
            </w:pPr>
            <w:r>
              <w:rPr/>
              <w:t> </w:t>
            </w:r>
          </w:p>
        </w:tc>
        <w:tc>
          <w:tcPr>
            <w:tcW w:w="82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(300,350</w:t>
            </w:r>
          </w:p>
        </w:tc>
        <w:tc>
          <w:tcPr>
            <w:tcW w:w="8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2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425,319</w:t>
            </w:r>
          </w:p>
        </w:tc>
        <w:tc>
          <w:tcPr>
            <w:tcW w:w="125" w:type="dxa"/>
            <w:tcBorders/>
            <w:shd w:fill="auto" w:val="clear"/>
            <w:tcMar>
              <w:top w:w="0" w:type="dxa"/>
            </w:tcMar>
            <w:vAlign w:val="bottom"/>
          </w:tcPr>
          <w:p>
            <w:pPr>
              <w:pStyle w:val="TableContents"/>
              <w:spacing w:before="0" w:after="283"/>
              <w:jc w:val="left"/>
              <w:rPr/>
            </w:pPr>
            <w:r>
              <w:rPr/>
              <w:t> </w:t>
            </w:r>
          </w:p>
        </w:tc>
      </w:tr>
      <w:tr>
        <w:trPr/>
        <w:tc>
          <w:tcPr>
            <w:tcW w:w="14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August and October 2009 in connection  with convertible notes</w:t>
            </w:r>
          </w:p>
        </w:tc>
        <w:tc>
          <w:tcPr>
            <w:tcW w:w="66" w:type="dxa"/>
            <w:tcBorders/>
            <w:shd w:fill="auto" w:val="clear"/>
            <w:tcMar>
              <w:top w:w="0" w:type="dxa"/>
            </w:tcMar>
            <w:vAlign w:val="bottom"/>
          </w:tcPr>
          <w:p>
            <w:pPr>
              <w:pStyle w:val="TableContents"/>
              <w:spacing w:before="0" w:after="283"/>
              <w:jc w:val="right"/>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425,491</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31" w:type="dxa"/>
            <w:tcBorders/>
            <w:shd w:fill="auto" w:val="clear"/>
            <w:tcMar>
              <w:top w:w="0" w:type="dxa"/>
            </w:tcMar>
            <w:vAlign w:val="bottom"/>
          </w:tcPr>
          <w:p>
            <w:pPr>
              <w:pStyle w:val="TableContents"/>
              <w:spacing w:before="0" w:after="283"/>
              <w:jc w:val="left"/>
              <w:rPr/>
            </w:pPr>
            <w:r>
              <w:rPr/>
              <w:t> </w:t>
            </w:r>
          </w:p>
        </w:tc>
        <w:tc>
          <w:tcPr>
            <w:tcW w:w="82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2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425,491</w:t>
            </w:r>
          </w:p>
        </w:tc>
        <w:tc>
          <w:tcPr>
            <w:tcW w:w="125" w:type="dxa"/>
            <w:tcBorders/>
            <w:shd w:fill="auto" w:val="clear"/>
            <w:tcMar>
              <w:top w:w="0" w:type="dxa"/>
            </w:tcMar>
            <w:vAlign w:val="bottom"/>
          </w:tcPr>
          <w:p>
            <w:pPr>
              <w:pStyle w:val="TableContents"/>
              <w:spacing w:before="0" w:after="283"/>
              <w:jc w:val="left"/>
              <w:rPr/>
            </w:pPr>
            <w:r>
              <w:rPr/>
              <w:t> </w:t>
            </w:r>
          </w:p>
        </w:tc>
      </w:tr>
      <w:tr>
        <w:trPr/>
        <w:tc>
          <w:tcPr>
            <w:tcW w:w="14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December 2009 pursuant  to service agreements</w:t>
            </w:r>
          </w:p>
        </w:tc>
        <w:tc>
          <w:tcPr>
            <w:tcW w:w="66" w:type="dxa"/>
            <w:tcBorders/>
            <w:shd w:fill="auto" w:val="clear"/>
            <w:tcMar>
              <w:top w:w="0" w:type="dxa"/>
            </w:tcMar>
            <w:vAlign w:val="bottom"/>
          </w:tcPr>
          <w:p>
            <w:pPr>
              <w:pStyle w:val="TableContents"/>
              <w:spacing w:before="0" w:after="283"/>
              <w:jc w:val="right"/>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374,270</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31" w:type="dxa"/>
            <w:tcBorders/>
            <w:shd w:fill="auto" w:val="clear"/>
            <w:tcMar>
              <w:top w:w="0" w:type="dxa"/>
            </w:tcMar>
            <w:vAlign w:val="bottom"/>
          </w:tcPr>
          <w:p>
            <w:pPr>
              <w:pStyle w:val="TableContents"/>
              <w:spacing w:before="0" w:after="283"/>
              <w:jc w:val="left"/>
              <w:rPr/>
            </w:pPr>
            <w:r>
              <w:rPr/>
              <w:t> </w:t>
            </w:r>
          </w:p>
        </w:tc>
        <w:tc>
          <w:tcPr>
            <w:tcW w:w="82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2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374,270</w:t>
            </w:r>
          </w:p>
        </w:tc>
        <w:tc>
          <w:tcPr>
            <w:tcW w:w="125" w:type="dxa"/>
            <w:tcBorders/>
            <w:shd w:fill="auto" w:val="clear"/>
            <w:tcMar>
              <w:top w:w="0" w:type="dxa"/>
            </w:tcMar>
            <w:vAlign w:val="bottom"/>
          </w:tcPr>
          <w:p>
            <w:pPr>
              <w:pStyle w:val="TableContents"/>
              <w:spacing w:before="0" w:after="283"/>
              <w:jc w:val="left"/>
              <w:rPr/>
            </w:pPr>
            <w:r>
              <w:rPr/>
              <w:t> </w:t>
            </w:r>
          </w:p>
        </w:tc>
      </w:tr>
      <w:tr>
        <w:trPr/>
        <w:tc>
          <w:tcPr>
            <w:tcW w:w="14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shares at fair value</w:t>
            </w:r>
          </w:p>
          <w:p>
            <w:pPr>
              <w:pStyle w:val="TableContents"/>
              <w:spacing w:before="0" w:after="0"/>
              <w:ind w:left="0" w:right="0" w:hanging="0"/>
              <w:jc w:val="left"/>
              <w:rPr/>
            </w:pPr>
            <w:r>
              <w:rPr/>
              <w:t>  </w:t>
            </w:r>
            <w:r>
              <w:rPr>
                <w:rFonts w:ascii="times new roman" w:hAnsi="times new roman"/>
                <w:sz w:val="20"/>
              </w:rPr>
              <w:t>pursuant to service agreements in December 2009</w:t>
            </w:r>
          </w:p>
        </w:tc>
        <w:tc>
          <w:tcPr>
            <w:tcW w:w="66" w:type="dxa"/>
            <w:tcBorders/>
            <w:shd w:fill="auto" w:val="clear"/>
            <w:tcMar>
              <w:top w:w="0" w:type="dxa"/>
            </w:tcMar>
            <w:vAlign w:val="bottom"/>
          </w:tcPr>
          <w:p>
            <w:pPr>
              <w:pStyle w:val="TableContents"/>
              <w:spacing w:before="0" w:after="283"/>
              <w:jc w:val="right"/>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31" w:type="dxa"/>
            <w:tcBorders/>
            <w:shd w:fill="auto" w:val="clear"/>
            <w:tcMar>
              <w:top w:w="0" w:type="dxa"/>
            </w:tcMar>
            <w:vAlign w:val="bottom"/>
          </w:tcPr>
          <w:p>
            <w:pPr>
              <w:pStyle w:val="TableContents"/>
              <w:spacing w:before="0" w:after="283"/>
              <w:jc w:val="left"/>
              <w:rPr/>
            </w:pPr>
            <w:r>
              <w:rPr/>
              <w:t> </w:t>
            </w:r>
          </w:p>
        </w:tc>
        <w:tc>
          <w:tcPr>
            <w:tcW w:w="82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246,533</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2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246,533</w:t>
            </w:r>
          </w:p>
        </w:tc>
        <w:tc>
          <w:tcPr>
            <w:tcW w:w="125" w:type="dxa"/>
            <w:tcBorders/>
            <w:shd w:fill="auto" w:val="clear"/>
            <w:tcMar>
              <w:top w:w="0" w:type="dxa"/>
            </w:tcMar>
            <w:vAlign w:val="bottom"/>
          </w:tcPr>
          <w:p>
            <w:pPr>
              <w:pStyle w:val="TableContents"/>
              <w:spacing w:before="0" w:after="283"/>
              <w:jc w:val="left"/>
              <w:rPr/>
            </w:pPr>
            <w:r>
              <w:rPr/>
              <w:t> </w:t>
            </w:r>
          </w:p>
        </w:tc>
      </w:tr>
      <w:tr>
        <w:trPr/>
        <w:tc>
          <w:tcPr>
            <w:tcW w:w="14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shares at fair value pursuant</w:t>
            </w:r>
          </w:p>
          <w:p>
            <w:pPr>
              <w:pStyle w:val="TableContents"/>
              <w:spacing w:before="0" w:after="0"/>
              <w:ind w:left="0" w:right="0" w:hanging="0"/>
              <w:jc w:val="left"/>
              <w:rPr/>
            </w:pPr>
            <w:r>
              <w:rPr/>
              <w:t>  </w:t>
            </w:r>
            <w:r>
              <w:rPr>
                <w:rFonts w:ascii="times new roman" w:hAnsi="times new roman"/>
                <w:sz w:val="20"/>
              </w:rPr>
              <w:t>to debt settlement agreements in September 2009</w:t>
            </w:r>
          </w:p>
        </w:tc>
        <w:tc>
          <w:tcPr>
            <w:tcW w:w="66" w:type="dxa"/>
            <w:tcBorders/>
            <w:shd w:fill="auto" w:val="clear"/>
            <w:tcMar>
              <w:top w:w="0" w:type="dxa"/>
            </w:tcMar>
            <w:vAlign w:val="bottom"/>
          </w:tcPr>
          <w:p>
            <w:pPr>
              <w:pStyle w:val="TableContents"/>
              <w:spacing w:before="0" w:after="283"/>
              <w:jc w:val="right"/>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7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31" w:type="dxa"/>
            <w:tcBorders/>
            <w:shd w:fill="auto" w:val="clear"/>
            <w:tcMar>
              <w:top w:w="0" w:type="dxa"/>
            </w:tcMar>
            <w:vAlign w:val="bottom"/>
          </w:tcPr>
          <w:p>
            <w:pPr>
              <w:pStyle w:val="TableContents"/>
              <w:spacing w:before="0" w:after="283"/>
              <w:jc w:val="left"/>
              <w:rPr/>
            </w:pPr>
            <w:r>
              <w:rPr/>
              <w:t> </w:t>
            </w:r>
          </w:p>
        </w:tc>
        <w:tc>
          <w:tcPr>
            <w:tcW w:w="82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243,800</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2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pPr>
            <w:r>
              <w:rPr/>
              <w:t> </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243,800</w:t>
            </w:r>
          </w:p>
        </w:tc>
        <w:tc>
          <w:tcPr>
            <w:tcW w:w="125" w:type="dxa"/>
            <w:tcBorders/>
            <w:shd w:fill="auto" w:val="clear"/>
            <w:tcMar>
              <w:top w:w="0" w:type="dxa"/>
            </w:tcMar>
            <w:vAlign w:val="bottom"/>
          </w:tcPr>
          <w:p>
            <w:pPr>
              <w:pStyle w:val="TableContents"/>
              <w:spacing w:before="0" w:after="283"/>
              <w:jc w:val="left"/>
              <w:rPr/>
            </w:pPr>
            <w:r>
              <w:rPr/>
              <w:t> </w:t>
            </w:r>
          </w:p>
        </w:tc>
      </w:tr>
      <w:tr>
        <w:trPr/>
        <w:tc>
          <w:tcPr>
            <w:tcW w:w="148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66" w:type="dxa"/>
            <w:tcBorders/>
            <w:shd w:fill="auto" w:val="clear"/>
            <w:tcMar>
              <w:top w:w="0" w:type="dxa"/>
            </w:tcMar>
            <w:vAlign w:val="bottom"/>
          </w:tcPr>
          <w:p>
            <w:pPr>
              <w:pStyle w:val="TableContents"/>
              <w:spacing w:before="0" w:after="283"/>
              <w:jc w:val="right"/>
              <w:rPr/>
            </w:pPr>
            <w:r>
              <w:rPr/>
              <w:t> </w:t>
            </w:r>
          </w:p>
        </w:tc>
        <w:tc>
          <w:tcPr>
            <w:tcW w:w="6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9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0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9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3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2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5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(17,599,008</w:t>
            </w:r>
          </w:p>
        </w:tc>
        <w:tc>
          <w:tcPr>
            <w:tcW w:w="8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right"/>
              <w:rPr/>
            </w:pPr>
            <w:r>
              <w:rPr/>
              <w:t> </w:t>
            </w:r>
          </w:p>
        </w:tc>
        <w:tc>
          <w:tcPr>
            <w:tcW w:w="20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22"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5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(17,599,008</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2009 (As Restated in Note 1A)</w:t>
            </w:r>
          </w:p>
        </w:tc>
        <w:tc>
          <w:tcPr>
            <w:tcW w:w="66" w:type="dxa"/>
            <w:tcBorders/>
            <w:shd w:fill="auto" w:val="clear"/>
            <w:tcMar>
              <w:top w:w="0" w:type="dxa"/>
            </w:tcMar>
            <w:vAlign w:val="bottom"/>
          </w:tcPr>
          <w:p>
            <w:pPr>
              <w:pStyle w:val="TableContents"/>
              <w:spacing w:before="0" w:after="283"/>
              <w:jc w:val="right"/>
              <w:rPr/>
            </w:pPr>
            <w:r>
              <w:rPr/>
              <w:t> </w:t>
            </w:r>
          </w:p>
        </w:tc>
        <w:tc>
          <w:tcPr>
            <w:tcW w:w="66" w:type="dxa"/>
            <w:tcBorders/>
            <w:shd w:fill="auto" w:val="clear"/>
            <w:tcMar>
              <w:top w:w="0" w:type="dxa"/>
            </w:tcMar>
            <w:vAlign w:val="bottom"/>
          </w:tcPr>
          <w:p>
            <w:pPr>
              <w:pStyle w:val="TableContents"/>
              <w:spacing w:before="0" w:after="283"/>
              <w:jc w:val="left"/>
              <w:rPr/>
            </w:pPr>
            <w:r>
              <w:rPr/>
              <w:t> </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38,361,674</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38,362</w:t>
            </w:r>
          </w:p>
        </w:tc>
        <w:tc>
          <w:tcPr>
            <w:tcW w:w="85"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37,289,357</w:t>
            </w:r>
          </w:p>
        </w:tc>
        <w:tc>
          <w:tcPr>
            <w:tcW w:w="66"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3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513,733</w:t>
            </w:r>
          </w:p>
        </w:tc>
        <w:tc>
          <w:tcPr>
            <w:tcW w:w="84" w:type="dxa"/>
            <w:tcBorders/>
            <w:shd w:fill="auto" w:val="clear"/>
            <w:tcMar>
              <w:top w:w="0" w:type="dxa"/>
            </w:tcMar>
            <w:vAlign w:val="bottom"/>
          </w:tcPr>
          <w:p>
            <w:pPr>
              <w:pStyle w:val="TableContents"/>
              <w:spacing w:before="0" w:after="283"/>
              <w:jc w:val="left"/>
              <w:rPr/>
            </w:pPr>
            <w:r>
              <w:rPr/>
              <w:t> </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(38,411,114</w:t>
            </w:r>
          </w:p>
        </w:tc>
        <w:tc>
          <w:tcPr>
            <w:tcW w:w="8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8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6" w:type="dxa"/>
            <w:tcBorders/>
            <w:shd w:fill="auto" w:val="clear"/>
            <w:tcMar>
              <w:top w:w="0" w:type="dxa"/>
            </w:tcMar>
            <w:vAlign w:val="bottom"/>
          </w:tcPr>
          <w:p>
            <w:pPr>
              <w:pStyle w:val="TableContents"/>
              <w:spacing w:before="0" w:after="283"/>
              <w:jc w:val="right"/>
              <w:rPr/>
            </w:pPr>
            <w:r>
              <w:rPr/>
              <w:t> </w:t>
            </w:r>
          </w:p>
        </w:tc>
        <w:tc>
          <w:tcPr>
            <w:tcW w:w="128"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(629,388</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1" w:name="PGBRK31"/>
      <w:bookmarkStart w:id="352" w:name="PGBRK31"/>
      <w:bookmarkEnd w:id="3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3" w:name="FTR31"/>
      <w:bookmarkStart w:id="354" w:name="FTR31"/>
      <w:bookmarkEnd w:id="3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5" w:name="GLFTR31"/>
      <w:bookmarkEnd w:id="3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6" w:name="PN31"/>
      <w:bookmarkEnd w:id="356"/>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7" w:name="HDR31"/>
      <w:bookmarkStart w:id="358" w:name="HDR31"/>
      <w:bookmarkEnd w:id="3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9" w:name="GLHDR31"/>
      <w:bookmarkEnd w:id="3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2010</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1789"/>
        <w:gridCol w:w="64"/>
        <w:gridCol w:w="64"/>
        <w:gridCol w:w="976"/>
        <w:gridCol w:w="64"/>
        <w:gridCol w:w="64"/>
        <w:gridCol w:w="127"/>
        <w:gridCol w:w="626"/>
        <w:gridCol w:w="63"/>
        <w:gridCol w:w="64"/>
        <w:gridCol w:w="127"/>
        <w:gridCol w:w="976"/>
        <w:gridCol w:w="64"/>
        <w:gridCol w:w="64"/>
        <w:gridCol w:w="130"/>
        <w:gridCol w:w="808"/>
        <w:gridCol w:w="83"/>
        <w:gridCol w:w="63"/>
        <w:gridCol w:w="127"/>
        <w:gridCol w:w="1034"/>
        <w:gridCol w:w="83"/>
        <w:gridCol w:w="64"/>
        <w:gridCol w:w="208"/>
        <w:gridCol w:w="1109"/>
        <w:gridCol w:w="127"/>
        <w:gridCol w:w="64"/>
        <w:gridCol w:w="127"/>
        <w:gridCol w:w="932"/>
        <w:gridCol w:w="114"/>
      </w:tblGrid>
      <w:tr>
        <w:trPr/>
        <w:tc>
          <w:tcPr>
            <w:tcW w:w="1789" w:type="dxa"/>
            <w:tcBorders>
              <w:top w:val="single" w:sz="12" w:space="0" w:color="000000"/>
            </w:tcBorders>
            <w:shd w:fill="auto" w:val="clear"/>
            <w:vAlign w:val="bottom"/>
          </w:tcPr>
          <w:p>
            <w:pPr>
              <w:pStyle w:val="TableContents"/>
              <w:spacing w:before="0" w:after="283"/>
              <w:rPr/>
            </w:pPr>
            <w:r>
              <w:rPr/>
              <w:t xml:space="preserve">  </w:t>
            </w:r>
          </w:p>
        </w:tc>
        <w:tc>
          <w:tcPr>
            <w:tcW w:w="64" w:type="dxa"/>
            <w:tcBorders>
              <w:top w:val="single" w:sz="12" w:space="0" w:color="000000"/>
            </w:tcBorders>
            <w:shd w:fill="auto" w:val="clear"/>
            <w:vAlign w:val="bottom"/>
          </w:tcPr>
          <w:p>
            <w:pPr>
              <w:pStyle w:val="TableContents"/>
              <w:spacing w:before="0" w:after="283"/>
              <w:rPr/>
            </w:pPr>
            <w:r>
              <w:rPr/>
              <w:t> </w:t>
            </w:r>
          </w:p>
        </w:tc>
        <w:tc>
          <w:tcPr>
            <w:tcW w:w="1921"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63" w:type="dxa"/>
            <w:tcBorders>
              <w:top w:val="single" w:sz="12" w:space="0" w:color="000000"/>
            </w:tcBorders>
            <w:shd w:fill="auto" w:val="clear"/>
            <w:vAlign w:val="bottom"/>
          </w:tcPr>
          <w:p>
            <w:pPr>
              <w:pStyle w:val="TableContents"/>
              <w:spacing w:before="0" w:after="283"/>
              <w:jc w:val="left"/>
              <w:rPr/>
            </w:pPr>
            <w:r>
              <w:rPr/>
              <w:t> </w:t>
            </w:r>
          </w:p>
        </w:tc>
        <w:tc>
          <w:tcPr>
            <w:tcW w:w="64" w:type="dxa"/>
            <w:tcBorders>
              <w:top w:val="single" w:sz="12" w:space="0" w:color="000000"/>
            </w:tcBorders>
            <w:shd w:fill="auto" w:val="clear"/>
            <w:vAlign w:val="bottom"/>
          </w:tcPr>
          <w:p>
            <w:pPr>
              <w:pStyle w:val="TableContents"/>
              <w:spacing w:before="0" w:after="283"/>
              <w:rPr/>
            </w:pPr>
            <w:r>
              <w:rPr/>
              <w:t> </w:t>
            </w:r>
          </w:p>
        </w:tc>
        <w:tc>
          <w:tcPr>
            <w:tcW w:w="1103"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64" w:type="dxa"/>
            <w:tcBorders>
              <w:top w:val="single" w:sz="12" w:space="0" w:color="000000"/>
            </w:tcBorders>
            <w:shd w:fill="auto" w:val="clear"/>
            <w:vAlign w:val="bottom"/>
          </w:tcPr>
          <w:p>
            <w:pPr>
              <w:pStyle w:val="TableContents"/>
              <w:spacing w:before="0" w:after="283"/>
              <w:jc w:val="left"/>
              <w:rPr/>
            </w:pPr>
            <w:r>
              <w:rPr/>
              <w:t> </w:t>
            </w:r>
          </w:p>
        </w:tc>
        <w:tc>
          <w:tcPr>
            <w:tcW w:w="64" w:type="dxa"/>
            <w:tcBorders>
              <w:top w:val="single" w:sz="12" w:space="0" w:color="000000"/>
            </w:tcBorders>
            <w:shd w:fill="auto" w:val="clear"/>
            <w:vAlign w:val="bottom"/>
          </w:tcPr>
          <w:p>
            <w:pPr>
              <w:pStyle w:val="TableContents"/>
              <w:spacing w:before="0" w:after="283"/>
              <w:rPr/>
            </w:pPr>
            <w:r>
              <w:rPr/>
              <w:t> </w:t>
            </w:r>
          </w:p>
        </w:tc>
        <w:tc>
          <w:tcPr>
            <w:tcW w:w="938"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83" w:type="dxa"/>
            <w:tcBorders>
              <w:top w:val="single" w:sz="12" w:space="0" w:color="000000"/>
            </w:tcBorders>
            <w:shd w:fill="auto" w:val="clear"/>
            <w:vAlign w:val="bottom"/>
          </w:tcPr>
          <w:p>
            <w:pPr>
              <w:pStyle w:val="TableContents"/>
              <w:spacing w:before="0" w:after="283"/>
              <w:jc w:val="left"/>
              <w:rPr/>
            </w:pPr>
            <w:r>
              <w:rPr/>
              <w:t> </w:t>
            </w:r>
          </w:p>
        </w:tc>
        <w:tc>
          <w:tcPr>
            <w:tcW w:w="63" w:type="dxa"/>
            <w:tcBorders>
              <w:top w:val="single" w:sz="12" w:space="0" w:color="000000"/>
            </w:tcBorders>
            <w:shd w:fill="auto" w:val="clear"/>
            <w:vAlign w:val="bottom"/>
          </w:tcPr>
          <w:p>
            <w:pPr>
              <w:pStyle w:val="TableContents"/>
              <w:spacing w:before="0" w:after="283"/>
              <w:rPr/>
            </w:pPr>
            <w:r>
              <w:rPr/>
              <w:t> </w:t>
            </w:r>
          </w:p>
        </w:tc>
        <w:tc>
          <w:tcPr>
            <w:tcW w:w="1161"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83" w:type="dxa"/>
            <w:tcBorders>
              <w:top w:val="single" w:sz="12" w:space="0" w:color="000000"/>
            </w:tcBorders>
            <w:shd w:fill="auto" w:val="clear"/>
            <w:vAlign w:val="bottom"/>
          </w:tcPr>
          <w:p>
            <w:pPr>
              <w:pStyle w:val="TableContents"/>
              <w:spacing w:before="0" w:after="283"/>
              <w:jc w:val="left"/>
              <w:rPr/>
            </w:pPr>
            <w:r>
              <w:rPr/>
              <w:t> </w:t>
            </w:r>
          </w:p>
        </w:tc>
        <w:tc>
          <w:tcPr>
            <w:tcW w:w="64" w:type="dxa"/>
            <w:tcBorders>
              <w:top w:val="single" w:sz="12" w:space="0" w:color="000000"/>
            </w:tcBorders>
            <w:shd w:fill="auto" w:val="clear"/>
            <w:vAlign w:val="bottom"/>
          </w:tcPr>
          <w:p>
            <w:pPr>
              <w:pStyle w:val="TableContents"/>
              <w:spacing w:before="0" w:after="283"/>
              <w:rPr/>
            </w:pPr>
            <w:r>
              <w:rPr/>
              <w:t> </w:t>
            </w:r>
          </w:p>
        </w:tc>
        <w:tc>
          <w:tcPr>
            <w:tcW w:w="1317"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127" w:type="dxa"/>
            <w:tcBorders>
              <w:top w:val="single" w:sz="12" w:space="0" w:color="000000"/>
            </w:tcBorders>
            <w:shd w:fill="auto" w:val="clear"/>
            <w:vAlign w:val="bottom"/>
          </w:tcPr>
          <w:p>
            <w:pPr>
              <w:pStyle w:val="TableContents"/>
              <w:spacing w:before="0" w:after="283"/>
              <w:jc w:val="left"/>
              <w:rPr/>
            </w:pPr>
            <w:r>
              <w:rPr/>
              <w:t> </w:t>
            </w:r>
          </w:p>
        </w:tc>
        <w:tc>
          <w:tcPr>
            <w:tcW w:w="64" w:type="dxa"/>
            <w:tcBorders>
              <w:top w:val="single" w:sz="12" w:space="0" w:color="000000"/>
            </w:tcBorders>
            <w:shd w:fill="auto" w:val="clear"/>
            <w:vAlign w:val="bottom"/>
          </w:tcPr>
          <w:p>
            <w:pPr>
              <w:pStyle w:val="TableContents"/>
              <w:spacing w:before="0" w:after="283"/>
              <w:rPr/>
            </w:pPr>
            <w:r>
              <w:rPr/>
              <w:t> </w:t>
            </w:r>
          </w:p>
        </w:tc>
        <w:tc>
          <w:tcPr>
            <w:tcW w:w="1059" w:type="dxa"/>
            <w:gridSpan w:val="2"/>
            <w:tcBorders>
              <w:top w:val="single" w:sz="12" w:space="0" w:color="000000"/>
            </w:tcBorders>
            <w:shd w:fill="auto" w:val="clear"/>
            <w:vAlign w:val="bottom"/>
          </w:tcPr>
          <w:p>
            <w:pPr>
              <w:pStyle w:val="TableContents"/>
              <w:spacing w:before="0" w:after="283"/>
              <w:rPr/>
            </w:pPr>
            <w:r>
              <w:rPr/>
              <w:t> </w:t>
            </w:r>
          </w:p>
        </w:tc>
        <w:tc>
          <w:tcPr>
            <w:tcW w:w="114" w:type="dxa"/>
            <w:tcBorders>
              <w:top w:val="single" w:sz="12" w:space="0" w:color="000000"/>
            </w:tcBorders>
            <w:shd w:fill="auto" w:val="clear"/>
            <w:vAlign w:val="bottom"/>
          </w:tcPr>
          <w:p>
            <w:pPr>
              <w:pStyle w:val="TableContents"/>
              <w:spacing w:before="0" w:after="283"/>
              <w:jc w:val="left"/>
              <w:rPr/>
            </w:pPr>
            <w:r>
              <w:rPr/>
              <w:t> </w:t>
            </w:r>
          </w:p>
        </w:tc>
      </w:tr>
      <w:tr>
        <w:trPr/>
        <w:tc>
          <w:tcPr>
            <w:tcW w:w="1789"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64" w:type="dxa"/>
            <w:tcBorders/>
            <w:shd w:fill="auto" w:val="clear"/>
            <w:tcMar>
              <w:top w:w="0" w:type="dxa"/>
            </w:tcMar>
            <w:vAlign w:val="bottom"/>
          </w:tcPr>
          <w:p>
            <w:pPr>
              <w:pStyle w:val="TableContents"/>
              <w:spacing w:before="0" w:after="283"/>
              <w:rPr/>
            </w:pPr>
            <w:r>
              <w:rPr/>
              <w:t> </w:t>
            </w:r>
          </w:p>
        </w:tc>
        <w:tc>
          <w:tcPr>
            <w:tcW w:w="104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rPr/>
            </w:pPr>
            <w:r>
              <w:rPr/>
              <w:t> </w:t>
            </w:r>
          </w:p>
        </w:tc>
        <w:tc>
          <w:tcPr>
            <w:tcW w:w="753"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6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rPr/>
            </w:pPr>
            <w:r>
              <w:rPr/>
              <w:t> </w:t>
            </w:r>
          </w:p>
        </w:tc>
        <w:tc>
          <w:tcPr>
            <w:tcW w:w="1103"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rPr/>
            </w:pPr>
            <w:r>
              <w:rPr/>
              <w:t> </w:t>
            </w:r>
          </w:p>
        </w:tc>
        <w:tc>
          <w:tcPr>
            <w:tcW w:w="938"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8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rPr/>
            </w:pPr>
            <w:r>
              <w:rPr/>
              <w:t> </w:t>
            </w:r>
          </w:p>
        </w:tc>
        <w:tc>
          <w:tcPr>
            <w:tcW w:w="1161"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8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rPr/>
            </w:pPr>
            <w:r>
              <w:rPr/>
              <w:t> </w:t>
            </w:r>
          </w:p>
        </w:tc>
        <w:tc>
          <w:tcPr>
            <w:tcW w:w="131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127"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rPr/>
            </w:pPr>
            <w:r>
              <w:rPr/>
              <w:t> </w:t>
            </w:r>
          </w:p>
        </w:tc>
        <w:tc>
          <w:tcPr>
            <w:tcW w:w="105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14" w:type="dxa"/>
            <w:tcBorders/>
            <w:shd w:fill="auto" w:val="clear"/>
            <w:tcMar>
              <w:top w:w="0" w:type="dxa"/>
            </w:tcMar>
            <w:vAlign w:val="bottom"/>
          </w:tcPr>
          <w:p>
            <w:pPr>
              <w:pStyle w:val="TableContents"/>
              <w:spacing w:before="0" w:after="283"/>
              <w:jc w:val="left"/>
              <w:rPr/>
            </w:pPr>
            <w:r>
              <w:rPr/>
              <w:t> </w:t>
            </w:r>
          </w:p>
        </w:tc>
      </w:tr>
      <w:tr>
        <w:trPr/>
        <w:tc>
          <w:tcPr>
            <w:tcW w:w="1789" w:type="dxa"/>
            <w:tcBorders/>
            <w:shd w:fill="auto" w:val="clear"/>
            <w:tcMar>
              <w:top w:w="0" w:type="dxa"/>
            </w:tcMar>
            <w:vAlign w:val="bottom"/>
          </w:tcPr>
          <w:p>
            <w:pPr>
              <w:pStyle w:val="TableContents"/>
              <w:spacing w:before="0" w:after="283"/>
              <w:rPr/>
            </w:pPr>
            <w:r>
              <w:rPr/>
              <w:t xml:space="preserve">  </w:t>
            </w:r>
          </w:p>
        </w:tc>
        <w:tc>
          <w:tcPr>
            <w:tcW w:w="64" w:type="dxa"/>
            <w:tcBorders/>
            <w:shd w:fill="auto" w:val="clear"/>
            <w:tcMar>
              <w:top w:w="0" w:type="dxa"/>
            </w:tcMar>
            <w:vAlign w:val="bottom"/>
          </w:tcPr>
          <w:p>
            <w:pPr>
              <w:pStyle w:val="TableContents"/>
              <w:spacing w:before="0" w:after="283"/>
              <w:rPr/>
            </w:pPr>
            <w:r>
              <w:rPr/>
              <w:t> </w:t>
            </w:r>
          </w:p>
        </w:tc>
        <w:tc>
          <w:tcPr>
            <w:tcW w:w="1040" w:type="dxa"/>
            <w:gridSpan w:val="2"/>
            <w:tcBorders/>
            <w:shd w:fill="auto" w:val="clear"/>
            <w:tcMar>
              <w:top w:w="0" w:type="dxa"/>
            </w:tcMar>
            <w:vAlign w:val="bottom"/>
          </w:tcPr>
          <w:p>
            <w:pPr>
              <w:pStyle w:val="TableContents"/>
              <w:spacing w:before="0" w:after="283"/>
              <w:rPr/>
            </w:pPr>
            <w:r>
              <w:rPr/>
              <w:t> </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rPr/>
            </w:pPr>
            <w:r>
              <w:rPr/>
              <w:t> </w:t>
            </w:r>
          </w:p>
        </w:tc>
        <w:tc>
          <w:tcPr>
            <w:tcW w:w="753" w:type="dxa"/>
            <w:gridSpan w:val="2"/>
            <w:tcBorders/>
            <w:shd w:fill="auto" w:val="clear"/>
            <w:tcMar>
              <w:top w:w="0" w:type="dxa"/>
            </w:tcMar>
            <w:vAlign w:val="bottom"/>
          </w:tcPr>
          <w:p>
            <w:pPr>
              <w:pStyle w:val="TableContents"/>
              <w:spacing w:before="0" w:after="283"/>
              <w:rPr/>
            </w:pPr>
            <w:r>
              <w:rPr/>
              <w:t> </w:t>
            </w:r>
          </w:p>
        </w:tc>
        <w:tc>
          <w:tcPr>
            <w:tcW w:w="6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rPr/>
            </w:pPr>
            <w:r>
              <w:rPr/>
              <w:t> </w:t>
            </w:r>
          </w:p>
        </w:tc>
        <w:tc>
          <w:tcPr>
            <w:tcW w:w="1103" w:type="dxa"/>
            <w:gridSpan w:val="2"/>
            <w:tcBorders/>
            <w:shd w:fill="auto" w:val="clear"/>
            <w:tcMar>
              <w:top w:w="0" w:type="dxa"/>
            </w:tcMar>
            <w:vAlign w:val="bottom"/>
          </w:tcPr>
          <w:p>
            <w:pPr>
              <w:pStyle w:val="TableContents"/>
              <w:spacing w:before="0" w:after="283"/>
              <w:rPr/>
            </w:pPr>
            <w:r>
              <w:rPr/>
              <w:t> </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rPr/>
            </w:pPr>
            <w:r>
              <w:rPr/>
              <w:t> </w:t>
            </w:r>
          </w:p>
        </w:tc>
        <w:tc>
          <w:tcPr>
            <w:tcW w:w="938" w:type="dxa"/>
            <w:gridSpan w:val="2"/>
            <w:tcBorders/>
            <w:shd w:fill="auto" w:val="clear"/>
            <w:tcMar>
              <w:top w:w="0" w:type="dxa"/>
            </w:tcMar>
            <w:vAlign w:val="bottom"/>
          </w:tcPr>
          <w:p>
            <w:pPr>
              <w:pStyle w:val="TableContents"/>
              <w:spacing w:before="0" w:after="283"/>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rPr/>
            </w:pPr>
            <w:r>
              <w:rPr/>
              <w:t> </w:t>
            </w:r>
          </w:p>
        </w:tc>
        <w:tc>
          <w:tcPr>
            <w:tcW w:w="1161" w:type="dxa"/>
            <w:gridSpan w:val="2"/>
            <w:tcBorders/>
            <w:shd w:fill="auto" w:val="clear"/>
            <w:tcMar>
              <w:top w:w="0" w:type="dxa"/>
            </w:tcMar>
            <w:vAlign w:val="bottom"/>
          </w:tcPr>
          <w:p>
            <w:pPr>
              <w:pStyle w:val="TableContents"/>
              <w:spacing w:before="0" w:after="283"/>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rPr/>
            </w:pPr>
            <w:r>
              <w:rPr/>
              <w:t> </w:t>
            </w:r>
          </w:p>
        </w:tc>
        <w:tc>
          <w:tcPr>
            <w:tcW w:w="1317" w:type="dxa"/>
            <w:gridSpan w:val="2"/>
            <w:tcBorders/>
            <w:shd w:fill="auto" w:val="clear"/>
            <w:tcMar>
              <w:top w:w="0" w:type="dxa"/>
            </w:tcMar>
            <w:vAlign w:val="bottom"/>
          </w:tcPr>
          <w:p>
            <w:pPr>
              <w:pStyle w:val="TableContents"/>
              <w:spacing w:before="0" w:after="283"/>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rPr/>
            </w:pPr>
            <w:r>
              <w:rPr/>
              <w:t> </w:t>
            </w:r>
          </w:p>
        </w:tc>
        <w:tc>
          <w:tcPr>
            <w:tcW w:w="1059" w:type="dxa"/>
            <w:gridSpan w:val="2"/>
            <w:tcBorders/>
            <w:shd w:fill="auto" w:val="clear"/>
            <w:tcMar>
              <w:top w:w="0" w:type="dxa"/>
            </w:tcMar>
            <w:vAlign w:val="bottom"/>
          </w:tcPr>
          <w:p>
            <w:pPr>
              <w:pStyle w:val="TableContents"/>
              <w:spacing w:before="0" w:after="283"/>
              <w:rPr/>
            </w:pPr>
            <w:r>
              <w:rPr/>
              <w:t> </w:t>
            </w:r>
          </w:p>
        </w:tc>
        <w:tc>
          <w:tcPr>
            <w:tcW w:w="114" w:type="dxa"/>
            <w:tcBorders/>
            <w:shd w:fill="auto" w:val="clear"/>
            <w:tcMar>
              <w:top w:w="0" w:type="dxa"/>
            </w:tcMar>
            <w:vAlign w:val="bottom"/>
          </w:tcPr>
          <w:p>
            <w:pPr>
              <w:pStyle w:val="TableContents"/>
              <w:spacing w:before="0" w:after="283"/>
              <w:jc w:val="left"/>
              <w:rPr/>
            </w:pPr>
            <w:r>
              <w:rPr/>
              <w:t> </w:t>
            </w:r>
          </w:p>
        </w:tc>
      </w:tr>
      <w:tr>
        <w:trPr/>
        <w:tc>
          <w:tcPr>
            <w:tcW w:w="17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converted into shares</w:t>
            </w:r>
          </w:p>
        </w:tc>
        <w:tc>
          <w:tcPr>
            <w:tcW w:w="64" w:type="dxa"/>
            <w:tcBorders/>
            <w:shd w:fill="auto" w:val="clear"/>
            <w:tcMar>
              <w:top w:w="0" w:type="dxa"/>
            </w:tcMar>
            <w:vAlign w:val="bottom"/>
          </w:tcPr>
          <w:p>
            <w:pPr>
              <w:pStyle w:val="TableContents"/>
              <w:spacing w:before="0" w:after="283"/>
              <w:jc w:val="right"/>
              <w:rPr/>
            </w:pPr>
            <w:r>
              <w:rPr/>
              <w:t> </w:t>
            </w:r>
          </w:p>
        </w:tc>
        <w:tc>
          <w:tcPr>
            <w:tcW w:w="64" w:type="dxa"/>
            <w:tcBorders/>
            <w:shd w:fill="auto" w:val="clear"/>
            <w:tcMar>
              <w:top w:w="0" w:type="dxa"/>
            </w:tcMar>
            <w:vAlign w:val="bottom"/>
          </w:tcPr>
          <w:p>
            <w:pPr>
              <w:pStyle w:val="TableContents"/>
              <w:spacing w:before="0" w:after="283"/>
              <w:jc w:val="left"/>
              <w:rPr/>
            </w:pPr>
            <w:r>
              <w:rPr/>
              <w:t> </w:t>
            </w:r>
          </w:p>
        </w:tc>
        <w:tc>
          <w:tcPr>
            <w:tcW w:w="9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952,305</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62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952</w:t>
            </w:r>
          </w:p>
        </w:tc>
        <w:tc>
          <w:tcPr>
            <w:tcW w:w="6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9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427,003</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30" w:type="dxa"/>
            <w:tcBorders/>
            <w:shd w:fill="auto" w:val="clear"/>
            <w:tcMar>
              <w:top w:w="0" w:type="dxa"/>
            </w:tcMar>
            <w:vAlign w:val="bottom"/>
          </w:tcPr>
          <w:p>
            <w:pPr>
              <w:pStyle w:val="TableContents"/>
              <w:spacing w:before="0" w:after="283"/>
              <w:jc w:val="left"/>
              <w:rPr/>
            </w:pPr>
            <w:r>
              <w:rPr/>
              <w:t> </w:t>
            </w:r>
          </w:p>
        </w:tc>
        <w:tc>
          <w:tcPr>
            <w:tcW w:w="80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(243,800</w:t>
            </w:r>
          </w:p>
        </w:tc>
        <w:tc>
          <w:tcPr>
            <w:tcW w:w="8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10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93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184,155</w:t>
            </w:r>
          </w:p>
        </w:tc>
        <w:tc>
          <w:tcPr>
            <w:tcW w:w="114" w:type="dxa"/>
            <w:tcBorders/>
            <w:shd w:fill="auto" w:val="clear"/>
            <w:tcMar>
              <w:top w:w="0" w:type="dxa"/>
            </w:tcMar>
            <w:vAlign w:val="bottom"/>
          </w:tcPr>
          <w:p>
            <w:pPr>
              <w:pStyle w:val="TableContents"/>
              <w:spacing w:before="0" w:after="283"/>
              <w:jc w:val="left"/>
              <w:rPr/>
            </w:pPr>
            <w:r>
              <w:rPr/>
              <w:t> </w:t>
            </w:r>
          </w:p>
        </w:tc>
      </w:tr>
      <w:tr>
        <w:trPr/>
        <w:tc>
          <w:tcPr>
            <w:tcW w:w="17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based compensation in 2010</w:t>
            </w:r>
          </w:p>
        </w:tc>
        <w:tc>
          <w:tcPr>
            <w:tcW w:w="64" w:type="dxa"/>
            <w:tcBorders/>
            <w:shd w:fill="auto" w:val="clear"/>
            <w:tcMar>
              <w:top w:w="0" w:type="dxa"/>
            </w:tcMar>
            <w:vAlign w:val="bottom"/>
          </w:tcPr>
          <w:p>
            <w:pPr>
              <w:pStyle w:val="TableContents"/>
              <w:spacing w:before="0" w:after="283"/>
              <w:jc w:val="right"/>
              <w:rPr/>
            </w:pPr>
            <w:r>
              <w:rPr/>
              <w:t> </w:t>
            </w:r>
          </w:p>
        </w:tc>
        <w:tc>
          <w:tcPr>
            <w:tcW w:w="64" w:type="dxa"/>
            <w:tcBorders/>
            <w:shd w:fill="auto" w:val="clear"/>
            <w:tcMar>
              <w:top w:w="0" w:type="dxa"/>
            </w:tcMar>
            <w:vAlign w:val="bottom"/>
          </w:tcPr>
          <w:p>
            <w:pPr>
              <w:pStyle w:val="TableContents"/>
              <w:spacing w:before="0" w:after="283"/>
              <w:jc w:val="left"/>
              <w:rPr/>
            </w:pPr>
            <w:r>
              <w:rPr/>
              <w:t> </w:t>
            </w:r>
          </w:p>
        </w:tc>
        <w:tc>
          <w:tcPr>
            <w:tcW w:w="9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62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9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1,385,229</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30" w:type="dxa"/>
            <w:tcBorders/>
            <w:shd w:fill="auto" w:val="clear"/>
            <w:tcMar>
              <w:top w:w="0" w:type="dxa"/>
            </w:tcMar>
            <w:vAlign w:val="bottom"/>
          </w:tcPr>
          <w:p>
            <w:pPr>
              <w:pStyle w:val="TableContents"/>
              <w:spacing w:before="0" w:after="283"/>
              <w:jc w:val="left"/>
              <w:rPr/>
            </w:pPr>
            <w:r>
              <w:rPr/>
              <w:t> </w:t>
            </w:r>
          </w:p>
        </w:tc>
        <w:tc>
          <w:tcPr>
            <w:tcW w:w="80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10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93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1,385,229</w:t>
            </w:r>
          </w:p>
        </w:tc>
        <w:tc>
          <w:tcPr>
            <w:tcW w:w="114" w:type="dxa"/>
            <w:tcBorders/>
            <w:shd w:fill="auto" w:val="clear"/>
            <w:tcMar>
              <w:top w:w="0" w:type="dxa"/>
            </w:tcMar>
            <w:vAlign w:val="bottom"/>
          </w:tcPr>
          <w:p>
            <w:pPr>
              <w:pStyle w:val="TableContents"/>
              <w:spacing w:before="0" w:after="283"/>
              <w:jc w:val="left"/>
              <w:rPr/>
            </w:pPr>
            <w:r>
              <w:rPr/>
              <w:t> </w:t>
            </w:r>
          </w:p>
        </w:tc>
      </w:tr>
      <w:tr>
        <w:trPr/>
        <w:tc>
          <w:tcPr>
            <w:tcW w:w="17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shares at fair value</w:t>
            </w:r>
          </w:p>
          <w:p>
            <w:pPr>
              <w:pStyle w:val="TableContents"/>
              <w:spacing w:before="0" w:after="0"/>
              <w:ind w:left="0" w:right="0" w:hanging="0"/>
              <w:jc w:val="left"/>
              <w:rPr/>
            </w:pPr>
            <w:r>
              <w:rPr/>
              <w:t>  </w:t>
            </w:r>
            <w:r>
              <w:rPr>
                <w:rFonts w:ascii="times new roman" w:hAnsi="times new roman"/>
                <w:sz w:val="20"/>
              </w:rPr>
              <w:t>pursuant to service agreements</w:t>
            </w:r>
          </w:p>
        </w:tc>
        <w:tc>
          <w:tcPr>
            <w:tcW w:w="64" w:type="dxa"/>
            <w:tcBorders/>
            <w:shd w:fill="auto" w:val="clear"/>
            <w:tcMar>
              <w:top w:w="0" w:type="dxa"/>
            </w:tcMar>
            <w:vAlign w:val="bottom"/>
          </w:tcPr>
          <w:p>
            <w:pPr>
              <w:pStyle w:val="TableContents"/>
              <w:spacing w:before="0" w:after="283"/>
              <w:jc w:val="right"/>
              <w:rPr/>
            </w:pPr>
            <w:r>
              <w:rPr/>
              <w:t> </w:t>
            </w:r>
          </w:p>
        </w:tc>
        <w:tc>
          <w:tcPr>
            <w:tcW w:w="64" w:type="dxa"/>
            <w:tcBorders/>
            <w:shd w:fill="auto" w:val="clear"/>
            <w:tcMar>
              <w:top w:w="0" w:type="dxa"/>
            </w:tcMar>
            <w:vAlign w:val="bottom"/>
          </w:tcPr>
          <w:p>
            <w:pPr>
              <w:pStyle w:val="TableContents"/>
              <w:spacing w:before="0" w:after="283"/>
              <w:jc w:val="left"/>
              <w:rPr/>
            </w:pPr>
            <w:r>
              <w:rPr/>
              <w:t> </w:t>
            </w:r>
          </w:p>
        </w:tc>
        <w:tc>
          <w:tcPr>
            <w:tcW w:w="9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62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9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30" w:type="dxa"/>
            <w:tcBorders/>
            <w:shd w:fill="auto" w:val="clear"/>
            <w:tcMar>
              <w:top w:w="0" w:type="dxa"/>
            </w:tcMar>
            <w:vAlign w:val="bottom"/>
          </w:tcPr>
          <w:p>
            <w:pPr>
              <w:pStyle w:val="TableContents"/>
              <w:spacing w:before="0" w:after="283"/>
              <w:jc w:val="left"/>
              <w:rPr/>
            </w:pPr>
            <w:r>
              <w:rPr/>
              <w:t> </w:t>
            </w:r>
          </w:p>
        </w:tc>
        <w:tc>
          <w:tcPr>
            <w:tcW w:w="80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28,220</w:t>
            </w:r>
          </w:p>
        </w:tc>
        <w:tc>
          <w:tcPr>
            <w:tcW w:w="8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10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93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28,220</w:t>
            </w:r>
          </w:p>
        </w:tc>
        <w:tc>
          <w:tcPr>
            <w:tcW w:w="114" w:type="dxa"/>
            <w:tcBorders/>
            <w:shd w:fill="auto" w:val="clear"/>
            <w:tcMar>
              <w:top w:w="0" w:type="dxa"/>
            </w:tcMar>
            <w:vAlign w:val="bottom"/>
          </w:tcPr>
          <w:p>
            <w:pPr>
              <w:pStyle w:val="TableContents"/>
              <w:spacing w:before="0" w:after="283"/>
              <w:jc w:val="left"/>
              <w:rPr/>
            </w:pPr>
            <w:r>
              <w:rPr/>
              <w:t> </w:t>
            </w:r>
          </w:p>
        </w:tc>
      </w:tr>
      <w:tr>
        <w:trPr/>
        <w:tc>
          <w:tcPr>
            <w:tcW w:w="17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at fair value pursuant to</w:t>
            </w:r>
          </w:p>
          <w:p>
            <w:pPr>
              <w:pStyle w:val="TableContents"/>
              <w:spacing w:before="0" w:after="0"/>
              <w:ind w:left="0" w:right="0" w:hanging="0"/>
              <w:jc w:val="left"/>
              <w:rPr/>
            </w:pPr>
            <w:r>
              <w:rPr/>
              <w:t>  </w:t>
            </w:r>
            <w:r>
              <w:rPr>
                <w:rFonts w:ascii="times new roman" w:hAnsi="times new roman"/>
                <w:sz w:val="20"/>
              </w:rPr>
              <w:t>debt settlement agreements</w:t>
            </w:r>
          </w:p>
        </w:tc>
        <w:tc>
          <w:tcPr>
            <w:tcW w:w="64" w:type="dxa"/>
            <w:tcBorders/>
            <w:shd w:fill="auto" w:val="clear"/>
            <w:tcMar>
              <w:top w:w="0" w:type="dxa"/>
            </w:tcMar>
            <w:vAlign w:val="bottom"/>
          </w:tcPr>
          <w:p>
            <w:pPr>
              <w:pStyle w:val="TableContents"/>
              <w:spacing w:before="0" w:after="283"/>
              <w:jc w:val="right"/>
              <w:rPr/>
            </w:pPr>
            <w:r>
              <w:rPr/>
              <w:t> </w:t>
            </w:r>
          </w:p>
        </w:tc>
        <w:tc>
          <w:tcPr>
            <w:tcW w:w="64" w:type="dxa"/>
            <w:tcBorders/>
            <w:shd w:fill="auto" w:val="clear"/>
            <w:tcMar>
              <w:top w:w="0" w:type="dxa"/>
            </w:tcMar>
            <w:vAlign w:val="bottom"/>
          </w:tcPr>
          <w:p>
            <w:pPr>
              <w:pStyle w:val="TableContents"/>
              <w:spacing w:before="0" w:after="283"/>
              <w:jc w:val="left"/>
              <w:rPr/>
            </w:pPr>
            <w:r>
              <w:rPr/>
              <w:t> </w:t>
            </w:r>
          </w:p>
        </w:tc>
        <w:tc>
          <w:tcPr>
            <w:tcW w:w="9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361,648</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62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372</w:t>
            </w:r>
          </w:p>
        </w:tc>
        <w:tc>
          <w:tcPr>
            <w:tcW w:w="6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9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190,040</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30" w:type="dxa"/>
            <w:tcBorders/>
            <w:shd w:fill="auto" w:val="clear"/>
            <w:tcMar>
              <w:top w:w="0" w:type="dxa"/>
            </w:tcMar>
            <w:vAlign w:val="bottom"/>
          </w:tcPr>
          <w:p>
            <w:pPr>
              <w:pStyle w:val="TableContents"/>
              <w:spacing w:before="0" w:after="283"/>
              <w:jc w:val="left"/>
              <w:rPr/>
            </w:pPr>
            <w:r>
              <w:rPr/>
              <w:t> </w:t>
            </w:r>
          </w:p>
        </w:tc>
        <w:tc>
          <w:tcPr>
            <w:tcW w:w="80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10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93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190,412</w:t>
            </w:r>
          </w:p>
        </w:tc>
        <w:tc>
          <w:tcPr>
            <w:tcW w:w="114" w:type="dxa"/>
            <w:tcBorders/>
            <w:shd w:fill="auto" w:val="clear"/>
            <w:tcMar>
              <w:top w:w="0" w:type="dxa"/>
            </w:tcMar>
            <w:vAlign w:val="bottom"/>
          </w:tcPr>
          <w:p>
            <w:pPr>
              <w:pStyle w:val="TableContents"/>
              <w:spacing w:before="0" w:after="283"/>
              <w:jc w:val="left"/>
              <w:rPr/>
            </w:pPr>
            <w:r>
              <w:rPr/>
              <w:t> </w:t>
            </w:r>
          </w:p>
        </w:tc>
      </w:tr>
      <w:tr>
        <w:trPr/>
        <w:tc>
          <w:tcPr>
            <w:tcW w:w="17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at fair value pursuant to service agreements</w:t>
            </w:r>
          </w:p>
        </w:tc>
        <w:tc>
          <w:tcPr>
            <w:tcW w:w="64" w:type="dxa"/>
            <w:tcBorders/>
            <w:shd w:fill="auto" w:val="clear"/>
            <w:tcMar>
              <w:top w:w="0" w:type="dxa"/>
            </w:tcMar>
            <w:vAlign w:val="bottom"/>
          </w:tcPr>
          <w:p>
            <w:pPr>
              <w:pStyle w:val="TableContents"/>
              <w:spacing w:before="0" w:after="283"/>
              <w:jc w:val="right"/>
              <w:rPr/>
            </w:pPr>
            <w:r>
              <w:rPr/>
              <w:t> </w:t>
            </w:r>
          </w:p>
        </w:tc>
        <w:tc>
          <w:tcPr>
            <w:tcW w:w="64" w:type="dxa"/>
            <w:tcBorders/>
            <w:shd w:fill="auto" w:val="clear"/>
            <w:tcMar>
              <w:top w:w="0" w:type="dxa"/>
            </w:tcMar>
            <w:vAlign w:val="bottom"/>
          </w:tcPr>
          <w:p>
            <w:pPr>
              <w:pStyle w:val="TableContents"/>
              <w:spacing w:before="0" w:after="283"/>
              <w:jc w:val="left"/>
              <w:rPr/>
            </w:pPr>
            <w:r>
              <w:rPr/>
              <w:t> </w:t>
            </w:r>
          </w:p>
        </w:tc>
        <w:tc>
          <w:tcPr>
            <w:tcW w:w="9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570,000</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62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570</w:t>
            </w:r>
          </w:p>
        </w:tc>
        <w:tc>
          <w:tcPr>
            <w:tcW w:w="6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9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275,306</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30" w:type="dxa"/>
            <w:tcBorders/>
            <w:shd w:fill="auto" w:val="clear"/>
            <w:tcMar>
              <w:top w:w="0" w:type="dxa"/>
            </w:tcMar>
            <w:vAlign w:val="bottom"/>
          </w:tcPr>
          <w:p>
            <w:pPr>
              <w:pStyle w:val="TableContents"/>
              <w:spacing w:before="0" w:after="283"/>
              <w:jc w:val="left"/>
              <w:rPr/>
            </w:pPr>
            <w:r>
              <w:rPr/>
              <w:t> </w:t>
            </w:r>
          </w:p>
        </w:tc>
        <w:tc>
          <w:tcPr>
            <w:tcW w:w="80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(263,173</w:t>
            </w:r>
          </w:p>
        </w:tc>
        <w:tc>
          <w:tcPr>
            <w:tcW w:w="8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10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93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12,703</w:t>
            </w:r>
          </w:p>
        </w:tc>
        <w:tc>
          <w:tcPr>
            <w:tcW w:w="114" w:type="dxa"/>
            <w:tcBorders/>
            <w:shd w:fill="auto" w:val="clear"/>
            <w:tcMar>
              <w:top w:w="0" w:type="dxa"/>
            </w:tcMar>
            <w:vAlign w:val="bottom"/>
          </w:tcPr>
          <w:p>
            <w:pPr>
              <w:pStyle w:val="TableContents"/>
              <w:spacing w:before="0" w:after="283"/>
              <w:jc w:val="left"/>
              <w:rPr/>
            </w:pPr>
            <w:r>
              <w:rPr/>
              <w:t> </w:t>
            </w:r>
          </w:p>
        </w:tc>
      </w:tr>
      <w:tr>
        <w:trPr/>
        <w:tc>
          <w:tcPr>
            <w:tcW w:w="17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Untraceable shares reissued</w:t>
            </w:r>
          </w:p>
        </w:tc>
        <w:tc>
          <w:tcPr>
            <w:tcW w:w="64" w:type="dxa"/>
            <w:tcBorders/>
            <w:shd w:fill="auto" w:val="clear"/>
            <w:tcMar>
              <w:top w:w="0" w:type="dxa"/>
            </w:tcMar>
            <w:vAlign w:val="bottom"/>
          </w:tcPr>
          <w:p>
            <w:pPr>
              <w:pStyle w:val="TableContents"/>
              <w:spacing w:before="0" w:after="283"/>
              <w:jc w:val="right"/>
              <w:rPr/>
            </w:pPr>
            <w:r>
              <w:rPr/>
              <w:t> </w:t>
            </w:r>
          </w:p>
        </w:tc>
        <w:tc>
          <w:tcPr>
            <w:tcW w:w="64" w:type="dxa"/>
            <w:tcBorders/>
            <w:shd w:fill="auto" w:val="clear"/>
            <w:tcMar>
              <w:top w:w="0" w:type="dxa"/>
            </w:tcMar>
            <w:vAlign w:val="bottom"/>
          </w:tcPr>
          <w:p>
            <w:pPr>
              <w:pStyle w:val="TableContents"/>
              <w:spacing w:before="0" w:after="283"/>
              <w:jc w:val="left"/>
              <w:rPr/>
            </w:pPr>
            <w:r>
              <w:rPr/>
              <w:t> </w:t>
            </w:r>
          </w:p>
        </w:tc>
        <w:tc>
          <w:tcPr>
            <w:tcW w:w="9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10,400</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62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9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30" w:type="dxa"/>
            <w:tcBorders/>
            <w:shd w:fill="auto" w:val="clear"/>
            <w:tcMar>
              <w:top w:w="0" w:type="dxa"/>
            </w:tcMar>
            <w:vAlign w:val="bottom"/>
          </w:tcPr>
          <w:p>
            <w:pPr>
              <w:pStyle w:val="TableContents"/>
              <w:spacing w:before="0" w:after="283"/>
              <w:jc w:val="left"/>
              <w:rPr/>
            </w:pPr>
            <w:r>
              <w:rPr/>
              <w:t> </w:t>
            </w:r>
          </w:p>
        </w:tc>
        <w:tc>
          <w:tcPr>
            <w:tcW w:w="80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10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93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auto" w:val="clear"/>
            <w:tcMar>
              <w:top w:w="0" w:type="dxa"/>
            </w:tcMar>
            <w:vAlign w:val="bottom"/>
          </w:tcPr>
          <w:p>
            <w:pPr>
              <w:pStyle w:val="TableContents"/>
              <w:spacing w:before="0" w:after="283"/>
              <w:jc w:val="left"/>
              <w:rPr/>
            </w:pPr>
            <w:r>
              <w:rPr/>
              <w:t> </w:t>
            </w:r>
          </w:p>
        </w:tc>
      </w:tr>
      <w:tr>
        <w:trPr/>
        <w:tc>
          <w:tcPr>
            <w:tcW w:w="17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pursuant  to service     agreements</w:t>
            </w:r>
          </w:p>
        </w:tc>
        <w:tc>
          <w:tcPr>
            <w:tcW w:w="64" w:type="dxa"/>
            <w:tcBorders/>
            <w:shd w:fill="auto" w:val="clear"/>
            <w:tcMar>
              <w:top w:w="0" w:type="dxa"/>
            </w:tcMar>
            <w:vAlign w:val="bottom"/>
          </w:tcPr>
          <w:p>
            <w:pPr>
              <w:pStyle w:val="TableContents"/>
              <w:spacing w:before="0" w:after="283"/>
              <w:jc w:val="right"/>
              <w:rPr/>
            </w:pPr>
            <w:r>
              <w:rPr/>
              <w:t> </w:t>
            </w:r>
          </w:p>
        </w:tc>
        <w:tc>
          <w:tcPr>
            <w:tcW w:w="64" w:type="dxa"/>
            <w:tcBorders/>
            <w:shd w:fill="auto" w:val="clear"/>
            <w:tcMar>
              <w:top w:w="0" w:type="dxa"/>
            </w:tcMar>
            <w:vAlign w:val="bottom"/>
          </w:tcPr>
          <w:p>
            <w:pPr>
              <w:pStyle w:val="TableContents"/>
              <w:spacing w:before="0" w:after="283"/>
              <w:jc w:val="left"/>
              <w:rPr/>
            </w:pPr>
            <w:r>
              <w:rPr/>
              <w:t> </w:t>
            </w:r>
          </w:p>
        </w:tc>
        <w:tc>
          <w:tcPr>
            <w:tcW w:w="9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62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9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648,000</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30" w:type="dxa"/>
            <w:tcBorders/>
            <w:shd w:fill="auto" w:val="clear"/>
            <w:tcMar>
              <w:top w:w="0" w:type="dxa"/>
            </w:tcMar>
            <w:vAlign w:val="bottom"/>
          </w:tcPr>
          <w:p>
            <w:pPr>
              <w:pStyle w:val="TableContents"/>
              <w:spacing w:before="0" w:after="283"/>
              <w:jc w:val="left"/>
              <w:rPr/>
            </w:pPr>
            <w:r>
              <w:rPr/>
              <w:t> </w:t>
            </w:r>
          </w:p>
        </w:tc>
        <w:tc>
          <w:tcPr>
            <w:tcW w:w="80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10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93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648,000</w:t>
            </w:r>
          </w:p>
        </w:tc>
        <w:tc>
          <w:tcPr>
            <w:tcW w:w="114" w:type="dxa"/>
            <w:tcBorders/>
            <w:shd w:fill="auto" w:val="clear"/>
            <w:tcMar>
              <w:top w:w="0" w:type="dxa"/>
            </w:tcMar>
            <w:vAlign w:val="bottom"/>
          </w:tcPr>
          <w:p>
            <w:pPr>
              <w:pStyle w:val="TableContents"/>
              <w:spacing w:before="0" w:after="283"/>
              <w:jc w:val="left"/>
              <w:rPr/>
            </w:pPr>
            <w:r>
              <w:rPr/>
              <w:t> </w:t>
            </w:r>
          </w:p>
        </w:tc>
      </w:tr>
      <w:tr>
        <w:trPr/>
        <w:tc>
          <w:tcPr>
            <w:tcW w:w="178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 exchange translation adjustment</w:t>
            </w:r>
          </w:p>
        </w:tc>
        <w:tc>
          <w:tcPr>
            <w:tcW w:w="64" w:type="dxa"/>
            <w:tcBorders/>
            <w:shd w:fill="auto" w:val="clear"/>
            <w:tcMar>
              <w:top w:w="0" w:type="dxa"/>
            </w:tcMar>
            <w:vAlign w:val="bottom"/>
          </w:tcPr>
          <w:p>
            <w:pPr>
              <w:pStyle w:val="TableContents"/>
              <w:spacing w:before="0" w:after="283"/>
              <w:jc w:val="right"/>
              <w:rPr/>
            </w:pPr>
            <w:r>
              <w:rPr/>
              <w:t> </w:t>
            </w:r>
          </w:p>
        </w:tc>
        <w:tc>
          <w:tcPr>
            <w:tcW w:w="64" w:type="dxa"/>
            <w:tcBorders/>
            <w:shd w:fill="auto" w:val="clear"/>
            <w:tcMar>
              <w:top w:w="0" w:type="dxa"/>
            </w:tcMar>
            <w:vAlign w:val="bottom"/>
          </w:tcPr>
          <w:p>
            <w:pPr>
              <w:pStyle w:val="TableContents"/>
              <w:spacing w:before="0" w:after="283"/>
              <w:jc w:val="left"/>
              <w:rPr/>
            </w:pPr>
            <w:r>
              <w:rPr/>
              <w:t> </w:t>
            </w:r>
          </w:p>
        </w:tc>
        <w:tc>
          <w:tcPr>
            <w:tcW w:w="9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62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9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30" w:type="dxa"/>
            <w:tcBorders/>
            <w:shd w:fill="auto" w:val="clear"/>
            <w:tcMar>
              <w:top w:w="0" w:type="dxa"/>
            </w:tcMar>
            <w:vAlign w:val="bottom"/>
          </w:tcPr>
          <w:p>
            <w:pPr>
              <w:pStyle w:val="TableContents"/>
              <w:spacing w:before="0" w:after="283"/>
              <w:jc w:val="left"/>
              <w:rPr/>
            </w:pPr>
            <w:r>
              <w:rPr/>
              <w:t> </w:t>
            </w:r>
          </w:p>
        </w:tc>
        <w:tc>
          <w:tcPr>
            <w:tcW w:w="80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10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(1,169</w:t>
            </w:r>
          </w:p>
        </w:tc>
        <w:tc>
          <w:tcPr>
            <w:tcW w:w="12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shd w:fill="auto" w:val="clear"/>
            <w:tcMar>
              <w:top w:w="0" w:type="dxa"/>
            </w:tcMar>
            <w:vAlign w:val="bottom"/>
          </w:tcPr>
          <w:p>
            <w:pPr>
              <w:pStyle w:val="TableContents"/>
              <w:spacing w:before="0" w:after="283"/>
              <w:jc w:val="left"/>
              <w:rPr/>
            </w:pPr>
            <w:r>
              <w:rPr/>
              <w:t> </w:t>
            </w:r>
          </w:p>
        </w:tc>
        <w:tc>
          <w:tcPr>
            <w:tcW w:w="93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(1,169</w:t>
            </w:r>
          </w:p>
        </w:tc>
        <w:tc>
          <w:tcPr>
            <w:tcW w:w="11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8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64" w:type="dxa"/>
            <w:tcBorders/>
            <w:shd w:fill="auto" w:val="clear"/>
            <w:tcMar>
              <w:top w:w="0" w:type="dxa"/>
            </w:tcMar>
            <w:vAlign w:val="bottom"/>
          </w:tcPr>
          <w:p>
            <w:pPr>
              <w:pStyle w:val="TableContents"/>
              <w:spacing w:before="0" w:after="283"/>
              <w:jc w:val="right"/>
              <w:rPr/>
            </w:pPr>
            <w:r>
              <w:rPr/>
              <w:t> </w:t>
            </w:r>
          </w:p>
        </w:tc>
        <w:tc>
          <w:tcPr>
            <w:tcW w:w="6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7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2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7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3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0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3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(5,090,651</w:t>
            </w:r>
          </w:p>
        </w:tc>
        <w:tc>
          <w:tcPr>
            <w:tcW w:w="8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 w:type="dxa"/>
            <w:tcBorders/>
            <w:shd w:fill="auto" w:val="clear"/>
            <w:tcMar>
              <w:top w:w="0" w:type="dxa"/>
            </w:tcMar>
            <w:vAlign w:val="bottom"/>
          </w:tcPr>
          <w:p>
            <w:pPr>
              <w:pStyle w:val="TableContents"/>
              <w:spacing w:before="0" w:after="283"/>
              <w:jc w:val="right"/>
              <w:rPr/>
            </w:pPr>
            <w:r>
              <w:rPr/>
              <w:t> </w:t>
            </w:r>
          </w:p>
        </w:tc>
        <w:tc>
          <w:tcPr>
            <w:tcW w:w="20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32"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(5,090,651</w:t>
            </w:r>
          </w:p>
        </w:tc>
        <w:tc>
          <w:tcPr>
            <w:tcW w:w="11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789"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2010</w:t>
            </w:r>
          </w:p>
        </w:tc>
        <w:tc>
          <w:tcPr>
            <w:tcW w:w="64" w:type="dxa"/>
            <w:tcBorders/>
            <w:shd w:fill="auto" w:val="clear"/>
            <w:tcMar>
              <w:top w:w="0" w:type="dxa"/>
            </w:tcMar>
            <w:vAlign w:val="bottom"/>
          </w:tcPr>
          <w:p>
            <w:pPr>
              <w:pStyle w:val="TableContents"/>
              <w:spacing w:before="0" w:after="283"/>
              <w:jc w:val="right"/>
              <w:rPr/>
            </w:pPr>
            <w:r>
              <w:rPr/>
              <w:t> </w:t>
            </w:r>
          </w:p>
        </w:tc>
        <w:tc>
          <w:tcPr>
            <w:tcW w:w="64"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976"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40,256,027</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26"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40,256</w:t>
            </w:r>
          </w:p>
        </w:tc>
        <w:tc>
          <w:tcPr>
            <w:tcW w:w="63"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6"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40,214,935</w:t>
            </w:r>
          </w:p>
        </w:tc>
        <w:tc>
          <w:tcPr>
            <w:tcW w:w="64" w:type="dxa"/>
            <w:tcBorders/>
            <w:shd w:fill="auto" w:val="clear"/>
            <w:tcMar>
              <w:top w:w="0" w:type="dxa"/>
            </w:tcMar>
            <w:vAlign w:val="bottom"/>
          </w:tcPr>
          <w:p>
            <w:pPr>
              <w:pStyle w:val="TableContents"/>
              <w:spacing w:before="0" w:after="283"/>
              <w:jc w:val="left"/>
              <w:rPr/>
            </w:pPr>
            <w:r>
              <w:rPr/>
              <w:t> </w:t>
            </w:r>
          </w:p>
        </w:tc>
        <w:tc>
          <w:tcPr>
            <w:tcW w:w="64" w:type="dxa"/>
            <w:tcBorders/>
            <w:shd w:fill="auto" w:val="clear"/>
            <w:tcMar>
              <w:top w:w="0" w:type="dxa"/>
            </w:tcMar>
            <w:vAlign w:val="bottom"/>
          </w:tcPr>
          <w:p>
            <w:pPr>
              <w:pStyle w:val="TableContents"/>
              <w:spacing w:before="0" w:after="283"/>
              <w:jc w:val="right"/>
              <w:rPr/>
            </w:pPr>
            <w:r>
              <w:rPr/>
              <w:t> </w:t>
            </w:r>
          </w:p>
        </w:tc>
        <w:tc>
          <w:tcPr>
            <w:tcW w:w="130"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34,980</w:t>
            </w:r>
          </w:p>
        </w:tc>
        <w:tc>
          <w:tcPr>
            <w:tcW w:w="83" w:type="dxa"/>
            <w:tcBorders/>
            <w:shd w:fill="auto" w:val="clear"/>
            <w:tcMar>
              <w:top w:w="0" w:type="dxa"/>
            </w:tcMar>
            <w:vAlign w:val="bottom"/>
          </w:tcPr>
          <w:p>
            <w:pPr>
              <w:pStyle w:val="TableContents"/>
              <w:spacing w:before="0" w:after="283"/>
              <w:jc w:val="left"/>
              <w:rPr/>
            </w:pPr>
            <w:r>
              <w:rPr/>
              <w:t> </w:t>
            </w:r>
          </w:p>
        </w:tc>
        <w:tc>
          <w:tcPr>
            <w:tcW w:w="63" w:type="dxa"/>
            <w:tcBorders/>
            <w:shd w:fill="auto" w:val="clear"/>
            <w:tcMar>
              <w:top w:w="0" w:type="dxa"/>
            </w:tcMar>
            <w:vAlign w:val="bottom"/>
          </w:tcPr>
          <w:p>
            <w:pPr>
              <w:pStyle w:val="TableContents"/>
              <w:spacing w:before="0" w:after="283"/>
              <w:jc w:val="right"/>
              <w:rPr/>
            </w:pPr>
            <w:r>
              <w:rPr/>
              <w:t> </w:t>
            </w:r>
          </w:p>
        </w:tc>
        <w:tc>
          <w:tcPr>
            <w:tcW w:w="127"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(43,501,765</w:t>
            </w:r>
          </w:p>
        </w:tc>
        <w:tc>
          <w:tcPr>
            <w:tcW w:w="8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 w:type="dxa"/>
            <w:tcBorders/>
            <w:shd w:fill="auto" w:val="clear"/>
            <w:tcMar>
              <w:top w:w="0" w:type="dxa"/>
            </w:tcMar>
            <w:vAlign w:val="bottom"/>
          </w:tcPr>
          <w:p>
            <w:pPr>
              <w:pStyle w:val="TableContents"/>
              <w:spacing w:before="0" w:after="283"/>
              <w:jc w:val="right"/>
              <w:rPr/>
            </w:pPr>
            <w:r>
              <w:rPr/>
              <w:t> </w:t>
            </w:r>
          </w:p>
        </w:tc>
        <w:tc>
          <w:tcPr>
            <w:tcW w:w="208"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(60,895</w:t>
            </w:r>
          </w:p>
        </w:tc>
        <w:tc>
          <w:tcPr>
            <w:tcW w:w="12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 w:type="dxa"/>
            <w:tcBorders/>
            <w:shd w:fill="auto" w:val="clear"/>
            <w:tcMar>
              <w:top w:w="0" w:type="dxa"/>
            </w:tcMar>
            <w:vAlign w:val="bottom"/>
          </w:tcPr>
          <w:p>
            <w:pPr>
              <w:pStyle w:val="TableContents"/>
              <w:spacing w:before="0" w:after="283"/>
              <w:jc w:val="right"/>
              <w:rPr/>
            </w:pPr>
            <w:r>
              <w:rPr/>
              <w:t> </w:t>
            </w:r>
          </w:p>
        </w:tc>
        <w:tc>
          <w:tcPr>
            <w:tcW w:w="127"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(3,272,489</w:t>
            </w:r>
          </w:p>
        </w:tc>
        <w:tc>
          <w:tcPr>
            <w:tcW w:w="11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0" w:name="PGBRK32"/>
      <w:bookmarkStart w:id="361" w:name="PGBRK32"/>
      <w:bookmarkEnd w:id="3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2" w:name="FTR32"/>
      <w:bookmarkStart w:id="363" w:name="FTR32"/>
      <w:bookmarkEnd w:id="3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4" w:name="GLFTR32"/>
      <w:bookmarkEnd w:id="3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5" w:name="PN32"/>
      <w:bookmarkEnd w:id="365"/>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6" w:name="HDR32"/>
      <w:bookmarkStart w:id="367" w:name="HDR32"/>
      <w:bookmarkEnd w:id="3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8" w:name="GLHDR32"/>
      <w:bookmarkEnd w:id="3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i/>
          <w:sz w:val="20"/>
        </w:rPr>
      </w:pPr>
      <w:r>
        <w:rPr>
          <w:rFonts w:ascii="Times New Roman" w:hAnsi="Times New Roman"/>
          <w:b/>
          <w:i/>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i/>
          <w:sz w:val="20"/>
        </w:rPr>
      </w:pPr>
      <w:r>
        <w:rPr>
          <w:rFonts w:ascii="Times New Roman" w:hAnsi="Times New Roman"/>
          <w:b/>
          <w:i/>
          <w:sz w:val="20"/>
        </w:rPr>
        <w:t>CONSOLIDATED STATEMENTS OF CASH FLOWS</w:t>
      </w:r>
    </w:p>
    <w:p>
      <w:pPr>
        <w:pStyle w:val="TextBody"/>
        <w:ind w:left="0" w:right="0" w:hanging="0"/>
        <w:jc w:val="center"/>
        <w:rPr/>
      </w:pPr>
      <w:r>
        <w:rPr/>
      </w:r>
    </w:p>
    <w:tbl>
      <w:tblPr>
        <w:tblW w:w="5000" w:type="pct"/>
        <w:jc w:val="left"/>
        <w:tblInd w:w="0" w:type="dxa"/>
        <w:tblCellMar>
          <w:top w:w="28" w:type="dxa"/>
          <w:left w:w="0" w:type="dxa"/>
          <w:bottom w:w="28" w:type="dxa"/>
          <w:right w:w="0" w:type="dxa"/>
        </w:tblCellMar>
      </w:tblPr>
      <w:tblGrid>
        <w:gridCol w:w="5917"/>
        <w:gridCol w:w="104"/>
        <w:gridCol w:w="125"/>
        <w:gridCol w:w="1063"/>
        <w:gridCol w:w="111"/>
        <w:gridCol w:w="104"/>
        <w:gridCol w:w="125"/>
        <w:gridCol w:w="1096"/>
        <w:gridCol w:w="111"/>
        <w:gridCol w:w="103"/>
        <w:gridCol w:w="125"/>
        <w:gridCol w:w="1096"/>
        <w:gridCol w:w="125"/>
      </w:tblGrid>
      <w:tr>
        <w:trPr/>
        <w:tc>
          <w:tcPr>
            <w:tcW w:w="5917"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18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1"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22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11"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3" w:type="dxa"/>
            <w:tcBorders>
              <w:top w:val="single" w:sz="12" w:space="0" w:color="000000"/>
            </w:tcBorders>
            <w:shd w:fill="auto" w:val="clear"/>
            <w:tcMar>
              <w:bottom w:w="0" w:type="dxa"/>
            </w:tcMar>
            <w:vAlign w:val="bottom"/>
          </w:tcPr>
          <w:p>
            <w:pPr>
              <w:pStyle w:val="TableContents"/>
              <w:spacing w:before="0" w:after="283"/>
              <w:rPr/>
            </w:pPr>
            <w:r>
              <w:rPr/>
              <w:t> </w:t>
            </w:r>
          </w:p>
        </w:tc>
        <w:tc>
          <w:tcPr>
            <w:tcW w:w="122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Period from</w:t>
            </w:r>
          </w:p>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25"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188" w:type="dxa"/>
            <w:gridSpan w:val="2"/>
            <w:tcBorders/>
            <w:shd w:fill="auto" w:val="clear"/>
            <w:tcMar>
              <w:top w:w="0" w:type="dxa"/>
              <w:bottom w:w="0" w:type="dxa"/>
            </w:tcMar>
            <w:vAlign w:val="bottom"/>
          </w:tcPr>
          <w:p>
            <w:pPr>
              <w:pStyle w:val="TableContents"/>
              <w:spacing w:before="0" w:after="283"/>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21" w:type="dxa"/>
            <w:gridSpan w:val="2"/>
            <w:tcBorders/>
            <w:shd w:fill="auto" w:val="clear"/>
            <w:tcMar>
              <w:top w:w="0" w:type="dxa"/>
              <w:bottom w:w="0" w:type="dxa"/>
            </w:tcMar>
            <w:vAlign w:val="bottom"/>
          </w:tcPr>
          <w:p>
            <w:pPr>
              <w:pStyle w:val="TableContents"/>
              <w:spacing w:before="0" w:after="283"/>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21" w:type="dxa"/>
            <w:gridSpan w:val="2"/>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10080" w:type="dxa"/>
            <w:gridSpan w:val="12"/>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(5,090,651</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(17,599,008</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(43,501,765</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w:t>
            </w:r>
          </w:p>
          <w:p>
            <w:pPr>
              <w:pStyle w:val="TableContents"/>
              <w:spacing w:before="0" w:after="0"/>
              <w:ind w:left="0" w:right="0" w:hanging="0"/>
              <w:jc w:val="left"/>
              <w:rPr>
                <w:rFonts w:ascii="times new roman" w:hAnsi="times new roman"/>
                <w:sz w:val="20"/>
              </w:rPr>
            </w:pPr>
            <w:r>
              <w:rPr>
                <w:rFonts w:ascii="times new roman" w:hAnsi="times new roman"/>
                <w:sz w:val="20"/>
              </w:rPr>
              <w:t>net cash from operating activities:</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Depreciation</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213,227</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Non-cash loss on debt financing</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color w:val="0000CD"/>
                <w:sz w:val="20"/>
                <w:u w:val="single"/>
              </w:rPr>
            </w:pPr>
            <w:r>
              <w:rPr>
                <w:rFonts w:ascii="times new roman" w:hAnsi="times new roman"/>
                <w:color w:val="0000CD"/>
                <w:sz w:val="20"/>
                <w:u w:val="single"/>
              </w:rPr>
              <w:t>1,615,425</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color w:val="0000CD"/>
                <w:sz w:val="20"/>
                <w:u w:val="single"/>
              </w:rPr>
            </w:pPr>
            <w:r>
              <w:rPr>
                <w:rFonts w:ascii="times new roman" w:hAnsi="times new roman"/>
                <w:color w:val="0000CD"/>
                <w:sz w:val="20"/>
                <w:u w:val="single"/>
              </w:rPr>
              <w:t>1,615,425</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Changes in fair value of derivative liabilities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(1,655,011</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color w:val="0000FF"/>
                <w:sz w:val="20"/>
                <w:u w:val="single"/>
              </w:rPr>
            </w:pPr>
            <w:r>
              <w:rPr>
                <w:rFonts w:ascii="times new roman" w:hAnsi="times new roman"/>
                <w:color w:val="0000FF"/>
                <w:sz w:val="20"/>
                <w:u w:val="single"/>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color w:val="0000CD"/>
                <w:sz w:val="20"/>
                <w:u w:val="single"/>
              </w:rPr>
            </w:pPr>
            <w:r>
              <w:rPr>
                <w:rFonts w:ascii="times new roman" w:hAnsi="times new roman"/>
                <w:color w:val="0000CD"/>
                <w:sz w:val="20"/>
                <w:u w:val="single"/>
              </w:rPr>
              <w:t>(1,655,011</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color w:val="0000CD"/>
                <w:sz w:val="20"/>
                <w:u w:val="single"/>
              </w:rPr>
            </w:pPr>
            <w:r>
              <w:rPr>
                <w:rFonts w:ascii="times new roman" w:hAnsi="times new roman"/>
                <w:color w:val="0000CD"/>
                <w:sz w:val="20"/>
                <w:u w:val="single"/>
              </w:rPr>
              <w:t>)</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color w:val="0000FF"/>
                <w:sz w:val="20"/>
                <w:u w:val="single"/>
              </w:rPr>
              <w:t>Loss (gain)</w:t>
            </w:r>
            <w:r>
              <w:rPr>
                <w:rFonts w:ascii="times new roman" w:hAnsi="times new roman"/>
                <w:sz w:val="20"/>
              </w:rPr>
              <w:t xml:space="preserve"> on settlement of debt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(53,589</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12,175,982</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11,949,383</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Non-cash interest and financing charges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1,241,078</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1,073,255</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color w:val="0000FF"/>
                <w:sz w:val="20"/>
                <w:u w:val="single"/>
              </w:rPr>
            </w:pPr>
            <w:r>
              <w:rPr>
                <w:rFonts w:ascii="times new roman" w:hAnsi="times new roman"/>
                <w:color w:val="0000FF"/>
                <w:sz w:val="20"/>
                <w:u w:val="single"/>
              </w:rPr>
              <w:t>4,789,167</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Stock based compensation</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2,288,651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2,525,702</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9,555,768</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Changes in operating assets and liabilities:</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32,230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(1,064</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Prepaid expenses and receivables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(30,700</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9,520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(24,700</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Deferred financing costs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(65,885</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(65,885</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729,587</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631,244</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3,215,601</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96,085</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20,209</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359,892</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USED IN</w:t>
            </w:r>
          </w:p>
          <w:p>
            <w:pPr>
              <w:pStyle w:val="TableContents"/>
              <w:spacing w:before="0" w:after="0"/>
              <w:ind w:left="0" w:right="0" w:hanging="0"/>
              <w:jc w:val="left"/>
              <w:rPr/>
            </w:pPr>
            <w:r>
              <w:rPr/>
              <w:t>  </w:t>
            </w:r>
            <w:r>
              <w:rPr>
                <w:rFonts w:ascii="times new roman" w:hAnsi="times new roman"/>
                <w:b/>
                <w:sz w:val="20"/>
              </w:rPr>
              <w:t>OPERATING ACTIVITIES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(925,041</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(1,121,726</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(13,544,563</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7"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10080" w:type="dxa"/>
            <w:gridSpan w:val="12"/>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shares, net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9,622,125</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notes, net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138,921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797,371</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from loans payable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425,000</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and loans payable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919,845</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Advances from related parties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243,205</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77,170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1,598,991</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w:t>
            </w:r>
          </w:p>
          <w:p>
            <w:pPr>
              <w:pStyle w:val="TableContents"/>
              <w:spacing w:before="0" w:after="0"/>
              <w:ind w:left="0" w:right="0" w:hanging="0"/>
              <w:jc w:val="left"/>
              <w:rPr/>
            </w:pPr>
            <w:r>
              <w:rPr/>
              <w:t>  </w:t>
            </w:r>
            <w:r>
              <w:rPr>
                <w:rFonts w:ascii="times new roman" w:hAnsi="times new roman"/>
                <w:b/>
                <w:sz w:val="20"/>
              </w:rPr>
              <w:t>FINANCING ACTIVITIES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807,126</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1,262,170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13,363,332</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10080" w:type="dxa"/>
            <w:gridSpan w:val="12"/>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Purchase of furniture and equipment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(218,626</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7"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acquired on reverse acquisition</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423,373</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w:t>
            </w:r>
          </w:p>
          <w:p>
            <w:pPr>
              <w:pStyle w:val="TableContents"/>
              <w:spacing w:before="0" w:after="0"/>
              <w:ind w:left="0" w:right="0" w:hanging="0"/>
              <w:jc w:val="left"/>
              <w:rPr/>
            </w:pPr>
            <w:r>
              <w:rPr/>
              <w:t>  </w:t>
            </w:r>
            <w:r>
              <w:rPr>
                <w:rFonts w:ascii="times new roman" w:hAnsi="times new roman"/>
                <w:b/>
                <w:sz w:val="20"/>
              </w:rPr>
              <w:t>INVESTING ACTIVITIES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204,747</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INCREASE (DECREASE) IN CASH</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6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(117,915</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140,444</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23,516</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BEGINNING</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987</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bottom w:w="0" w:type="dxa"/>
            </w:tcMar>
            <w:vAlign w:val="bottom"/>
          </w:tcPr>
          <w:p>
            <w:pPr>
              <w:pStyle w:val="TableContents"/>
              <w:spacing w:before="0" w:after="283"/>
              <w:jc w:val="left"/>
              <w:rPr/>
            </w:pPr>
            <w:r>
              <w:rPr/>
              <w:t> </w:t>
            </w:r>
          </w:p>
        </w:tc>
      </w:tr>
      <w:tr>
        <w:trPr/>
        <w:tc>
          <w:tcPr>
            <w:tcW w:w="5917"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ENDING</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23,516</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3"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23,516</w:t>
            </w:r>
          </w:p>
        </w:tc>
        <w:tc>
          <w:tcPr>
            <w:tcW w:w="125"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left"/>
        <w:rPr>
          <w:rFonts w:ascii="Times New Roman" w:hAnsi="Times New Roman"/>
          <w:sz w:val="20"/>
        </w:rPr>
      </w:pPr>
      <w:r>
        <w:rPr>
          <w:rFonts w:ascii="Times New Roman" w:hAnsi="Times New Roman"/>
          <w:b/>
          <w:sz w:val="20"/>
        </w:rPr>
        <w:t>Supplemental cash flow information and non-cash investing and financing activities:</w:t>
      </w:r>
      <w:r>
        <w:rPr>
          <w:rFonts w:ascii="Times New Roman" w:hAnsi="Times New Roman"/>
          <w:sz w:val="20"/>
        </w:rPr>
        <w:t xml:space="preserve"> (Note 10)</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jc w:val="center"/>
        <w:rPr/>
      </w:pPr>
      <w:r>
        <w:rPr/>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9" w:name="PGBRK33"/>
      <w:bookmarkStart w:id="370" w:name="PGBRK33"/>
      <w:bookmarkEnd w:id="3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1" w:name="FTR33"/>
      <w:bookmarkStart w:id="372" w:name="FTR33"/>
      <w:bookmarkEnd w:id="3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3" w:name="GLFTR33"/>
      <w:bookmarkEnd w:id="3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4" w:name="PN33"/>
      <w:bookmarkEnd w:id="374"/>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5" w:name="HDR33"/>
      <w:bookmarkStart w:id="376" w:name="HDR33"/>
      <w:bookmarkEnd w:id="3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7" w:name="GLHDR33"/>
      <w:bookmarkEnd w:id="3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i/>
          <w:sz w:val="20"/>
        </w:rPr>
      </w:pPr>
      <w:r>
        <w:rPr>
          <w:rFonts w:ascii="Times New Roman" w:hAnsi="Times New Roman"/>
          <w:b/>
          <w:i/>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2010</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1A:  RESTATEMENT OF CONSOLIDATED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color w:val="0000FF"/>
          <w:sz w:val="20"/>
          <w:u w:val="single"/>
          <w:bdr w:val="double" w:sz="2" w:space="1" w:color="000000"/>
        </w:rPr>
      </w:pPr>
      <w:r>
        <w:rPr>
          <w:rFonts w:ascii="times new roman" w:hAnsi="times new roman"/>
          <w:i/>
          <w:color w:val="0000FF"/>
          <w:sz w:val="20"/>
          <w:u w:val="single"/>
          <w:bdr w:val="double" w:sz="2" w:space="1" w:color="000000"/>
        </w:rPr>
        <w:t>Restatement relating to accounting for debt settlement transactions in fiscal year ended December 2009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restated our consolidated financial statements as of and for the fiscal year ended December 31, 2009 related to the Company’s accounting for the debt settlement transactions. We had accounted for the equity issuance in settlement of $3,181,206 of debt by estimating the fair value from third party debt assignments instead of the quoted market value of the stock. Additionally, in connection with the debt settlement, the Company issued 2,000,000 shares pursuant to a consulting services agreement using a block discount from the quoted value of the stock. Following discussions with the SEC in connection with comments issued by the staff of the SEC, the Company determined that its accounting for debt settlement transactions should be reviewed. As a result, we reviewed GAAP guidance, which states that ‘a quoted market price in an active market is the best evidence of fair value and should be used as the basis for the measurement, if available’. Based on this guidance we have concluded that the difference of $13,137,038 between the fair value recognized using the quoted market price and the debt settled amounts should be recognized as loss on debt settlement.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had previously restated the Company’s consolidated financial statements as of and for the fiscal year ended December 31, 2009 in the Form 10-K for the fiscal year ended December 31, 2010 relating to the Company’s accounting for the debt settlement with related parties. The components of certain debt settlements that occurred in 2009 with related parties were originally accounted for as a gain on settlement of debt. We had determined that the accounting for the related party debt settlements was not in accordance with Financial Accounting Standards Board (“FASB”) – Accounting Standards Codification (“ASC”) 470-50-40-2, which states that ‘extinguished transactions between related entities may be in essence capital transactions.’ Based on this guidance, we had concluded that the gain from settlement with related parties in the amount of $766,769 would more appropriately be recognized as additional paid-in capital. Following discussions with the SEC in connection with comments issued by the staff of the SEC, the Company determined that its accounting for debt settlement transactions with related parties should be reviewed. As a result of the current restatement, based on GAAP guidance and management’s interpretation, we have accounted for the debt settlement transactions with related parties as loss on debt settlement and reversed the $766,769 amount which was recognized as additional paid-in capital.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adjustment amount of $13,137,038 comprises the fair value of the debt settlement less the book value of the debt less the $766,769 that was reversed in the previous 10-K filed on April 18, 2011.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impact of the restatement on the consolidated financial statements as of and for the year ended December 31, 2010 is shown in the following tables: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471"/>
        <w:gridCol w:w="364"/>
        <w:gridCol w:w="1442"/>
        <w:gridCol w:w="816"/>
        <w:gridCol w:w="1145"/>
        <w:gridCol w:w="148"/>
        <w:gridCol w:w="364"/>
        <w:gridCol w:w="1455"/>
      </w:tblGrid>
      <w:tr>
        <w:trPr/>
        <w:tc>
          <w:tcPr>
            <w:tcW w:w="6277" w:type="dxa"/>
            <w:gridSpan w:val="3"/>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As reported</w:t>
            </w:r>
          </w:p>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in December 31,</w:t>
            </w:r>
          </w:p>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2010 10-K filed on</w:t>
            </w:r>
          </w:p>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April 18, 2011</w:t>
            </w:r>
          </w:p>
        </w:tc>
        <w:tc>
          <w:tcPr>
            <w:tcW w:w="1961" w:type="dxa"/>
            <w:gridSpan w:val="2"/>
            <w:tcBorders/>
            <w:shd w:fill="auto" w:val="clear"/>
          </w:tcPr>
          <w:p>
            <w:pPr>
              <w:pStyle w:val="TableContents"/>
              <w:spacing w:before="0" w:after="0"/>
              <w:ind w:left="0" w:right="0" w:hanging="0"/>
              <w:jc w:val="right"/>
              <w:rPr/>
            </w:pPr>
            <w:r>
              <w:rPr/>
              <w:t> </w:t>
            </w:r>
          </w:p>
          <w:p>
            <w:pPr>
              <w:pStyle w:val="TableContents"/>
              <w:spacing w:before="0" w:after="0"/>
              <w:ind w:left="0" w:right="0" w:hanging="0"/>
              <w:jc w:val="right"/>
              <w:rPr/>
            </w:pPr>
            <w:r>
              <w:rPr/>
              <w:t> </w:t>
            </w:r>
          </w:p>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67" w:type="dxa"/>
            <w:gridSpan w:val="3"/>
            <w:tcBorders/>
            <w:shd w:fill="auto" w:val="clear"/>
          </w:tcPr>
          <w:p>
            <w:pPr>
              <w:pStyle w:val="TableContents"/>
              <w:spacing w:before="0" w:after="0"/>
              <w:ind w:left="0" w:right="0" w:hanging="0"/>
              <w:jc w:val="right"/>
              <w:rPr/>
            </w:pPr>
            <w:r>
              <w:rPr/>
              <w:t> </w:t>
            </w:r>
          </w:p>
          <w:p>
            <w:pPr>
              <w:pStyle w:val="TableContents"/>
              <w:spacing w:before="0" w:after="0"/>
              <w:ind w:left="0" w:right="0" w:hanging="0"/>
              <w:jc w:val="right"/>
              <w:rPr/>
            </w:pPr>
            <w:r>
              <w:rPr/>
              <w:t> </w:t>
            </w:r>
          </w:p>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sheet data — December 31, 2009</w:t>
            </w:r>
          </w:p>
        </w:tc>
      </w:tr>
      <w:tr>
        <w:trPr/>
        <w:tc>
          <w:tcPr>
            <w:tcW w:w="447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36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44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24,919,088 </w:t>
            </w:r>
          </w:p>
        </w:tc>
        <w:tc>
          <w:tcPr>
            <w:tcW w:w="81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93"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12,370,269 </w:t>
            </w:r>
          </w:p>
        </w:tc>
        <w:tc>
          <w:tcPr>
            <w:tcW w:w="36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45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37,289,357 </w:t>
            </w:r>
          </w:p>
        </w:tc>
      </w:tr>
      <w:tr>
        <w:trPr/>
        <w:tc>
          <w:tcPr>
            <w:tcW w:w="447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w:t>
            </w:r>
          </w:p>
        </w:tc>
        <w:tc>
          <w:tcPr>
            <w:tcW w:w="364" w:type="dxa"/>
            <w:tcBorders/>
            <w:shd w:fill="auto" w:val="clear"/>
          </w:tcPr>
          <w:p>
            <w:pPr>
              <w:pStyle w:val="TableContents"/>
              <w:spacing w:before="0" w:after="283"/>
              <w:rPr/>
            </w:pPr>
            <w:r>
              <w:rPr/>
              <w:t xml:space="preserve">  </w:t>
            </w:r>
          </w:p>
        </w:tc>
        <w:tc>
          <w:tcPr>
            <w:tcW w:w="144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(26,040,845)</w:t>
            </w:r>
          </w:p>
        </w:tc>
        <w:tc>
          <w:tcPr>
            <w:tcW w:w="816" w:type="dxa"/>
            <w:tcBorders/>
            <w:shd w:fill="auto" w:val="clear"/>
          </w:tcPr>
          <w:p>
            <w:pPr>
              <w:pStyle w:val="TableContents"/>
              <w:spacing w:before="0" w:after="283"/>
              <w:rPr/>
            </w:pPr>
            <w:r>
              <w:rPr/>
              <w:t xml:space="preserve">  </w:t>
            </w:r>
          </w:p>
        </w:tc>
        <w:tc>
          <w:tcPr>
            <w:tcW w:w="1293"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(12,370,269)</w:t>
            </w:r>
          </w:p>
        </w:tc>
        <w:tc>
          <w:tcPr>
            <w:tcW w:w="364" w:type="dxa"/>
            <w:tcBorders/>
            <w:shd w:fill="auto" w:val="clear"/>
          </w:tcPr>
          <w:p>
            <w:pPr>
              <w:pStyle w:val="TableContents"/>
              <w:spacing w:before="0" w:after="283"/>
              <w:rPr/>
            </w:pPr>
            <w:r>
              <w:rPr/>
              <w:t xml:space="preserve">  </w:t>
            </w:r>
          </w:p>
        </w:tc>
        <w:tc>
          <w:tcPr>
            <w:tcW w:w="145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(38,411,114)</w:t>
            </w:r>
          </w:p>
        </w:tc>
      </w:tr>
      <w:tr>
        <w:trPr/>
        <w:tc>
          <w:tcPr>
            <w:tcW w:w="4471"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Total stockholders’ equity</w:t>
            </w:r>
          </w:p>
        </w:tc>
        <w:tc>
          <w:tcPr>
            <w:tcW w:w="364"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442"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(629,388)</w:t>
            </w:r>
          </w:p>
        </w:tc>
        <w:tc>
          <w:tcPr>
            <w:tcW w:w="816"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93" w:type="dxa"/>
            <w:gridSpan w:val="2"/>
            <w:tcBorders>
              <w:bottom w:val="double" w:sz="8" w:space="0" w:color="000000"/>
            </w:tcBorders>
            <w:shd w:fill="auto" w:val="clear"/>
            <w:tcMar>
              <w:bottom w:w="28" w:type="dxa"/>
            </w:tcMar>
          </w:tcPr>
          <w:p>
            <w:pPr>
              <w:pStyle w:val="TableContents"/>
              <w:spacing w:before="0" w:after="0"/>
              <w:ind w:left="0" w:right="0" w:hanging="0"/>
              <w:jc w:val="right"/>
              <w:rPr/>
            </w:pPr>
            <w:r>
              <w:rPr/>
              <w:t>—</w:t>
            </w:r>
          </w:p>
        </w:tc>
        <w:tc>
          <w:tcPr>
            <w:tcW w:w="364"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455"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(629,388)</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471"/>
        <w:gridCol w:w="364"/>
        <w:gridCol w:w="1442"/>
        <w:gridCol w:w="816"/>
        <w:gridCol w:w="1145"/>
        <w:gridCol w:w="148"/>
        <w:gridCol w:w="364"/>
        <w:gridCol w:w="1455"/>
      </w:tblGrid>
      <w:tr>
        <w:trPr/>
        <w:tc>
          <w:tcPr>
            <w:tcW w:w="6277"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1961"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67"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sheet data — December 31, 2010</w:t>
            </w:r>
          </w:p>
        </w:tc>
      </w:tr>
      <w:tr>
        <w:trPr/>
        <w:tc>
          <w:tcPr>
            <w:tcW w:w="447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36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44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27,844,666 </w:t>
            </w:r>
          </w:p>
        </w:tc>
        <w:tc>
          <w:tcPr>
            <w:tcW w:w="81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93"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12,370,269 </w:t>
            </w:r>
          </w:p>
        </w:tc>
        <w:tc>
          <w:tcPr>
            <w:tcW w:w="36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45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40,214,935 </w:t>
            </w:r>
          </w:p>
        </w:tc>
      </w:tr>
      <w:tr>
        <w:trPr/>
        <w:tc>
          <w:tcPr>
            <w:tcW w:w="447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w:t>
            </w:r>
          </w:p>
        </w:tc>
        <w:tc>
          <w:tcPr>
            <w:tcW w:w="364" w:type="dxa"/>
            <w:tcBorders/>
            <w:shd w:fill="auto" w:val="clear"/>
          </w:tcPr>
          <w:p>
            <w:pPr>
              <w:pStyle w:val="TableContents"/>
              <w:spacing w:before="0" w:after="283"/>
              <w:rPr/>
            </w:pPr>
            <w:r>
              <w:rPr/>
              <w:t xml:space="preserve">  </w:t>
            </w:r>
          </w:p>
        </w:tc>
        <w:tc>
          <w:tcPr>
            <w:tcW w:w="144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(31,131,496)</w:t>
            </w:r>
          </w:p>
        </w:tc>
        <w:tc>
          <w:tcPr>
            <w:tcW w:w="816" w:type="dxa"/>
            <w:tcBorders/>
            <w:shd w:fill="auto" w:val="clear"/>
          </w:tcPr>
          <w:p>
            <w:pPr>
              <w:pStyle w:val="TableContents"/>
              <w:spacing w:before="0" w:after="283"/>
              <w:rPr/>
            </w:pPr>
            <w:r>
              <w:rPr/>
              <w:t xml:space="preserve">  </w:t>
            </w:r>
          </w:p>
        </w:tc>
        <w:tc>
          <w:tcPr>
            <w:tcW w:w="1293"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(12,370,269)</w:t>
            </w:r>
          </w:p>
        </w:tc>
        <w:tc>
          <w:tcPr>
            <w:tcW w:w="364" w:type="dxa"/>
            <w:tcBorders/>
            <w:shd w:fill="auto" w:val="clear"/>
          </w:tcPr>
          <w:p>
            <w:pPr>
              <w:pStyle w:val="TableContents"/>
              <w:spacing w:before="0" w:after="283"/>
              <w:rPr/>
            </w:pPr>
            <w:r>
              <w:rPr/>
              <w:t xml:space="preserve">  </w:t>
            </w:r>
          </w:p>
        </w:tc>
        <w:tc>
          <w:tcPr>
            <w:tcW w:w="145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(43,501,765)</w:t>
            </w:r>
          </w:p>
        </w:tc>
      </w:tr>
      <w:tr>
        <w:trPr/>
        <w:tc>
          <w:tcPr>
            <w:tcW w:w="4471"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Total stockholders’ equity</w:t>
            </w:r>
          </w:p>
        </w:tc>
        <w:tc>
          <w:tcPr>
            <w:tcW w:w="364"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442"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(3,272,489)</w:t>
            </w:r>
          </w:p>
        </w:tc>
        <w:tc>
          <w:tcPr>
            <w:tcW w:w="816"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93" w:type="dxa"/>
            <w:gridSpan w:val="2"/>
            <w:tcBorders>
              <w:bottom w:val="double" w:sz="8" w:space="0" w:color="000000"/>
            </w:tcBorders>
            <w:shd w:fill="auto" w:val="clear"/>
            <w:tcMar>
              <w:bottom w:w="28" w:type="dxa"/>
            </w:tcMar>
          </w:tcPr>
          <w:p>
            <w:pPr>
              <w:pStyle w:val="TableContents"/>
              <w:spacing w:before="0" w:after="0"/>
              <w:ind w:left="0" w:right="0" w:hanging="0"/>
              <w:jc w:val="right"/>
              <w:rPr/>
            </w:pPr>
            <w:r>
              <w:rPr/>
              <w:t>—</w:t>
            </w:r>
          </w:p>
        </w:tc>
        <w:tc>
          <w:tcPr>
            <w:tcW w:w="364"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455"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(3,272,489)</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8" w:name="PGBRK34"/>
      <w:bookmarkStart w:id="379" w:name="PGBRK34"/>
      <w:bookmarkEnd w:id="3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0" w:name="FTR34"/>
      <w:bookmarkStart w:id="381" w:name="FTR34"/>
      <w:bookmarkEnd w:id="3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2" w:name="GLFTR34"/>
      <w:bookmarkEnd w:id="3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3" w:name="PN34"/>
      <w:bookmarkEnd w:id="383"/>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4" w:name="HDR34"/>
      <w:bookmarkStart w:id="385" w:name="HDR34"/>
      <w:bookmarkEnd w:id="3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6" w:name="GLHDR34"/>
      <w:bookmarkEnd w:id="3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663"/>
        <w:gridCol w:w="286"/>
        <w:gridCol w:w="1347"/>
        <w:gridCol w:w="822"/>
        <w:gridCol w:w="2138"/>
        <w:gridCol w:w="292"/>
        <w:gridCol w:w="286"/>
        <w:gridCol w:w="1371"/>
      </w:tblGrid>
      <w:tr>
        <w:trPr/>
        <w:tc>
          <w:tcPr>
            <w:tcW w:w="5296"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296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49"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Operations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For the year ended December 31, 2009</w:t>
            </w:r>
          </w:p>
        </w:tc>
      </w:tr>
      <w:tr>
        <w:trPr/>
        <w:tc>
          <w:tcPr>
            <w:tcW w:w="366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Gain (loss) on settlement of debt</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4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194,287 </w:t>
            </w:r>
          </w:p>
        </w:tc>
        <w:tc>
          <w:tcPr>
            <w:tcW w:w="82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(12,370,269)</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1"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(12,175,982)</w:t>
            </w:r>
          </w:p>
        </w:tc>
      </w:tr>
      <w:tr>
        <w:trPr/>
        <w:tc>
          <w:tcPr>
            <w:tcW w:w="366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286" w:type="dxa"/>
            <w:tcBorders/>
            <w:shd w:fill="auto" w:val="clear"/>
          </w:tcPr>
          <w:p>
            <w:pPr>
              <w:pStyle w:val="TableContents"/>
              <w:spacing w:before="0" w:after="283"/>
              <w:rPr/>
            </w:pPr>
            <w:r>
              <w:rPr/>
              <w:t xml:space="preserve">  </w:t>
            </w:r>
          </w:p>
        </w:tc>
        <w:tc>
          <w:tcPr>
            <w:tcW w:w="134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5,228,739 </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12,370,269 </w:t>
            </w:r>
          </w:p>
        </w:tc>
        <w:tc>
          <w:tcPr>
            <w:tcW w:w="286" w:type="dxa"/>
            <w:tcBorders/>
            <w:shd w:fill="auto" w:val="clear"/>
          </w:tcPr>
          <w:p>
            <w:pPr>
              <w:pStyle w:val="TableContents"/>
              <w:spacing w:before="0" w:after="283"/>
              <w:rPr/>
            </w:pPr>
            <w:r>
              <w:rPr/>
              <w:t xml:space="preserve">  </w:t>
            </w:r>
          </w:p>
        </w:tc>
        <w:tc>
          <w:tcPr>
            <w:tcW w:w="1371"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17,599,008 </w:t>
            </w:r>
          </w:p>
        </w:tc>
      </w:tr>
      <w:tr>
        <w:trPr/>
        <w:tc>
          <w:tcPr>
            <w:tcW w:w="3663"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 NET LOSS PER SHARE</w:t>
            </w:r>
          </w:p>
        </w:tc>
        <w:tc>
          <w:tcPr>
            <w:tcW w:w="286"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47" w:type="dxa"/>
            <w:tcBorders>
              <w:bottom w:val="double" w:sz="8" w:space="0" w:color="000000"/>
            </w:tcBorders>
            <w:shd w:fill="auto" w:val="clear"/>
            <w:tcMar>
              <w:bottom w:w="28" w:type="dxa"/>
            </w:tcMar>
          </w:tcPr>
          <w:p>
            <w:pPr>
              <w:pStyle w:val="TableContents"/>
              <w:spacing w:before="0" w:after="0"/>
              <w:ind w:left="0" w:right="0" w:hanging="0"/>
              <w:jc w:val="right"/>
              <w:rPr/>
            </w:pPr>
            <w:r>
              <w:rPr/>
              <w:t> </w:t>
            </w:r>
            <w:r>
              <w:rPr>
                <w:rFonts w:ascii="times new roman" w:hAnsi="times new roman"/>
                <w:sz w:val="20"/>
              </w:rPr>
              <w:t>(0.27)</w:t>
            </w:r>
          </w:p>
        </w:tc>
        <w:tc>
          <w:tcPr>
            <w:tcW w:w="822"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0" w:type="dxa"/>
            <w:gridSpan w:val="2"/>
            <w:tcBorders>
              <w:bottom w:val="double" w:sz="8" w:space="0" w:color="000000"/>
            </w:tcBorders>
            <w:shd w:fill="auto" w:val="clear"/>
            <w:tcMar>
              <w:bottom w:w="28" w:type="dxa"/>
            </w:tcMar>
          </w:tcPr>
          <w:p>
            <w:pPr>
              <w:pStyle w:val="TableContents"/>
              <w:spacing w:before="0" w:after="0"/>
              <w:ind w:left="0" w:right="0" w:hanging="0"/>
              <w:jc w:val="right"/>
              <w:rPr/>
            </w:pPr>
            <w:r>
              <w:rPr/>
              <w:t> </w:t>
            </w:r>
            <w:r>
              <w:rPr>
                <w:rFonts w:ascii="times new roman" w:hAnsi="times new roman"/>
                <w:sz w:val="20"/>
              </w:rPr>
              <w:t>(0.62)</w:t>
            </w:r>
          </w:p>
        </w:tc>
        <w:tc>
          <w:tcPr>
            <w:tcW w:w="286"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1" w:type="dxa"/>
            <w:tcBorders>
              <w:bottom w:val="double" w:sz="8" w:space="0" w:color="000000"/>
            </w:tcBorders>
            <w:shd w:fill="auto" w:val="clear"/>
            <w:tcMar>
              <w:bottom w:w="28" w:type="dxa"/>
            </w:tcMar>
          </w:tcPr>
          <w:p>
            <w:pPr>
              <w:pStyle w:val="TableContents"/>
              <w:spacing w:before="0" w:after="0"/>
              <w:ind w:left="0" w:right="0" w:hanging="0"/>
              <w:jc w:val="right"/>
              <w:rPr/>
            </w:pPr>
            <w:r>
              <w:rPr/>
              <w:t> </w:t>
            </w:r>
            <w:r>
              <w:rPr>
                <w:rFonts w:ascii="times new roman" w:hAnsi="times new roman"/>
                <w:sz w:val="20"/>
              </w:rPr>
              <w:t>(0.89)</w:t>
            </w:r>
          </w:p>
        </w:tc>
      </w:tr>
      <w:tr>
        <w:trPr/>
        <w:tc>
          <w:tcPr>
            <w:tcW w:w="10205" w:type="dxa"/>
            <w:gridSpan w:val="8"/>
            <w:tcBorders/>
            <w:shd w:fill="auto" w:val="clear"/>
          </w:tcPr>
          <w:p>
            <w:pPr>
              <w:pStyle w:val="TableContents"/>
              <w:spacing w:before="0" w:after="283"/>
              <w:rPr/>
            </w:pPr>
            <w:r>
              <w:rPr/>
              <w:t xml:space="preserve">  </w:t>
            </w:r>
          </w:p>
        </w:tc>
      </w:tr>
      <w:tr>
        <w:trPr/>
        <w:tc>
          <w:tcPr>
            <w:tcW w:w="3663" w:type="dxa"/>
            <w:tcBorders/>
            <w:shd w:fill="auto" w:val="clear"/>
          </w:tcPr>
          <w:p>
            <w:pPr>
              <w:pStyle w:val="TableContents"/>
              <w:spacing w:before="0" w:after="283"/>
              <w:rPr/>
            </w:pPr>
            <w:r>
              <w:rPr/>
              <w:t xml:space="preserve">  </w:t>
            </w:r>
          </w:p>
        </w:tc>
        <w:tc>
          <w:tcPr>
            <w:tcW w:w="286" w:type="dxa"/>
            <w:tcBorders/>
            <w:shd w:fill="auto" w:val="clear"/>
          </w:tcPr>
          <w:p>
            <w:pPr>
              <w:pStyle w:val="TableContents"/>
              <w:spacing w:before="0" w:after="283"/>
              <w:rPr/>
            </w:pPr>
            <w:r>
              <w:rPr/>
              <w:t xml:space="preserve">  </w:t>
            </w:r>
          </w:p>
        </w:tc>
        <w:tc>
          <w:tcPr>
            <w:tcW w:w="134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286" w:type="dxa"/>
            <w:tcBorders/>
            <w:shd w:fill="auto" w:val="clear"/>
          </w:tcPr>
          <w:p>
            <w:pPr>
              <w:pStyle w:val="TableContents"/>
              <w:spacing w:before="0" w:after="283"/>
              <w:rPr/>
            </w:pPr>
            <w:r>
              <w:rPr/>
              <w:t xml:space="preserve">  </w:t>
            </w:r>
          </w:p>
        </w:tc>
        <w:tc>
          <w:tcPr>
            <w:tcW w:w="1371"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r>
      <w:tr>
        <w:trPr/>
        <w:tc>
          <w:tcPr>
            <w:tcW w:w="3663"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Operations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From July 27, 1999 (inception) to December 31, 2010</w:t>
            </w:r>
          </w:p>
        </w:tc>
        <w:tc>
          <w:tcPr>
            <w:tcW w:w="286" w:type="dxa"/>
            <w:tcBorders/>
            <w:shd w:fill="auto" w:val="clear"/>
          </w:tcPr>
          <w:p>
            <w:pPr>
              <w:pStyle w:val="TableContents"/>
              <w:spacing w:before="0" w:after="283"/>
              <w:rPr/>
            </w:pPr>
            <w:r>
              <w:rPr/>
              <w:t xml:space="preserve">  </w:t>
            </w:r>
          </w:p>
        </w:tc>
        <w:tc>
          <w:tcPr>
            <w:tcW w:w="1347" w:type="dxa"/>
            <w:tcBorders/>
            <w:shd w:fill="auto" w:val="clear"/>
          </w:tcPr>
          <w:p>
            <w:pPr>
              <w:pStyle w:val="TableContents"/>
              <w:spacing w:before="0" w:after="283"/>
              <w:rPr/>
            </w:pPr>
            <w:r>
              <w:rPr/>
              <w:t xml:space="preserve">  </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283"/>
              <w:rPr/>
            </w:pPr>
            <w:r>
              <w:rPr/>
              <w:t xml:space="preserve">  </w:t>
            </w:r>
          </w:p>
        </w:tc>
        <w:tc>
          <w:tcPr>
            <w:tcW w:w="286" w:type="dxa"/>
            <w:tcBorders/>
            <w:shd w:fill="auto" w:val="clear"/>
          </w:tcPr>
          <w:p>
            <w:pPr>
              <w:pStyle w:val="TableContents"/>
              <w:spacing w:before="0" w:after="283"/>
              <w:rPr/>
            </w:pPr>
            <w:r>
              <w:rPr/>
              <w:t xml:space="preserve">  </w:t>
            </w:r>
          </w:p>
        </w:tc>
        <w:tc>
          <w:tcPr>
            <w:tcW w:w="1371" w:type="dxa"/>
            <w:tcBorders/>
            <w:shd w:fill="auto" w:val="clear"/>
          </w:tcPr>
          <w:p>
            <w:pPr>
              <w:pStyle w:val="TableContents"/>
              <w:spacing w:before="0" w:after="283"/>
              <w:rPr/>
            </w:pPr>
            <w:r>
              <w:rPr/>
              <w:t xml:space="preserve">  </w:t>
            </w:r>
          </w:p>
        </w:tc>
      </w:tr>
      <w:tr>
        <w:trPr/>
        <w:tc>
          <w:tcPr>
            <w:tcW w:w="366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Gain (loss) on settlement of debt</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4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420,886 </w:t>
            </w:r>
          </w:p>
        </w:tc>
        <w:tc>
          <w:tcPr>
            <w:tcW w:w="82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(12,370,269)</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1"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(11,949,383)</w:t>
            </w:r>
          </w:p>
        </w:tc>
      </w:tr>
      <w:tr>
        <w:trPr/>
        <w:tc>
          <w:tcPr>
            <w:tcW w:w="3663"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286" w:type="dxa"/>
            <w:tcBorders>
              <w:bottom w:val="double" w:sz="8" w:space="0" w:color="000000"/>
            </w:tcBorders>
            <w:shd w:fill="auto" w:val="clear"/>
            <w:tcMar>
              <w:bottom w:w="28" w:type="dxa"/>
            </w:tcMar>
          </w:tcPr>
          <w:p>
            <w:pPr>
              <w:pStyle w:val="TableContents"/>
              <w:spacing w:before="0" w:after="283"/>
              <w:rPr/>
            </w:pPr>
            <w:r>
              <w:rPr/>
              <w:t xml:space="preserve">  </w:t>
            </w:r>
          </w:p>
        </w:tc>
        <w:tc>
          <w:tcPr>
            <w:tcW w:w="1347"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31,131,496 </w:t>
            </w:r>
          </w:p>
        </w:tc>
        <w:tc>
          <w:tcPr>
            <w:tcW w:w="822" w:type="dxa"/>
            <w:tcBorders>
              <w:bottom w:val="double" w:sz="8" w:space="0" w:color="000000"/>
            </w:tcBorders>
            <w:shd w:fill="auto" w:val="clear"/>
            <w:tcMar>
              <w:bottom w:w="28" w:type="dxa"/>
            </w:tcMar>
          </w:tcPr>
          <w:p>
            <w:pPr>
              <w:pStyle w:val="TableContents"/>
              <w:spacing w:before="0" w:after="283"/>
              <w:rPr/>
            </w:pPr>
            <w:r>
              <w:rPr/>
              <w:t xml:space="preserve">  </w:t>
            </w:r>
          </w:p>
        </w:tc>
        <w:tc>
          <w:tcPr>
            <w:tcW w:w="2430" w:type="dxa"/>
            <w:gridSpan w:val="2"/>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12,370,269 </w:t>
            </w:r>
          </w:p>
        </w:tc>
        <w:tc>
          <w:tcPr>
            <w:tcW w:w="286" w:type="dxa"/>
            <w:tcBorders>
              <w:bottom w:val="double" w:sz="8" w:space="0" w:color="000000"/>
            </w:tcBorders>
            <w:shd w:fill="auto" w:val="clear"/>
            <w:tcMar>
              <w:bottom w:w="28" w:type="dxa"/>
            </w:tcMar>
          </w:tcPr>
          <w:p>
            <w:pPr>
              <w:pStyle w:val="TableContents"/>
              <w:spacing w:before="0" w:after="283"/>
              <w:rPr/>
            </w:pPr>
            <w:r>
              <w:rPr/>
              <w:t xml:space="preserve">  </w:t>
            </w:r>
          </w:p>
        </w:tc>
        <w:tc>
          <w:tcPr>
            <w:tcW w:w="1371"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43,501,765 </w:t>
            </w:r>
          </w:p>
        </w:tc>
      </w:tr>
      <w:tr>
        <w:trPr/>
        <w:tc>
          <w:tcPr>
            <w:tcW w:w="3663" w:type="dxa"/>
            <w:tcBorders/>
            <w:shd w:fill="auto" w:val="clear"/>
          </w:tcPr>
          <w:p>
            <w:pPr>
              <w:pStyle w:val="TableContents"/>
              <w:spacing w:before="0" w:after="283"/>
              <w:rPr/>
            </w:pPr>
            <w:r>
              <w:rPr/>
              <w:t xml:space="preserve">  </w:t>
            </w:r>
          </w:p>
        </w:tc>
        <w:tc>
          <w:tcPr>
            <w:tcW w:w="286" w:type="dxa"/>
            <w:tcBorders/>
            <w:shd w:fill="auto" w:val="clear"/>
          </w:tcPr>
          <w:p>
            <w:pPr>
              <w:pStyle w:val="TableContents"/>
              <w:spacing w:before="0" w:after="283"/>
              <w:rPr/>
            </w:pPr>
            <w:r>
              <w:rPr/>
              <w:t xml:space="preserve">  </w:t>
            </w:r>
          </w:p>
        </w:tc>
        <w:tc>
          <w:tcPr>
            <w:tcW w:w="1347" w:type="dxa"/>
            <w:tcBorders/>
            <w:shd w:fill="auto" w:val="clear"/>
          </w:tcPr>
          <w:p>
            <w:pPr>
              <w:pStyle w:val="TableContents"/>
              <w:spacing w:before="0" w:after="283"/>
              <w:rPr/>
            </w:pPr>
            <w:r>
              <w:rPr/>
              <w:t xml:space="preserve">  </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283"/>
              <w:rPr/>
            </w:pPr>
            <w:r>
              <w:rPr/>
              <w:t xml:space="preserve">  </w:t>
            </w:r>
          </w:p>
        </w:tc>
        <w:tc>
          <w:tcPr>
            <w:tcW w:w="286" w:type="dxa"/>
            <w:tcBorders/>
            <w:shd w:fill="auto" w:val="clear"/>
          </w:tcPr>
          <w:p>
            <w:pPr>
              <w:pStyle w:val="TableContents"/>
              <w:spacing w:before="0" w:after="283"/>
              <w:rPr/>
            </w:pPr>
            <w:r>
              <w:rPr/>
              <w:t xml:space="preserve">  </w:t>
            </w:r>
          </w:p>
        </w:tc>
        <w:tc>
          <w:tcPr>
            <w:tcW w:w="1371"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694"/>
        <w:gridCol w:w="289"/>
        <w:gridCol w:w="1288"/>
        <w:gridCol w:w="816"/>
        <w:gridCol w:w="2161"/>
        <w:gridCol w:w="295"/>
        <w:gridCol w:w="289"/>
        <w:gridCol w:w="1373"/>
      </w:tblGrid>
      <w:tr>
        <w:trPr/>
        <w:tc>
          <w:tcPr>
            <w:tcW w:w="5271"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2977"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57"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Cash Flows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For the year ended December 31, 2009</w:t>
            </w:r>
          </w:p>
        </w:tc>
      </w:tr>
      <w:tr>
        <w:trPr/>
        <w:tc>
          <w:tcPr>
            <w:tcW w:w="369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289"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88"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(5,228,739)</w:t>
            </w:r>
          </w:p>
        </w:tc>
        <w:tc>
          <w:tcPr>
            <w:tcW w:w="81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56"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(12,370,269)</w:t>
            </w:r>
          </w:p>
        </w:tc>
        <w:tc>
          <w:tcPr>
            <w:tcW w:w="289"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3"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(17,599,008)</w:t>
            </w:r>
          </w:p>
        </w:tc>
      </w:tr>
      <w:tr>
        <w:trPr/>
        <w:tc>
          <w:tcPr>
            <w:tcW w:w="369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(Gain) loss on settlement of debt</w:t>
            </w:r>
          </w:p>
        </w:tc>
        <w:tc>
          <w:tcPr>
            <w:tcW w:w="289" w:type="dxa"/>
            <w:tcBorders/>
            <w:shd w:fill="auto" w:val="clear"/>
          </w:tcPr>
          <w:p>
            <w:pPr>
              <w:pStyle w:val="TableContents"/>
              <w:spacing w:before="0" w:after="283"/>
              <w:rPr/>
            </w:pPr>
            <w:r>
              <w:rPr/>
              <w:t xml:space="preserve">  </w:t>
            </w:r>
          </w:p>
        </w:tc>
        <w:tc>
          <w:tcPr>
            <w:tcW w:w="1288"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(194,287)</w:t>
            </w:r>
          </w:p>
        </w:tc>
        <w:tc>
          <w:tcPr>
            <w:tcW w:w="816" w:type="dxa"/>
            <w:tcBorders/>
            <w:shd w:fill="auto" w:val="clear"/>
          </w:tcPr>
          <w:p>
            <w:pPr>
              <w:pStyle w:val="TableContents"/>
              <w:spacing w:before="0" w:after="283"/>
              <w:rPr/>
            </w:pPr>
            <w:r>
              <w:rPr/>
              <w:t xml:space="preserve">  </w:t>
            </w:r>
          </w:p>
        </w:tc>
        <w:tc>
          <w:tcPr>
            <w:tcW w:w="2456"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12,370,269 </w:t>
            </w:r>
          </w:p>
        </w:tc>
        <w:tc>
          <w:tcPr>
            <w:tcW w:w="289" w:type="dxa"/>
            <w:tcBorders/>
            <w:shd w:fill="auto" w:val="clear"/>
          </w:tcPr>
          <w:p>
            <w:pPr>
              <w:pStyle w:val="TableContents"/>
              <w:spacing w:before="0" w:after="283"/>
              <w:rPr/>
            </w:pPr>
            <w:r>
              <w:rPr/>
              <w:t xml:space="preserve">  </w:t>
            </w:r>
          </w:p>
        </w:tc>
        <w:tc>
          <w:tcPr>
            <w:tcW w:w="1373"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12,175,982 </w:t>
            </w:r>
          </w:p>
        </w:tc>
      </w:tr>
      <w:tr>
        <w:trPr/>
        <w:tc>
          <w:tcPr>
            <w:tcW w:w="3694"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289"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88"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(1,121,726)</w:t>
            </w:r>
          </w:p>
        </w:tc>
        <w:tc>
          <w:tcPr>
            <w:tcW w:w="816"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56" w:type="dxa"/>
            <w:gridSpan w:val="2"/>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289"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3"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(1,121,726)</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648"/>
        <w:gridCol w:w="286"/>
        <w:gridCol w:w="1357"/>
        <w:gridCol w:w="821"/>
        <w:gridCol w:w="2141"/>
        <w:gridCol w:w="293"/>
        <w:gridCol w:w="286"/>
        <w:gridCol w:w="1373"/>
      </w:tblGrid>
      <w:tr>
        <w:trPr/>
        <w:tc>
          <w:tcPr>
            <w:tcW w:w="5291"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p>
            <w:pPr>
              <w:pStyle w:val="TableContents"/>
              <w:spacing w:before="0" w:after="0"/>
              <w:ind w:left="0" w:right="0" w:hanging="0"/>
              <w:jc w:val="right"/>
              <w:rPr>
                <w:rFonts w:ascii="times new roman" w:hAnsi="times new roman"/>
                <w:sz w:val="20"/>
              </w:rPr>
            </w:pPr>
            <w:r>
              <w:rPr>
                <w:rFonts w:ascii="times new roman" w:hAnsi="times new roman"/>
                <w:sz w:val="20"/>
              </w:rPr>
              <w:t>in 2010 10-K</w:t>
            </w:r>
          </w:p>
        </w:tc>
        <w:tc>
          <w:tcPr>
            <w:tcW w:w="2962"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52"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Cash Flows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From July 27, 1999 (inception) to December 31, 2010</w:t>
            </w:r>
          </w:p>
        </w:tc>
      </w:tr>
      <w:tr>
        <w:trPr/>
        <w:tc>
          <w:tcPr>
            <w:tcW w:w="364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(31,131,496)</w:t>
            </w:r>
          </w:p>
        </w:tc>
        <w:tc>
          <w:tcPr>
            <w:tcW w:w="821"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4"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(12,370,269)</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3"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(43,501,765)</w:t>
            </w:r>
          </w:p>
        </w:tc>
      </w:tr>
      <w:tr>
        <w:trPr/>
        <w:tc>
          <w:tcPr>
            <w:tcW w:w="364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(Gain) loss on settlement of debt</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(420,886)</w:t>
            </w:r>
          </w:p>
        </w:tc>
        <w:tc>
          <w:tcPr>
            <w:tcW w:w="821" w:type="dxa"/>
            <w:tcBorders/>
            <w:shd w:fill="auto" w:val="clear"/>
          </w:tcPr>
          <w:p>
            <w:pPr>
              <w:pStyle w:val="TableContents"/>
              <w:spacing w:before="0" w:after="283"/>
              <w:rPr/>
            </w:pPr>
            <w:r>
              <w:rPr/>
              <w:t xml:space="preserve">  </w:t>
            </w:r>
          </w:p>
        </w:tc>
        <w:tc>
          <w:tcPr>
            <w:tcW w:w="2434"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12,370,269 </w:t>
            </w:r>
          </w:p>
        </w:tc>
        <w:tc>
          <w:tcPr>
            <w:tcW w:w="286" w:type="dxa"/>
            <w:tcBorders/>
            <w:shd w:fill="auto" w:val="clear"/>
          </w:tcPr>
          <w:p>
            <w:pPr>
              <w:pStyle w:val="TableContents"/>
              <w:spacing w:before="0" w:after="283"/>
              <w:rPr/>
            </w:pPr>
            <w:r>
              <w:rPr/>
              <w:t xml:space="preserve">  </w:t>
            </w:r>
          </w:p>
        </w:tc>
        <w:tc>
          <w:tcPr>
            <w:tcW w:w="1373"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11,949,383 </w:t>
            </w:r>
          </w:p>
        </w:tc>
      </w:tr>
      <w:tr>
        <w:trPr/>
        <w:tc>
          <w:tcPr>
            <w:tcW w:w="3648"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286"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(13,544,563)</w:t>
            </w:r>
          </w:p>
        </w:tc>
        <w:tc>
          <w:tcPr>
            <w:tcW w:w="821"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4" w:type="dxa"/>
            <w:gridSpan w:val="2"/>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286"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3"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(13,544,563)</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color w:val="0000FF"/>
          <w:sz w:val="20"/>
          <w:u w:val="single"/>
          <w:bdr w:val="double" w:sz="2" w:space="1" w:color="000000"/>
        </w:rPr>
      </w:pPr>
      <w:r>
        <w:rPr>
          <w:rFonts w:ascii="times new roman" w:hAnsi="times new roman"/>
          <w:i/>
          <w:color w:val="0000FF"/>
          <w:sz w:val="20"/>
          <w:u w:val="single"/>
          <w:bdr w:val="double" w:sz="2" w:space="1" w:color="000000"/>
        </w:rPr>
        <w:t>Restatement relating to valuation of derivative liabilities for the period ended December 31, 2010</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We have restated our consolidated financial statements as of and for the year ended December 31, 2010 related to the Company’s accounting for embedded warrants in the convertible notes issued during the year ended December 31, 2010. We had determined the fair value of the Series A Warrants, Series B Warrants, Series C Warrants and the conversion option using Black-Scholes valuation model. Following discussions with the SEC in connection with comments issued by the staff of the SEC, the Company determined that its accounting for the warrants should be reviewed. As a result, we determined that the use of binomial valuation model was more appropriate.</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The difference in the fair value measurements between Black Scholes and Binomial option valuations models on the beginning balance on May 24, 2010 is $20,625 for Series A warrants, $5,500 for Series B warrants and $5,100 for the conversion option (Note 4). The impact of the restatement on the consolidated financial statements as of and for the year ended December 31, 2010 is shown in the following table:</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Note 4 – Fair Value Measurements Using Level 3 Inputs</w:t>
      </w:r>
    </w:p>
    <w:tbl>
      <w:tblPr>
        <w:tblW w:w="5000" w:type="pct"/>
        <w:jc w:val="left"/>
        <w:tblInd w:w="0" w:type="dxa"/>
        <w:tblCellMar>
          <w:top w:w="0" w:type="dxa"/>
          <w:left w:w="0" w:type="dxa"/>
          <w:bottom w:w="0" w:type="dxa"/>
          <w:right w:w="0" w:type="dxa"/>
        </w:tblCellMar>
      </w:tblPr>
      <w:tblGrid>
        <w:gridCol w:w="5289"/>
        <w:gridCol w:w="368"/>
        <w:gridCol w:w="1230"/>
        <w:gridCol w:w="491"/>
        <w:gridCol w:w="1229"/>
        <w:gridCol w:w="368"/>
        <w:gridCol w:w="1230"/>
      </w:tblGrid>
      <w:tr>
        <w:trPr/>
        <w:tc>
          <w:tcPr>
            <w:tcW w:w="5289" w:type="dxa"/>
            <w:tcBorders/>
            <w:shd w:fill="auto" w:val="clear"/>
          </w:tcPr>
          <w:p>
            <w:pPr>
              <w:pStyle w:val="TableContents"/>
              <w:spacing w:before="0" w:after="283"/>
              <w:rPr>
                <w:color w:val="0000FF"/>
                <w:u w:val="single"/>
                <w:bdr w:val="double" w:sz="2" w:space="1" w:color="000000"/>
              </w:rPr>
            </w:pPr>
            <w:r>
              <w:rPr>
                <w:color w:val="0000FF"/>
                <w:u w:val="single"/>
                <w:bdr w:val="double" w:sz="2" w:space="1" w:color="000000"/>
              </w:rPr>
              <w:t xml:space="preserve">  </w:t>
            </w:r>
          </w:p>
        </w:tc>
        <w:tc>
          <w:tcPr>
            <w:tcW w:w="368" w:type="dxa"/>
            <w:tcBorders/>
            <w:shd w:fill="auto" w:val="clear"/>
          </w:tcPr>
          <w:p>
            <w:pPr>
              <w:pStyle w:val="TableContents"/>
              <w:spacing w:before="0" w:after="283"/>
              <w:rPr>
                <w:color w:val="0000FF"/>
                <w:u w:val="single"/>
                <w:bdr w:val="double" w:sz="2" w:space="1" w:color="000000"/>
              </w:rPr>
            </w:pPr>
            <w:r>
              <w:rPr>
                <w:color w:val="0000FF"/>
                <w:u w:val="single"/>
                <w:bdr w:val="double" w:sz="2" w:space="1" w:color="000000"/>
              </w:rPr>
              <w:t xml:space="preserve">  </w:t>
            </w:r>
          </w:p>
        </w:tc>
        <w:tc>
          <w:tcPr>
            <w:tcW w:w="1230"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As reported</w:t>
            </w:r>
          </w:p>
        </w:tc>
        <w:tc>
          <w:tcPr>
            <w:tcW w:w="491" w:type="dxa"/>
            <w:tcBorders/>
            <w:shd w:fill="auto" w:val="clear"/>
          </w:tcPr>
          <w:p>
            <w:pPr>
              <w:pStyle w:val="TableContents"/>
              <w:spacing w:before="0" w:after="283"/>
              <w:rPr>
                <w:color w:val="0000FF"/>
                <w:u w:val="single"/>
                <w:bdr w:val="double" w:sz="2" w:space="1" w:color="000000"/>
              </w:rPr>
            </w:pPr>
            <w:r>
              <w:rPr>
                <w:color w:val="0000FF"/>
                <w:u w:val="single"/>
                <w:bdr w:val="double" w:sz="2" w:space="1" w:color="000000"/>
              </w:rPr>
              <w:t xml:space="preserve">  </w:t>
            </w:r>
          </w:p>
        </w:tc>
        <w:tc>
          <w:tcPr>
            <w:tcW w:w="1229"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Adjustment</w:t>
            </w:r>
          </w:p>
        </w:tc>
        <w:tc>
          <w:tcPr>
            <w:tcW w:w="368" w:type="dxa"/>
            <w:tcBorders/>
            <w:shd w:fill="auto" w:val="clear"/>
          </w:tcPr>
          <w:p>
            <w:pPr>
              <w:pStyle w:val="TableContents"/>
              <w:spacing w:before="0" w:after="283"/>
              <w:rPr>
                <w:color w:val="0000FF"/>
                <w:u w:val="single"/>
                <w:bdr w:val="double" w:sz="2" w:space="1" w:color="000000"/>
              </w:rPr>
            </w:pPr>
            <w:r>
              <w:rPr>
                <w:color w:val="0000FF"/>
                <w:u w:val="single"/>
                <w:bdr w:val="double" w:sz="2" w:space="1" w:color="000000"/>
              </w:rPr>
              <w:t xml:space="preserve">  </w:t>
            </w:r>
          </w:p>
        </w:tc>
        <w:tc>
          <w:tcPr>
            <w:tcW w:w="1230"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As restated</w:t>
            </w:r>
          </w:p>
        </w:tc>
      </w:tr>
      <w:tr>
        <w:trPr/>
        <w:tc>
          <w:tcPr>
            <w:tcW w:w="5289" w:type="dxa"/>
            <w:tcBorders/>
            <w:shd w:fill="auto" w:val="clear"/>
          </w:tcPr>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Beginning balance as of May 24, 2010</w:t>
            </w:r>
          </w:p>
        </w:tc>
        <w:tc>
          <w:tcPr>
            <w:tcW w:w="368" w:type="dxa"/>
            <w:tcBorders/>
            <w:shd w:fill="auto" w:val="clear"/>
          </w:tcPr>
          <w:p>
            <w:pPr>
              <w:pStyle w:val="TableContents"/>
              <w:spacing w:before="0" w:after="283"/>
              <w:rPr>
                <w:color w:val="0000FF"/>
                <w:u w:val="single"/>
                <w:bdr w:val="double" w:sz="2" w:space="1" w:color="000000"/>
              </w:rPr>
            </w:pPr>
            <w:r>
              <w:rPr>
                <w:color w:val="0000FF"/>
                <w:u w:val="single"/>
                <w:bdr w:val="double" w:sz="2" w:space="1" w:color="000000"/>
              </w:rPr>
              <w:t xml:space="preserve">  </w:t>
            </w:r>
          </w:p>
        </w:tc>
        <w:tc>
          <w:tcPr>
            <w:tcW w:w="1230" w:type="dxa"/>
            <w:tcBorders/>
            <w:shd w:fill="auto" w:val="clear"/>
          </w:tcPr>
          <w:p>
            <w:pPr>
              <w:pStyle w:val="TableContents"/>
              <w:spacing w:before="0" w:after="283"/>
              <w:rPr>
                <w:color w:val="0000FF"/>
                <w:u w:val="single"/>
                <w:bdr w:val="double" w:sz="2" w:space="1" w:color="000000"/>
              </w:rPr>
            </w:pPr>
            <w:r>
              <w:rPr>
                <w:color w:val="0000FF"/>
                <w:u w:val="single"/>
                <w:bdr w:val="double" w:sz="2" w:space="1" w:color="000000"/>
              </w:rPr>
              <w:t xml:space="preserve">  </w:t>
            </w:r>
          </w:p>
        </w:tc>
        <w:tc>
          <w:tcPr>
            <w:tcW w:w="491" w:type="dxa"/>
            <w:tcBorders/>
            <w:shd w:fill="auto" w:val="clear"/>
          </w:tcPr>
          <w:p>
            <w:pPr>
              <w:pStyle w:val="TableContents"/>
              <w:spacing w:before="0" w:after="283"/>
              <w:rPr>
                <w:color w:val="0000FF"/>
                <w:u w:val="single"/>
                <w:bdr w:val="double" w:sz="2" w:space="1" w:color="000000"/>
              </w:rPr>
            </w:pPr>
            <w:r>
              <w:rPr>
                <w:color w:val="0000FF"/>
                <w:u w:val="single"/>
                <w:bdr w:val="double" w:sz="2" w:space="1" w:color="000000"/>
              </w:rPr>
              <w:t xml:space="preserve">  </w:t>
            </w:r>
          </w:p>
        </w:tc>
        <w:tc>
          <w:tcPr>
            <w:tcW w:w="1229" w:type="dxa"/>
            <w:tcBorders/>
            <w:shd w:fill="auto" w:val="clear"/>
          </w:tcPr>
          <w:p>
            <w:pPr>
              <w:pStyle w:val="TableContents"/>
              <w:spacing w:before="0" w:after="283"/>
              <w:rPr>
                <w:color w:val="0000FF"/>
                <w:u w:val="single"/>
                <w:bdr w:val="double" w:sz="2" w:space="1" w:color="000000"/>
              </w:rPr>
            </w:pPr>
            <w:r>
              <w:rPr>
                <w:color w:val="0000FF"/>
                <w:u w:val="single"/>
                <w:bdr w:val="double" w:sz="2" w:space="1" w:color="000000"/>
              </w:rPr>
              <w:t xml:space="preserve">  </w:t>
            </w:r>
          </w:p>
        </w:tc>
        <w:tc>
          <w:tcPr>
            <w:tcW w:w="368" w:type="dxa"/>
            <w:tcBorders/>
            <w:shd w:fill="auto" w:val="clear"/>
          </w:tcPr>
          <w:p>
            <w:pPr>
              <w:pStyle w:val="TableContents"/>
              <w:spacing w:before="0" w:after="283"/>
              <w:rPr>
                <w:color w:val="0000FF"/>
                <w:u w:val="single"/>
                <w:bdr w:val="double" w:sz="2" w:space="1" w:color="000000"/>
              </w:rPr>
            </w:pPr>
            <w:r>
              <w:rPr>
                <w:color w:val="0000FF"/>
                <w:u w:val="single"/>
                <w:bdr w:val="double" w:sz="2" w:space="1" w:color="000000"/>
              </w:rPr>
              <w:t xml:space="preserve">  </w:t>
            </w:r>
          </w:p>
        </w:tc>
        <w:tc>
          <w:tcPr>
            <w:tcW w:w="1230" w:type="dxa"/>
            <w:tcBorders/>
            <w:shd w:fill="auto" w:val="clear"/>
          </w:tcPr>
          <w:p>
            <w:pPr>
              <w:pStyle w:val="TableContents"/>
              <w:spacing w:before="0" w:after="283"/>
              <w:rPr>
                <w:color w:val="0000FF"/>
                <w:u w:val="single"/>
                <w:bdr w:val="double" w:sz="2" w:space="1" w:color="000000"/>
              </w:rPr>
            </w:pPr>
            <w:r>
              <w:rPr>
                <w:color w:val="0000FF"/>
                <w:u w:val="single"/>
                <w:bdr w:val="double" w:sz="2" w:space="1" w:color="000000"/>
              </w:rPr>
              <w:t xml:space="preserve">  </w:t>
            </w:r>
          </w:p>
        </w:tc>
      </w:tr>
      <w:tr>
        <w:trPr/>
        <w:tc>
          <w:tcPr>
            <w:tcW w:w="5289" w:type="dxa"/>
            <w:tcBorders/>
            <w:shd w:fill="auto" w:val="clear"/>
          </w:tcPr>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Derivative liability - warrants</w:t>
            </w:r>
          </w:p>
        </w:tc>
        <w:tc>
          <w:tcPr>
            <w:tcW w:w="368"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1230"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2,296,250 </w:t>
            </w:r>
          </w:p>
        </w:tc>
        <w:tc>
          <w:tcPr>
            <w:tcW w:w="491"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1229"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(26,125)</w:t>
            </w:r>
          </w:p>
        </w:tc>
        <w:tc>
          <w:tcPr>
            <w:tcW w:w="368"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1230"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2,270,125 </w:t>
            </w:r>
          </w:p>
        </w:tc>
      </w:tr>
      <w:tr>
        <w:trPr/>
        <w:tc>
          <w:tcPr>
            <w:tcW w:w="5289" w:type="dxa"/>
            <w:tcBorders/>
            <w:shd w:fill="auto" w:val="clear"/>
          </w:tcPr>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Derivative liability – conversion option</w:t>
            </w:r>
          </w:p>
        </w:tc>
        <w:tc>
          <w:tcPr>
            <w:tcW w:w="368" w:type="dxa"/>
            <w:tcBorders/>
            <w:shd w:fill="auto" w:val="clear"/>
          </w:tcPr>
          <w:p>
            <w:pPr>
              <w:pStyle w:val="TableContents"/>
              <w:spacing w:before="0" w:after="0"/>
              <w:ind w:left="0" w:right="0" w:hanging="0"/>
              <w:jc w:val="right"/>
              <w:rPr/>
            </w:pPr>
            <w:r>
              <w:rPr/>
              <w:t> </w:t>
            </w:r>
          </w:p>
        </w:tc>
        <w:tc>
          <w:tcPr>
            <w:tcW w:w="1230"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790,500 </w:t>
            </w:r>
          </w:p>
        </w:tc>
        <w:tc>
          <w:tcPr>
            <w:tcW w:w="491" w:type="dxa"/>
            <w:tcBorders/>
            <w:shd w:fill="auto" w:val="clear"/>
          </w:tcPr>
          <w:p>
            <w:pPr>
              <w:pStyle w:val="TableContents"/>
              <w:spacing w:before="0" w:after="0"/>
              <w:ind w:left="0" w:right="0" w:hanging="0"/>
              <w:jc w:val="right"/>
              <w:rPr/>
            </w:pPr>
            <w:r>
              <w:rPr/>
              <w:t> </w:t>
            </w:r>
          </w:p>
        </w:tc>
        <w:tc>
          <w:tcPr>
            <w:tcW w:w="1229"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(5,100)</w:t>
            </w:r>
          </w:p>
        </w:tc>
        <w:tc>
          <w:tcPr>
            <w:tcW w:w="368" w:type="dxa"/>
            <w:tcBorders/>
            <w:shd w:fill="auto" w:val="clear"/>
          </w:tcPr>
          <w:p>
            <w:pPr>
              <w:pStyle w:val="TableContents"/>
              <w:spacing w:before="0" w:after="0"/>
              <w:ind w:left="0" w:right="0" w:hanging="0"/>
              <w:jc w:val="right"/>
              <w:rPr/>
            </w:pPr>
            <w:r>
              <w:rPr/>
              <w:t> </w:t>
            </w:r>
          </w:p>
        </w:tc>
        <w:tc>
          <w:tcPr>
            <w:tcW w:w="1230"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785,400 </w:t>
            </w:r>
          </w:p>
        </w:tc>
      </w:tr>
      <w:tr>
        <w:trPr/>
        <w:tc>
          <w:tcPr>
            <w:tcW w:w="5289" w:type="dxa"/>
            <w:tcBorders/>
            <w:shd w:fill="auto" w:val="clear"/>
          </w:tcPr>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Total unrealized gains or losses included in net loss</w:t>
            </w:r>
          </w:p>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(Derivative liability – warrants)</w:t>
            </w:r>
          </w:p>
        </w:tc>
        <w:tc>
          <w:tcPr>
            <w:tcW w:w="368" w:type="dxa"/>
            <w:tcBorders/>
            <w:shd w:fill="auto" w:val="clear"/>
          </w:tcPr>
          <w:p>
            <w:pPr>
              <w:pStyle w:val="TableContents"/>
              <w:spacing w:before="0" w:after="283"/>
              <w:rPr>
                <w:color w:val="0000FF"/>
                <w:u w:val="single"/>
                <w:bdr w:val="double" w:sz="2" w:space="1" w:color="000000"/>
              </w:rPr>
            </w:pPr>
            <w:r>
              <w:rPr>
                <w:color w:val="0000FF"/>
                <w:u w:val="single"/>
                <w:bdr w:val="double" w:sz="2" w:space="1" w:color="000000"/>
              </w:rPr>
              <w:t xml:space="preserve">  </w:t>
            </w:r>
          </w:p>
        </w:tc>
        <w:tc>
          <w:tcPr>
            <w:tcW w:w="1230"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(1,071,125)</w:t>
            </w:r>
          </w:p>
        </w:tc>
        <w:tc>
          <w:tcPr>
            <w:tcW w:w="491" w:type="dxa"/>
            <w:tcBorders/>
            <w:shd w:fill="auto" w:val="clear"/>
          </w:tcPr>
          <w:p>
            <w:pPr>
              <w:pStyle w:val="TableContents"/>
              <w:spacing w:before="0" w:after="283"/>
              <w:rPr>
                <w:color w:val="0000FF"/>
                <w:u w:val="single"/>
                <w:bdr w:val="double" w:sz="2" w:space="1" w:color="000000"/>
              </w:rPr>
            </w:pPr>
            <w:r>
              <w:rPr>
                <w:color w:val="0000FF"/>
                <w:u w:val="single"/>
                <w:bdr w:val="double" w:sz="2" w:space="1" w:color="000000"/>
              </w:rPr>
              <w:t xml:space="preserve">  </w:t>
            </w:r>
          </w:p>
        </w:tc>
        <w:tc>
          <w:tcPr>
            <w:tcW w:w="1229"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26,125 </w:t>
            </w:r>
          </w:p>
        </w:tc>
        <w:tc>
          <w:tcPr>
            <w:tcW w:w="368" w:type="dxa"/>
            <w:tcBorders/>
            <w:shd w:fill="auto" w:val="clear"/>
          </w:tcPr>
          <w:p>
            <w:pPr>
              <w:pStyle w:val="TableContents"/>
              <w:spacing w:before="0" w:after="283"/>
              <w:rPr>
                <w:color w:val="0000FF"/>
                <w:u w:val="single"/>
                <w:bdr w:val="double" w:sz="2" w:space="1" w:color="000000"/>
              </w:rPr>
            </w:pPr>
            <w:r>
              <w:rPr>
                <w:color w:val="0000FF"/>
                <w:u w:val="single"/>
                <w:bdr w:val="double" w:sz="2" w:space="1" w:color="000000"/>
              </w:rPr>
              <w:t xml:space="preserve">  </w:t>
            </w:r>
          </w:p>
        </w:tc>
        <w:tc>
          <w:tcPr>
            <w:tcW w:w="1230"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(1,045,000)</w:t>
            </w:r>
          </w:p>
        </w:tc>
      </w:tr>
      <w:tr>
        <w:trPr/>
        <w:tc>
          <w:tcPr>
            <w:tcW w:w="5289"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Total unrealized gains or losses included in net loss</w:t>
            </w:r>
          </w:p>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(Derivative liability – conversion option)</w:t>
            </w:r>
          </w:p>
        </w:tc>
        <w:tc>
          <w:tcPr>
            <w:tcW w:w="368"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1230"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(615,111)</w:t>
            </w:r>
          </w:p>
        </w:tc>
        <w:tc>
          <w:tcPr>
            <w:tcW w:w="491"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1229"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5,100 </w:t>
            </w:r>
          </w:p>
        </w:tc>
        <w:tc>
          <w:tcPr>
            <w:tcW w:w="368"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1230" w:type="dxa"/>
            <w:tcBorders>
              <w:bottom w:val="double" w:sz="8" w:space="0" w:color="000000"/>
            </w:tcBorders>
            <w:shd w:fill="auto" w:val="clear"/>
            <w:tcMar>
              <w:bottom w:w="28" w:type="dxa"/>
            </w:tcM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(610,011)</w:t>
            </w:r>
          </w:p>
        </w:tc>
      </w:tr>
    </w:tbl>
    <w:p>
      <w:pPr>
        <w:pStyle w:val="TextBody"/>
        <w:spacing w:before="0" w:after="0"/>
        <w:ind w:left="0" w:right="0" w:hanging="0"/>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7" w:name="PGBRK35"/>
      <w:bookmarkStart w:id="388" w:name="PGBRK35"/>
      <w:bookmarkEnd w:id="3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9" w:name="FTR35"/>
      <w:bookmarkStart w:id="390" w:name="FTR35"/>
      <w:bookmarkEnd w:id="3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1" w:name="GLFTR35"/>
      <w:bookmarkEnd w:id="3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2" w:name="PN35"/>
      <w:bookmarkEnd w:id="392"/>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3" w:name="HDR35"/>
      <w:bookmarkStart w:id="394" w:name="HDR35"/>
      <w:bookmarkEnd w:id="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5" w:name="GLHDR35"/>
      <w:bookmarkEnd w:id="3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                    NATURE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TapImmune Inc. (the “Company”), a Nevada corporation incorporated in 1992, is a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Since inception, the Company and the Universities have been parties to various Collaborative Research Agreements (“CRA”) appointing such Universities to carry out development of the licensed technology and providing TapImmune the option to acquire the rights to commercialize any additional technologies developed within the CRA. The lead product candidate, now wholly owned and with no ongoing license or royalty, resulting from these license agreements is an immunotherapy vaccine, on which the Company has been completing pre-clinical work in anticipation of clinical trials. Specifically, the Company has obtained and expanded on three U.S. and international patents, tested various viral vectors, licensed a viral vector and is working towards production of a clinical grade vaccine. The Company plans to continue development of the lead product vaccine through to clinical trials in both oncology and infectious diseases alone or in partnership with other vaccine developers.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These consolidated financial statements have been prepared on the basis of a going concern which contemplates the realization of assets and the satisfaction of liabilities in the normal course of business. As at December 31, 2010, the Company had a working capital deficit of $1,871,975 (excluding derivative liabilities recorded as current liabilities) and has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was able to substantially complete ongoing restructuring plans in the second half of 2009. Additional funding and equity for debt settlements have retired notes payable and certain other debt obligations were satisfied. In 2010 additional funding was raised through equity and debt placements and continuing restructuring of debt and equity instruments. Additional capital is required currently to expand programs including pre-clinical work and to establish future manufacturing contracts necessary for clinical trials for the lead TAP (Transporters of Antigen Processing) vaccine and infectious disease adjuvant technology. Strategic partnerships will be needed to continue the product development portfolio and fund development costs. These measures, if successful, may contribute to reduce the risk of going concern uncertainties for the Company over the next twelve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is no certainty that the Company will be able to arrange sufficient funding to satisfy current debt obligations or to continue development of products to marketability.</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2:                    SUMMARY OF SIGNIFICANT ACCOUNTING POLICIES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Basis of Presentation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These financial statements are presented in United States dollars and have been prepared in accordance with accounting principles generally accepted in the United States of America.</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Principles of Consolidation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These financial statements include the accounts of the Company and its wholly-owned subsidiaries GeneMax Pharmaceuticals Inc. (“GPI”) and GeneMax Pharmaceuticals Canada Inc. (“GPC”). All significant intercompany balances and transactions are eliminated upon consolidation.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6" w:name="PGBRK36"/>
      <w:bookmarkStart w:id="397" w:name="PGBRK36"/>
      <w:bookmarkEnd w:id="3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8" w:name="FTR36"/>
      <w:bookmarkStart w:id="399" w:name="FTR36"/>
      <w:bookmarkEnd w:id="3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0" w:name="GLFTR36"/>
      <w:bookmarkEnd w:id="4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1" w:name="PN36"/>
      <w:bookmarkEnd w:id="401"/>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2" w:name="HDR36"/>
      <w:bookmarkStart w:id="403" w:name="HDR36"/>
      <w:bookmarkEnd w:id="4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4" w:name="GLHDR36"/>
      <w:bookmarkEnd w:id="4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Use of Estimates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Preparation of the Company’s financial statements in conformity with accounting principles generally accepted in the United States of America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foreign exchange gains and losses, the useful lives of furniture and equipment, allocation of costs to research and development and accrued liabilities. Matters impacting the company’s ability to continue as a going concern and contingencies also involve the use of estimates and assumptions.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Fair Value Measurements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objective of ASC 820, </w:t>
      </w:r>
      <w:r>
        <w:rPr>
          <w:rFonts w:ascii="Times New Roman" w:hAnsi="Times New Roman"/>
          <w:i/>
          <w:sz w:val="20"/>
        </w:rPr>
        <w:t>Fair Value Measurements and Disclosures</w:t>
      </w:r>
      <w:r>
        <w:rPr>
          <w:rFonts w:ascii="Times New Roman" w:hAnsi="Times New Roman"/>
          <w:sz w:val="20"/>
        </w:rPr>
        <w:t>, is to increase consistency and comparability in fair value measurements and to expand disclosures about fair value measurements. ASC 820 defines fair value, establishes a framework for measuring fair value in generally accepted accounting principles, and expands disclosures about fair value measurements. ASC 820 applies under other accounting pronouncements that require or permit fair value measurements and does not require any new fair value measurements.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Foreign Currency Translation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functional currency of the Company, including its subsidiary, is United States dollars. GPC maintains its accounting records in its local currency (Canadian dollar). In accordance with ASC 830, </w:t>
      </w:r>
      <w:r>
        <w:rPr>
          <w:rFonts w:ascii="Times New Roman" w:hAnsi="Times New Roman"/>
          <w:i/>
          <w:sz w:val="20"/>
        </w:rPr>
        <w:t>Foreign Currency Matters</w:t>
      </w:r>
      <w:r>
        <w:rPr>
          <w:rFonts w:ascii="Times New Roman" w:hAnsi="Times New Roman"/>
          <w:sz w:val="20"/>
        </w:rPr>
        <w:t>, the financial statements of the Company's subsidiary is translated into United States dollars using period end exchange rates for monetary assets and liabilities and average exchange rates over the period for revenues and expenses. Non-monetary assets are translated at their historical exchange rates. Net gains and losses resulting from foreign exchange translations and foreign currency exchange gains and losses on transactions occurring in a currency other than the Company's functional currency are included in the determination of net income in the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Financial Instruments and Concentration of Credit Risk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classified as financial instruments.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Furniture and Equipment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Furniture and equipment is recorded at cost and amortized using the straight-line method over the estimated useful life at the following rates:</w:t>
      </w:r>
    </w:p>
    <w:p>
      <w:pPr>
        <w:pStyle w:val="TextBody"/>
        <w:spacing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714"/>
        <w:gridCol w:w="1224"/>
        <w:gridCol w:w="8267"/>
      </w:tblGrid>
      <w:tr>
        <w:trPr/>
        <w:tc>
          <w:tcPr>
            <w:tcW w:w="714" w:type="dxa"/>
            <w:tcBorders/>
            <w:shd w:fill="FFFFFF" w:val="clear"/>
            <w:vAlign w:val="center"/>
          </w:tcPr>
          <w:p>
            <w:pPr>
              <w:pStyle w:val="TableContents"/>
              <w:spacing w:before="0" w:after="283"/>
              <w:rPr/>
            </w:pPr>
            <w:r>
              <w:rPr/>
              <w:t> </w:t>
            </w:r>
            <w:r>
              <w:rPr>
                <w:rFonts w:ascii="times new roman" w:hAnsi="times new roman"/>
                <w:sz w:val="20"/>
              </w:rPr>
              <w:t>(a)</w:t>
            </w:r>
          </w:p>
        </w:tc>
        <w:tc>
          <w:tcPr>
            <w:tcW w:w="1224" w:type="dxa"/>
            <w:tcBorders/>
            <w:shd w:fill="FFFFFF" w:val="clear"/>
            <w:vAlign w:val="center"/>
          </w:tcPr>
          <w:p>
            <w:pPr>
              <w:pStyle w:val="TableContents"/>
              <w:spacing w:before="0" w:after="283"/>
              <w:rPr/>
            </w:pPr>
            <w:r>
              <w:rPr/>
              <w:t> </w:t>
            </w:r>
            <w:r>
              <w:rPr>
                <w:rFonts w:ascii="times new roman" w:hAnsi="times new roman"/>
                <w:sz w:val="20"/>
              </w:rPr>
              <w:t>Computer Equipment</w:t>
            </w:r>
          </w:p>
        </w:tc>
        <w:tc>
          <w:tcPr>
            <w:tcW w:w="8267" w:type="dxa"/>
            <w:tcBorders/>
            <w:shd w:fill="FFFFFF" w:val="clear"/>
            <w:vAlign w:val="center"/>
          </w:tcPr>
          <w:p>
            <w:pPr>
              <w:pStyle w:val="TableContents"/>
              <w:spacing w:before="0" w:after="283"/>
              <w:rPr/>
            </w:pPr>
            <w:r>
              <w:rPr/>
              <w:t> </w:t>
            </w:r>
            <w:r>
              <w:rPr>
                <w:rFonts w:ascii="times new roman" w:hAnsi="times new roman"/>
                <w:sz w:val="20"/>
              </w:rPr>
              <w:t>2 years</w:t>
            </w:r>
          </w:p>
        </w:tc>
      </w:tr>
      <w:tr>
        <w:trPr/>
        <w:tc>
          <w:tcPr>
            <w:tcW w:w="714" w:type="dxa"/>
            <w:tcBorders/>
            <w:shd w:fill="FFFFFF" w:val="clear"/>
            <w:vAlign w:val="center"/>
          </w:tcPr>
          <w:p>
            <w:pPr>
              <w:pStyle w:val="TableContents"/>
              <w:spacing w:before="0" w:after="283"/>
              <w:rPr/>
            </w:pPr>
            <w:r>
              <w:rPr/>
              <w:t> </w:t>
            </w:r>
            <w:r>
              <w:rPr>
                <w:rFonts w:ascii="times new roman" w:hAnsi="times new roman"/>
                <w:sz w:val="20"/>
              </w:rPr>
              <w:t>(b)</w:t>
            </w:r>
          </w:p>
        </w:tc>
        <w:tc>
          <w:tcPr>
            <w:tcW w:w="1224" w:type="dxa"/>
            <w:tcBorders/>
            <w:shd w:fill="FFFFFF" w:val="clear"/>
            <w:vAlign w:val="center"/>
          </w:tcPr>
          <w:p>
            <w:pPr>
              <w:pStyle w:val="TableContents"/>
              <w:spacing w:before="0" w:after="283"/>
              <w:rPr/>
            </w:pPr>
            <w:r>
              <w:rPr/>
              <w:t> </w:t>
            </w:r>
            <w:r>
              <w:rPr>
                <w:rFonts w:ascii="times new roman" w:hAnsi="times new roman"/>
                <w:sz w:val="20"/>
              </w:rPr>
              <w:t>Furniture and Fixtures</w:t>
            </w:r>
          </w:p>
        </w:tc>
        <w:tc>
          <w:tcPr>
            <w:tcW w:w="8267" w:type="dxa"/>
            <w:tcBorders/>
            <w:shd w:fill="FFFFFF" w:val="clear"/>
            <w:vAlign w:val="center"/>
          </w:tcPr>
          <w:p>
            <w:pPr>
              <w:pStyle w:val="TableContents"/>
              <w:spacing w:before="0" w:after="283"/>
              <w:rPr/>
            </w:pPr>
            <w:r>
              <w:rPr/>
              <w:t> </w:t>
            </w:r>
            <w:r>
              <w:rPr>
                <w:rFonts w:ascii="times new roman" w:hAnsi="times new roman"/>
                <w:sz w:val="20"/>
              </w:rPr>
              <w:t>5 years</w:t>
            </w:r>
          </w:p>
        </w:tc>
      </w:tr>
      <w:tr>
        <w:trPr/>
        <w:tc>
          <w:tcPr>
            <w:tcW w:w="714" w:type="dxa"/>
            <w:tcBorders/>
            <w:shd w:fill="FFFFFF" w:val="clear"/>
            <w:vAlign w:val="center"/>
          </w:tcPr>
          <w:p>
            <w:pPr>
              <w:pStyle w:val="TableContents"/>
              <w:spacing w:before="0" w:after="283"/>
              <w:rPr/>
            </w:pPr>
            <w:r>
              <w:rPr/>
              <w:t> </w:t>
            </w:r>
            <w:r>
              <w:rPr>
                <w:rFonts w:ascii="times new roman" w:hAnsi="times new roman"/>
                <w:sz w:val="20"/>
              </w:rPr>
              <w:t>(c)</w:t>
            </w:r>
          </w:p>
        </w:tc>
        <w:tc>
          <w:tcPr>
            <w:tcW w:w="1224" w:type="dxa"/>
            <w:tcBorders/>
            <w:shd w:fill="FFFFFF" w:val="clear"/>
            <w:vAlign w:val="center"/>
          </w:tcPr>
          <w:p>
            <w:pPr>
              <w:pStyle w:val="TableContents"/>
              <w:spacing w:before="0" w:after="283"/>
              <w:rPr/>
            </w:pPr>
            <w:r>
              <w:rPr/>
              <w:t> </w:t>
            </w:r>
            <w:r>
              <w:rPr>
                <w:rFonts w:ascii="times new roman" w:hAnsi="times new roman"/>
                <w:sz w:val="20"/>
              </w:rPr>
              <w:t>Laboratory Equipment</w:t>
            </w:r>
          </w:p>
        </w:tc>
        <w:tc>
          <w:tcPr>
            <w:tcW w:w="8267" w:type="dxa"/>
            <w:tcBorders/>
            <w:shd w:fill="FFFFFF" w:val="clear"/>
            <w:vAlign w:val="center"/>
          </w:tcPr>
          <w:p>
            <w:pPr>
              <w:pStyle w:val="TableContents"/>
              <w:spacing w:before="0" w:after="283"/>
              <w:rPr/>
            </w:pPr>
            <w:r>
              <w:rPr/>
              <w:t> </w:t>
            </w:r>
            <w:r>
              <w:rPr>
                <w:rFonts w:ascii="times new roman" w:hAnsi="times new roman"/>
                <w:sz w:val="20"/>
              </w:rPr>
              <w:t>3 years</w:t>
            </w:r>
          </w:p>
        </w:tc>
      </w:tr>
    </w:tbl>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Impairment of Long-Lived Assets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Long-lived assets are reviewed for impairment whenever events or changes in circumstances indicate the carrying amount of an asset may not be recoverable. Circumstances which could trigger a review include, but are not limited to: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 forecast of continuing losses associated with the use of the asset; and current expectation that the asset will more likely than not be sold or disposed significantly before the end of its estimated useful life. Recoverability of these assets is measured by comparison of carrying amounts to future undiscounted cash flows the assets are expected to generate. An impairment loss is recognized when the carrying amount exceeds fair value.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5" w:name="PGBRK37"/>
      <w:bookmarkStart w:id="406" w:name="PGBRK37"/>
      <w:bookmarkEnd w:id="4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7" w:name="FTR37"/>
      <w:bookmarkStart w:id="408" w:name="FTR37"/>
      <w:bookmarkEnd w:id="4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9" w:name="GLFTR37"/>
      <w:bookmarkEnd w:id="4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0" w:name="PN37"/>
      <w:bookmarkEnd w:id="410"/>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1" w:name="HDR37"/>
      <w:bookmarkStart w:id="412" w:name="HDR37"/>
      <w:bookmarkEnd w:id="4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3" w:name="GLHDR37"/>
      <w:bookmarkEnd w:id="4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Stock-Based Compensation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uses the Black-Scholes option-pricing model to determine the grant date fair-value of stock-based awards under ASC 718, </w:t>
      </w:r>
      <w:r>
        <w:rPr>
          <w:rFonts w:ascii="Times New Roman" w:hAnsi="Times New Roman"/>
          <w:i/>
          <w:sz w:val="20"/>
        </w:rPr>
        <w:t>Compensation – Stock Compensation</w:t>
      </w:r>
      <w:r>
        <w:rPr>
          <w:rFonts w:ascii="Times New Roman" w:hAnsi="Times New Roman"/>
          <w:sz w:val="20"/>
        </w:rPr>
        <w:t>. The fair value is recorded in income depending on the terms and conditions of the award, and the nature of the relationship of the recipient of the award to the Company. The Company records the grant date fair value in income in line with the period over which it was earned. For employees and management this is typically considered to be the vesting period of the award. For consultants the fair value of the award is recorded in income over the term of the service period, and unvested amounts are revalued at each reporting period over the service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Deferred Financing Costs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 Costs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Income Taxes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follows the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enactment. The Company recognizes deferred taxes on unrealized gains directly within other comprehensive income, and concurrently releases part of the related valuation allowance resulting in nil impact within OCI or on the balance sheet. As at December 31, 2010, the Company had net operating loss carry forwards; however, due to the uncertainty of realization, the Company has provided a full valuation allowance for the potential deferred tax assets resulting from these loss carry forwards.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Derivative Warrant Liability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evaluates its convertible debt, options, warrants or other contracts to determine if those contracts or embedded components of those contracts qualify as derivatives to be separately accounted for in accordance with ASC 810-10-05-4 and  815-40.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cancellation of a derivative instrument, the instrument is marked to fair value at the conversion date and then the related fair value is reclassified to equity.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evaluating the application of ASC 815-40, management must determine whether an instrument (or an embedded feature) is indexed to the Company’s own stock. ASC 815-40-15 provides that an entity should use a two-step approach to evaluate whether an equity-linked financial instrument (or embedded feature) is indexed to its own stock, including evaluating the instrument’s contingent exercise and settlement provisions. The application of ASC 815-40-15 has affected the accounting for (i) certain freestanding warrants that contain exercise price adjustment features and (ii) convertible notes containing full-ratchet and anti-dilution protections. For the year ended December 31, 2010, the above referenced guidance has resulted in the recognition of derivative liabilities.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4" w:name="PGBRK38"/>
      <w:bookmarkStart w:id="415" w:name="PGBRK38"/>
      <w:bookmarkEnd w:id="4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6" w:name="FTR38"/>
      <w:bookmarkStart w:id="417" w:name="FTR38"/>
      <w:bookmarkEnd w:id="4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18" w:name="GLFTR38"/>
      <w:bookmarkEnd w:id="4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9" w:name="PN38"/>
      <w:bookmarkEnd w:id="419"/>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0" w:name="HDR38"/>
      <w:bookmarkStart w:id="421" w:name="HDR38"/>
      <w:bookmarkEnd w:id="4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2" w:name="GLHDR38"/>
      <w:bookmarkEnd w:id="4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Fair Value of Financial Instruments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follows ASC paragraph 825-10-50-10 for disclosures about fair value of its financial instruments and ASC paragraph 820-10-35-37 to measure the fair value of its financial instruments. 820-10-35-37 establishes a framework for measuring fair value pursuant to GAAP and expands disclosures about fair value measurements. To increase consistency and comparability in fair value measurements and related disclosures, paragraph 820-10-35-37 further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are described below:</w:t>
      </w:r>
    </w:p>
    <w:p>
      <w:pPr>
        <w:pStyle w:val="TextBody"/>
        <w:spacing w:before="0" w:after="0"/>
        <w:ind w:left="0" w:right="0" w:hanging="0"/>
        <w:jc w:val="both"/>
        <w:rPr/>
      </w:pPr>
      <w:r>
        <w:rPr/>
        <w:t> </w:t>
      </w:r>
    </w:p>
    <w:p>
      <w:pPr>
        <w:pStyle w:val="Normal"/>
        <w:spacing w:before="0" w:after="0"/>
        <w:ind w:left="0" w:right="0" w:hanging="0"/>
        <w:rPr>
          <w:sz w:val="4"/>
          <w:szCs w:val="4"/>
        </w:rPr>
      </w:pPr>
      <w:r>
        <w:rPr>
          <w:sz w:val="4"/>
          <w:szCs w:val="4"/>
        </w:rPr>
      </w:r>
      <w:bookmarkStart w:id="423" w:name="hangingindent28"/>
      <w:bookmarkStart w:id="424" w:name="hangingindent28"/>
      <w:bookmarkEnd w:id="424"/>
    </w:p>
    <w:tbl>
      <w:tblPr>
        <w:tblW w:w="5000" w:type="pct"/>
        <w:jc w:val="center"/>
        <w:tblInd w:w="0" w:type="dxa"/>
        <w:tblCellMar>
          <w:top w:w="0" w:type="dxa"/>
          <w:left w:w="0" w:type="dxa"/>
          <w:bottom w:w="0" w:type="dxa"/>
          <w:right w:w="0" w:type="dxa"/>
        </w:tblCellMar>
      </w:tblPr>
      <w:tblGrid>
        <w:gridCol w:w="543"/>
        <w:gridCol w:w="9662"/>
      </w:tblGrid>
      <w:tr>
        <w:trPr/>
        <w:tc>
          <w:tcPr>
            <w:tcW w:w="5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Level 1</w:t>
            </w:r>
          </w:p>
        </w:tc>
        <w:tc>
          <w:tcPr>
            <w:tcW w:w="9662" w:type="dxa"/>
            <w:tcBorders/>
            <w:shd w:fill="auto" w:val="clear"/>
          </w:tcPr>
          <w:p>
            <w:pPr>
              <w:pStyle w:val="TableContents"/>
              <w:spacing w:before="0" w:after="283"/>
              <w:rPr/>
            </w:pPr>
            <w:r>
              <w:rPr/>
              <w:t>Quoted market prices available in active markets for identical assets or liabilities as of the reporting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5" w:name="hangingindent29"/>
      <w:bookmarkStart w:id="426" w:name="hangingindent29"/>
      <w:bookmarkEnd w:id="426"/>
    </w:p>
    <w:tbl>
      <w:tblPr>
        <w:tblW w:w="5000" w:type="pct"/>
        <w:jc w:val="center"/>
        <w:tblInd w:w="0" w:type="dxa"/>
        <w:tblCellMar>
          <w:top w:w="0" w:type="dxa"/>
          <w:left w:w="0" w:type="dxa"/>
          <w:bottom w:w="0" w:type="dxa"/>
          <w:right w:w="0" w:type="dxa"/>
        </w:tblCellMar>
      </w:tblPr>
      <w:tblGrid>
        <w:gridCol w:w="543"/>
        <w:gridCol w:w="9662"/>
      </w:tblGrid>
      <w:tr>
        <w:trPr/>
        <w:tc>
          <w:tcPr>
            <w:tcW w:w="5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Level 2</w:t>
            </w:r>
          </w:p>
        </w:tc>
        <w:tc>
          <w:tcPr>
            <w:tcW w:w="966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Pricing inputs other than quoted prices in active markets included in Level 1, which are either directly or indirectly observable as of the reporting date.</w:t>
            </w:r>
          </w:p>
        </w:tc>
      </w:tr>
    </w:tbl>
    <w:p>
      <w:pPr>
        <w:pStyle w:val="TextBody"/>
        <w:spacing w:before="0" w:after="0"/>
        <w:ind w:left="0" w:right="0" w:hanging="0"/>
        <w:jc w:val="both"/>
        <w:rPr/>
      </w:pPr>
      <w:r>
        <w:rPr/>
        <w:t> </w:t>
      </w:r>
    </w:p>
    <w:p>
      <w:pPr>
        <w:pStyle w:val="Normal"/>
        <w:spacing w:before="0" w:after="0"/>
        <w:ind w:left="0" w:right="0" w:hanging="0"/>
        <w:rPr>
          <w:sz w:val="4"/>
          <w:szCs w:val="4"/>
        </w:rPr>
      </w:pPr>
      <w:r>
        <w:rPr>
          <w:sz w:val="4"/>
          <w:szCs w:val="4"/>
        </w:rPr>
      </w:r>
      <w:bookmarkStart w:id="427" w:name="hangingindent30"/>
      <w:bookmarkStart w:id="428" w:name="hangingindent30"/>
      <w:bookmarkEnd w:id="428"/>
    </w:p>
    <w:tbl>
      <w:tblPr>
        <w:tblW w:w="5000" w:type="pct"/>
        <w:jc w:val="center"/>
        <w:tblInd w:w="0" w:type="dxa"/>
        <w:tblCellMar>
          <w:top w:w="0" w:type="dxa"/>
          <w:left w:w="0" w:type="dxa"/>
          <w:bottom w:w="0" w:type="dxa"/>
          <w:right w:w="0" w:type="dxa"/>
        </w:tblCellMar>
      </w:tblPr>
      <w:tblGrid>
        <w:gridCol w:w="541"/>
        <w:gridCol w:w="9664"/>
      </w:tblGrid>
      <w:tr>
        <w:trPr/>
        <w:tc>
          <w:tcPr>
            <w:tcW w:w="5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Level 3</w:t>
            </w:r>
          </w:p>
        </w:tc>
        <w:tc>
          <w:tcPr>
            <w:tcW w:w="9664" w:type="dxa"/>
            <w:tcBorders/>
            <w:shd w:fill="auto" w:val="clear"/>
          </w:tcPr>
          <w:p>
            <w:pPr>
              <w:pStyle w:val="TableContents"/>
              <w:spacing w:before="0" w:after="283"/>
              <w:rPr/>
            </w:pPr>
            <w:r>
              <w:rPr/>
              <w:t>Pricing inputs that are generally observable inputs and not corroborated by market data.</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carrying amounts of the Company’s financial assets and liabilities, such as; cash, receivables, prepaid expenses and deposits, accounts payable and accrued liabilities, research agreement obligations, and due to related parties, approximate their fair values because of their short term maturity. The Company’s convertible notes payable approximate fair value based upon management’s estimate of comparable interest rates that would be available to the Company for similar financial arrangements.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revalues its derivative warrant and derivative conversion option liabilities at each reporting period and recognizes gains or losses in the consolidated statements of operations and comprehensive income (loss) that are attributable to the change in the fair value.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Loss per Common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Recently Issued Accounting Pronouncements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reviewed recently issued accounting pronouncements and plans to adopt those that are applicable to it. It does not expect the adoption of these pronouncements to have a material impact on its financial position, results of operations or cash flows.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3:                    RESEARCH AGREEMENTS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Crucell Holland B.V. (“Crucell”) – Research License and Option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2003, Crucell and our subsidiary GeneMax Pharmaceuticals, Inc. (“GPI”) entered into a five-year research license and option agreement whereby Crucell granted to GPI a non-exclusive worldwide license for the research use of its adenovirus technology. The Company was required to make certain payments over the five-year term totaling Euro €450,000 (approximately $510,100).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2008, $243,598 (€172,801) was owing to Crucell under this agreement. During the year ended December 31, 2009, management negotiated a settlement of the outstanding balance requiring a €17,000 cash payment (paid) and the issuance of 265,000 shares of the Company’s common stock (refer to Note 8).</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retroactively effective August 7, 2008, the Company negotiated an amended license agreement for the use of Crucell’s adenovirus technology. The Company is required to make annual license payments on the anniversary of the effective date for the three year term equal to €75,000 per annum. As at December 31, 2010, the Company had accrued $141,761 (€106,250) under the amended agreement. The Company is currently delinquent on making its first annual license payment under the amended license agreement. Crucell has the right to cancel the agreement however, to date, the Company has not received any notice terminating the license agreement. Management plans to negotiate an amended payment structure with Crucell that, if successful, would allow the Company to maintain the license agreement in good standing. However, there is no certainty that the license agreement will be maintained or that Management will successfully negotiate new terms.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9" w:name="PGBRK39"/>
      <w:bookmarkStart w:id="430" w:name="PGBRK39"/>
      <w:bookmarkEnd w:id="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1" w:name="FTR39"/>
      <w:bookmarkStart w:id="432" w:name="FTR39"/>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3" w:name="GLFTR39"/>
      <w:bookmarkEnd w:id="4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4" w:name="PN39"/>
      <w:bookmarkEnd w:id="434"/>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5" w:name="HDR39"/>
      <w:bookmarkStart w:id="436" w:name="HDR39"/>
      <w:bookmarkEnd w:id="4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7" w:name="GLHDR39"/>
      <w:bookmarkEnd w:id="4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4:                    DERIVATIVE WARRANT LIABILITY AND FAIR VALUE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has evaluated the application of ASC 815 </w:t>
      </w:r>
      <w:r>
        <w:rPr>
          <w:rFonts w:ascii="Times New Roman" w:hAnsi="Times New Roman"/>
          <w:i/>
          <w:sz w:val="20"/>
        </w:rPr>
        <w:t>Derivatives and Hedging</w:t>
      </w:r>
      <w:r>
        <w:rPr>
          <w:rFonts w:ascii="Times New Roman" w:hAnsi="Times New Roman"/>
          <w:sz w:val="20"/>
        </w:rPr>
        <w:t xml:space="preserve"> (formerly SFAS No. 133) and ASC 815-40 </w:t>
      </w:r>
      <w:r>
        <w:rPr>
          <w:rFonts w:ascii="Times New Roman" w:hAnsi="Times New Roman"/>
          <w:i/>
          <w:sz w:val="20"/>
        </w:rPr>
        <w:t>Contracts in an Entity’s Own Equity</w:t>
      </w:r>
      <w:r>
        <w:rPr>
          <w:rFonts w:ascii="Times New Roman" w:hAnsi="Times New Roman"/>
          <w:sz w:val="20"/>
        </w:rPr>
        <w:t xml:space="preserve"> to the issued and outstanding warrants to purchase common stock that were issued with the convertible notes during the year ended December 31, 2010 and those issued as finders’ fees. Based on the guidance in ASC 815 and ASC 815-40-25, the Company concluded these instruments were required to be accounted for as derivatives due to a ratchet down protection feature available on the exercise price (Note 5). Under ASC 815-40-25, the Company records the fair value of these derivatives on its balance sheet at fair value with changes in the values reflected in the statements of operations as “Changes in fair value of derivative liabilities”. These derivative instruments disclosed on the balance sheet under ‘Derivative liabilities –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and minimize the use of unobservable inputs when measuring fair value. ASC 820-10 describes three levels of inputs that may be used to measure fair value: Level 1 – Quoted prices in active markets for identical assets or liabilities; Level 2 – Observable inputs other than Level 1 prices, such as quoted prices for similar assets or liabilities; or other inputs that are observable or can be corroborated by observable market data for substantially the full term of the assets or liabilities; and Level 3 –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The Company’s Level 3 liabilities consist of the derivative liabilities associated with the warrants issued with the convertible notes during the year ended December 31, 2010. At December 31, 2010, all of the Company’s derivative liabilities were categorized as Level 3 fair value liabilities. If the inputs used to measure the financial assets and liabilities fall within more than one level described above, the categorization is based on the lowest level input that is significant to the fair value measurement of the instrument.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Level 3 Valuation Techniques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Financial liabilities are considered Level 3 when their fair values are determined using pricing models, discounted cash flow methodologies or similar techniques and at least one significant model assumption or input is unobservable. Level 3 financial liabilities consist of the notes and warrants for which there is no current market for these securities such that the determination of fair value requires significant judgment or estimation.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Determining fair value of warrants and conversion options, given the company’s stage of development and financial position, is highly subjective and identifying appropriate measurement criteria and models is subject to uncertainty. There are several generally accepted pricing models for warrants and options and derivative provisions. The Company has chosen to value the conversion option on the notes that contain ratchet down provisions using the Binomial model under the following assumptions: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456"/>
        <w:gridCol w:w="82"/>
        <w:gridCol w:w="149"/>
        <w:gridCol w:w="765"/>
        <w:gridCol w:w="82"/>
        <w:gridCol w:w="82"/>
        <w:gridCol w:w="82"/>
        <w:gridCol w:w="541"/>
        <w:gridCol w:w="187"/>
        <w:gridCol w:w="82"/>
        <w:gridCol w:w="121"/>
        <w:gridCol w:w="792"/>
        <w:gridCol w:w="187"/>
        <w:gridCol w:w="82"/>
        <w:gridCol w:w="135"/>
        <w:gridCol w:w="805"/>
        <w:gridCol w:w="187"/>
        <w:gridCol w:w="82"/>
        <w:gridCol w:w="149"/>
        <w:gridCol w:w="764"/>
        <w:gridCol w:w="82"/>
        <w:gridCol w:w="82"/>
        <w:gridCol w:w="82"/>
        <w:gridCol w:w="541"/>
        <w:gridCol w:w="187"/>
        <w:gridCol w:w="82"/>
        <w:gridCol w:w="121"/>
        <w:gridCol w:w="793"/>
        <w:gridCol w:w="187"/>
        <w:gridCol w:w="82"/>
        <w:gridCol w:w="134"/>
        <w:gridCol w:w="805"/>
        <w:gridCol w:w="215"/>
      </w:tblGrid>
      <w:tr>
        <w:trPr/>
        <w:tc>
          <w:tcPr>
            <w:tcW w:w="1456" w:type="dxa"/>
            <w:tcBorders/>
            <w:shd w:fill="auto" w:val="clear"/>
            <w:vAlign w:val="bottom"/>
          </w:tcPr>
          <w:p>
            <w:pPr>
              <w:pStyle w:val="TableContents"/>
              <w:spacing w:before="0" w:after="283"/>
              <w:rPr/>
            </w:pPr>
            <w:r>
              <w:rPr/>
              <w:t xml:space="preserve">  </w:t>
            </w:r>
          </w:p>
        </w:tc>
        <w:tc>
          <w:tcPr>
            <w:tcW w:w="82" w:type="dxa"/>
            <w:tcBorders/>
            <w:shd w:fill="auto" w:val="clear"/>
            <w:vAlign w:val="bottom"/>
          </w:tcPr>
          <w:p>
            <w:pPr>
              <w:pStyle w:val="TableContents"/>
              <w:spacing w:before="0" w:after="283"/>
              <w:rPr/>
            </w:pPr>
            <w:r>
              <w:rPr/>
              <w:t> </w:t>
            </w:r>
          </w:p>
        </w:tc>
        <w:tc>
          <w:tcPr>
            <w:tcW w:w="4092"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At Initial Recognition</w:t>
            </w:r>
          </w:p>
        </w:tc>
        <w:tc>
          <w:tcPr>
            <w:tcW w:w="187"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4091"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2010</w:t>
            </w:r>
          </w:p>
        </w:tc>
        <w:tc>
          <w:tcPr>
            <w:tcW w:w="215" w:type="dxa"/>
            <w:tcBorders/>
            <w:shd w:fill="auto" w:val="clear"/>
            <w:vAlign w:val="bottom"/>
          </w:tcPr>
          <w:p>
            <w:pPr>
              <w:pStyle w:val="TableContents"/>
              <w:spacing w:before="0" w:after="283"/>
              <w:jc w:val="left"/>
              <w:rPr/>
            </w:pPr>
            <w:r>
              <w:rPr/>
              <w:t> </w:t>
            </w:r>
          </w:p>
        </w:tc>
      </w:tr>
      <w:tr>
        <w:trPr/>
        <w:tc>
          <w:tcPr>
            <w:tcW w:w="1456" w:type="dxa"/>
            <w:tcBorders/>
            <w:shd w:fill="auto" w:val="clear"/>
            <w:vAlign w:val="bottom"/>
          </w:tcPr>
          <w:p>
            <w:pPr>
              <w:pStyle w:val="TableContents"/>
              <w:spacing w:before="0" w:after="283"/>
              <w:rPr/>
            </w:pPr>
            <w:r>
              <w:rPr/>
              <w:t xml:space="preserve">  </w:t>
            </w:r>
          </w:p>
        </w:tc>
        <w:tc>
          <w:tcPr>
            <w:tcW w:w="82" w:type="dxa"/>
            <w:tcBorders/>
            <w:shd w:fill="auto" w:val="clear"/>
            <w:vAlign w:val="bottom"/>
          </w:tcPr>
          <w:p>
            <w:pPr>
              <w:pStyle w:val="TableContents"/>
              <w:spacing w:before="0" w:after="283"/>
              <w:rPr/>
            </w:pPr>
            <w:r>
              <w:rPr/>
              <w:t> </w:t>
            </w:r>
          </w:p>
        </w:tc>
        <w:tc>
          <w:tcPr>
            <w:tcW w:w="91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Life (Years)</w:t>
            </w:r>
          </w:p>
        </w:tc>
        <w:tc>
          <w:tcPr>
            <w:tcW w:w="82"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62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Risk free Rate</w:t>
            </w:r>
          </w:p>
        </w:tc>
        <w:tc>
          <w:tcPr>
            <w:tcW w:w="187"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91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Dividend yield</w:t>
            </w:r>
          </w:p>
        </w:tc>
        <w:tc>
          <w:tcPr>
            <w:tcW w:w="187"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94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Volatility</w:t>
            </w:r>
          </w:p>
        </w:tc>
        <w:tc>
          <w:tcPr>
            <w:tcW w:w="187"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91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Life (Years)</w:t>
            </w:r>
          </w:p>
        </w:tc>
        <w:tc>
          <w:tcPr>
            <w:tcW w:w="82"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62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Risk free Rate</w:t>
            </w:r>
          </w:p>
        </w:tc>
        <w:tc>
          <w:tcPr>
            <w:tcW w:w="187"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91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Dividend yield</w:t>
            </w:r>
          </w:p>
        </w:tc>
        <w:tc>
          <w:tcPr>
            <w:tcW w:w="187"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93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Volatility</w:t>
            </w:r>
          </w:p>
        </w:tc>
        <w:tc>
          <w:tcPr>
            <w:tcW w:w="215" w:type="dxa"/>
            <w:tcBorders/>
            <w:shd w:fill="auto" w:val="clear"/>
            <w:vAlign w:val="bottom"/>
          </w:tcPr>
          <w:p>
            <w:pPr>
              <w:pStyle w:val="TableContents"/>
              <w:spacing w:before="0" w:after="283"/>
              <w:jc w:val="left"/>
              <w:rPr/>
            </w:pPr>
            <w:r>
              <w:rPr/>
              <w:t> </w:t>
            </w:r>
          </w:p>
        </w:tc>
      </w:tr>
      <w:tr>
        <w:trPr/>
        <w:tc>
          <w:tcPr>
            <w:tcW w:w="1456"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Series A Warrants</w:t>
            </w:r>
          </w:p>
        </w:tc>
        <w:tc>
          <w:tcPr>
            <w:tcW w:w="8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82"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5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0.40</w:t>
            </w:r>
          </w:p>
        </w:tc>
        <w:tc>
          <w:tcPr>
            <w:tcW w:w="1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1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82"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5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2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56"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Series B Warrants</w:t>
            </w:r>
          </w:p>
        </w:tc>
        <w:tc>
          <w:tcPr>
            <w:tcW w:w="8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82"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5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0.35</w:t>
            </w:r>
          </w:p>
        </w:tc>
        <w:tc>
          <w:tcPr>
            <w:tcW w:w="1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1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82"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5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0.40</w:t>
            </w:r>
          </w:p>
        </w:tc>
        <w:tc>
          <w:tcPr>
            <w:tcW w:w="1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2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56"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Series C Warrants</w:t>
            </w:r>
          </w:p>
        </w:tc>
        <w:tc>
          <w:tcPr>
            <w:tcW w:w="8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5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7"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7"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7"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jc w:val="left"/>
              <w:rPr/>
            </w:pPr>
            <w:r>
              <w:rPr/>
              <w:t> </w:t>
            </w:r>
          </w:p>
        </w:tc>
        <w:tc>
          <w:tcPr>
            <w:tcW w:w="7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c>
          <w:tcPr>
            <w:tcW w:w="5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7"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c>
          <w:tcPr>
            <w:tcW w:w="7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7"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5" w:type="dxa"/>
            <w:tcBorders/>
            <w:shd w:fill="auto" w:val="clear"/>
            <w:vAlign w:val="bottom"/>
          </w:tcPr>
          <w:p>
            <w:pPr>
              <w:pStyle w:val="TableContents"/>
              <w:spacing w:before="0" w:after="283"/>
              <w:jc w:val="left"/>
              <w:rPr/>
            </w:pPr>
            <w:r>
              <w:rPr/>
              <w:t> </w:t>
            </w:r>
          </w:p>
        </w:tc>
      </w:tr>
      <w:tr>
        <w:trPr/>
        <w:tc>
          <w:tcPr>
            <w:tcW w:w="1456" w:type="dxa"/>
            <w:tcBorders>
              <w:bottom w:val="double" w:sz="8" w:space="0" w:color="000000"/>
            </w:tcBorders>
            <w:shd w:fill="auto"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Conversion Option</w:t>
            </w:r>
          </w:p>
        </w:tc>
        <w:tc>
          <w:tcPr>
            <w:tcW w:w="82" w:type="dxa"/>
            <w:tcBorders/>
            <w:shd w:fill="auto" w:val="clear"/>
            <w:vAlign w:val="bottom"/>
          </w:tcPr>
          <w:p>
            <w:pPr>
              <w:pStyle w:val="TableContents"/>
              <w:spacing w:before="0" w:after="283"/>
              <w:rPr/>
            </w:pPr>
            <w:r>
              <w:rPr/>
              <w:t> </w:t>
            </w:r>
          </w:p>
        </w:tc>
        <w:tc>
          <w:tcPr>
            <w:tcW w:w="149"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765"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82"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82"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54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0.35</w:t>
            </w:r>
          </w:p>
        </w:tc>
        <w:tc>
          <w:tcPr>
            <w:tcW w:w="1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rPr/>
            </w:pPr>
            <w:r>
              <w:rPr/>
              <w:t> </w:t>
            </w:r>
          </w:p>
        </w:tc>
        <w:tc>
          <w:tcPr>
            <w:tcW w:w="121"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792"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rPr/>
            </w:pPr>
            <w:r>
              <w:rPr/>
              <w:t> </w:t>
            </w:r>
          </w:p>
        </w:tc>
        <w:tc>
          <w:tcPr>
            <w:tcW w:w="13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05"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1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rPr/>
            </w:pPr>
            <w:r>
              <w:rPr/>
              <w:t> </w:t>
            </w:r>
          </w:p>
        </w:tc>
        <w:tc>
          <w:tcPr>
            <w:tcW w:w="149"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764"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82" w:type="dxa"/>
            <w:tcBorders/>
            <w:shd w:fill="auto" w:val="clear"/>
            <w:vAlign w:val="bottom"/>
          </w:tcPr>
          <w:p>
            <w:pPr>
              <w:pStyle w:val="TableContents"/>
              <w:spacing w:before="0" w:after="283"/>
              <w:jc w:val="left"/>
              <w:rPr/>
            </w:pPr>
            <w:r>
              <w:rPr/>
              <w:t> </w:t>
            </w:r>
          </w:p>
        </w:tc>
        <w:tc>
          <w:tcPr>
            <w:tcW w:w="82" w:type="dxa"/>
            <w:tcBorders/>
            <w:shd w:fill="auto" w:val="clear"/>
            <w:vAlign w:val="bottom"/>
          </w:tcPr>
          <w:p>
            <w:pPr>
              <w:pStyle w:val="TableContents"/>
              <w:spacing w:before="0" w:after="283"/>
              <w:rPr/>
            </w:pPr>
            <w:r>
              <w:rPr/>
              <w:t> </w:t>
            </w:r>
          </w:p>
        </w:tc>
        <w:tc>
          <w:tcPr>
            <w:tcW w:w="82"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54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0.40</w:t>
            </w:r>
          </w:p>
        </w:tc>
        <w:tc>
          <w:tcPr>
            <w:tcW w:w="1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rPr/>
            </w:pPr>
            <w:r>
              <w:rPr/>
              <w:t> </w:t>
            </w:r>
          </w:p>
        </w:tc>
        <w:tc>
          <w:tcPr>
            <w:tcW w:w="121"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793"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 w:type="dxa"/>
            <w:tcBorders/>
            <w:shd w:fill="auto" w:val="clear"/>
            <w:vAlign w:val="bottom"/>
          </w:tcPr>
          <w:p>
            <w:pPr>
              <w:pStyle w:val="TableContents"/>
              <w:spacing w:before="0" w:after="283"/>
              <w:rPr/>
            </w:pPr>
            <w:r>
              <w:rPr/>
              <w:t> </w:t>
            </w:r>
          </w:p>
        </w:tc>
        <w:tc>
          <w:tcPr>
            <w:tcW w:w="13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805"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2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Series C Warrants are contingently exercisable following the exercise of the Series B Warrants. The fair value of the Series C Warrants was determined to be nominal.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foregoing assumptions are reviewed quarterly and are subject to change based primarily on management’s assessment of the probability of the events described occurring. Accordingly, changes to these assessments could materially affect the valuations.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Financial Assets and Liabilities Measured at Fair Value on a Recurring Basis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Financial assets and liabilities measured at fair value on a recurring basis are summarized below and disclosed on the balance sheet under Derivative liability – warrants and Derivative liability – conversion option: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8" w:name="PGBRK40"/>
      <w:bookmarkStart w:id="439" w:name="PGBRK40"/>
      <w:bookmarkEnd w:id="4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0" w:name="FTR40"/>
      <w:bookmarkStart w:id="441" w:name="FTR40"/>
      <w:bookmarkEnd w:id="4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2" w:name="GLFTR40"/>
      <w:bookmarkEnd w:id="4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43" w:name="PN40"/>
      <w:bookmarkEnd w:id="443"/>
      <w:r>
        <w:rPr>
          <w:rFonts w:ascii="Times New Roman" w:hAnsi="Times New Roman"/>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4" w:name="HDR40"/>
      <w:bookmarkStart w:id="445" w:name="HDR40"/>
      <w:bookmarkEnd w:id="4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6" w:name="GLHDR40"/>
      <w:bookmarkEnd w:id="4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257"/>
        <w:gridCol w:w="104"/>
        <w:gridCol w:w="150"/>
        <w:gridCol w:w="1160"/>
        <w:gridCol w:w="104"/>
        <w:gridCol w:w="104"/>
        <w:gridCol w:w="214"/>
        <w:gridCol w:w="762"/>
        <w:gridCol w:w="104"/>
        <w:gridCol w:w="104"/>
        <w:gridCol w:w="214"/>
        <w:gridCol w:w="761"/>
        <w:gridCol w:w="104"/>
        <w:gridCol w:w="104"/>
        <w:gridCol w:w="150"/>
        <w:gridCol w:w="1160"/>
        <w:gridCol w:w="104"/>
        <w:gridCol w:w="104"/>
        <w:gridCol w:w="150"/>
        <w:gridCol w:w="1160"/>
        <w:gridCol w:w="131"/>
      </w:tblGrid>
      <w:tr>
        <w:trPr/>
        <w:tc>
          <w:tcPr>
            <w:tcW w:w="325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jc w:val="center"/>
              <w:rPr/>
            </w:pPr>
            <w:r>
              <w:rPr/>
              <w:t> </w:t>
            </w:r>
          </w:p>
        </w:tc>
        <w:tc>
          <w:tcPr>
            <w:tcW w:w="6713" w:type="dxa"/>
            <w:gridSpan w:val="18"/>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 of December 31, 2010</w:t>
            </w:r>
          </w:p>
        </w:tc>
        <w:tc>
          <w:tcPr>
            <w:tcW w:w="131" w:type="dxa"/>
            <w:tcBorders/>
            <w:shd w:fill="auto" w:val="clear"/>
            <w:vAlign w:val="bottom"/>
          </w:tcPr>
          <w:p>
            <w:pPr>
              <w:pStyle w:val="TableContents"/>
              <w:spacing w:before="0" w:after="283"/>
              <w:jc w:val="left"/>
              <w:rPr/>
            </w:pPr>
            <w:r>
              <w:rPr/>
              <w:t> </w:t>
            </w:r>
          </w:p>
        </w:tc>
      </w:tr>
      <w:tr>
        <w:trPr/>
        <w:tc>
          <w:tcPr>
            <w:tcW w:w="325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31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3677" w:type="dxa"/>
            <w:gridSpan w:val="1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Using</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10"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r>
      <w:tr>
        <w:trPr/>
        <w:tc>
          <w:tcPr>
            <w:tcW w:w="325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31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Value</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97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1</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97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2</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1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1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31" w:type="dxa"/>
            <w:tcBorders/>
            <w:shd w:fill="auto" w:val="clear"/>
            <w:vAlign w:val="bottom"/>
          </w:tcPr>
          <w:p>
            <w:pPr>
              <w:pStyle w:val="TableContents"/>
              <w:spacing w:before="0" w:after="283"/>
              <w:jc w:val="left"/>
              <w:rPr/>
            </w:pPr>
            <w:r>
              <w:rPr/>
              <w:t> </w:t>
            </w:r>
          </w:p>
        </w:tc>
      </w:tr>
      <w:tr>
        <w:trPr/>
        <w:tc>
          <w:tcPr>
            <w:tcW w:w="325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warrants</w:t>
            </w:r>
          </w:p>
        </w:tc>
        <w:tc>
          <w:tcPr>
            <w:tcW w:w="104"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1,225,125</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1,225,125</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1,225,125</w:t>
            </w:r>
          </w:p>
        </w:tc>
        <w:tc>
          <w:tcPr>
            <w:tcW w:w="131" w:type="dxa"/>
            <w:tcBorders/>
            <w:shd w:fill="auto" w:val="clear"/>
            <w:vAlign w:val="bottom"/>
          </w:tcPr>
          <w:p>
            <w:pPr>
              <w:pStyle w:val="TableContents"/>
              <w:spacing w:before="0" w:after="283"/>
              <w:jc w:val="left"/>
              <w:rPr/>
            </w:pPr>
            <w:r>
              <w:rPr/>
              <w:t> </w:t>
            </w:r>
          </w:p>
        </w:tc>
      </w:tr>
      <w:tr>
        <w:trPr/>
        <w:tc>
          <w:tcPr>
            <w:tcW w:w="325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conversion option</w:t>
            </w:r>
          </w:p>
        </w:tc>
        <w:tc>
          <w:tcPr>
            <w:tcW w:w="104"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jc w:val="left"/>
              <w:rPr/>
            </w:pPr>
            <w:r>
              <w:rPr/>
              <w:t> </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175,389</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jc w:val="left"/>
              <w:rPr/>
            </w:pPr>
            <w:r>
              <w:rPr/>
              <w:t> </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175,389</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jc w:val="left"/>
              <w:rPr/>
            </w:pPr>
            <w:r>
              <w:rPr/>
              <w:t> </w:t>
            </w:r>
          </w:p>
        </w:tc>
        <w:tc>
          <w:tcPr>
            <w:tcW w:w="11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175,389</w:t>
            </w:r>
          </w:p>
        </w:tc>
        <w:tc>
          <w:tcPr>
            <w:tcW w:w="131" w:type="dxa"/>
            <w:tcBorders/>
            <w:shd w:fill="auto" w:val="clear"/>
            <w:vAlign w:val="bottom"/>
          </w:tcPr>
          <w:p>
            <w:pPr>
              <w:pStyle w:val="TableContents"/>
              <w:spacing w:before="0" w:after="283"/>
              <w:jc w:val="left"/>
              <w:rPr/>
            </w:pPr>
            <w:r>
              <w:rPr/>
              <w:t> </w:t>
            </w:r>
          </w:p>
        </w:tc>
      </w:tr>
      <w:tr>
        <w:trPr/>
        <w:tc>
          <w:tcPr>
            <w:tcW w:w="325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4" w:type="dxa"/>
            <w:tcBorders/>
            <w:shd w:fill="auto" w:val="clear"/>
            <w:vAlign w:val="bottom"/>
          </w:tcPr>
          <w:p>
            <w:pPr>
              <w:pStyle w:val="TableContents"/>
              <w:spacing w:before="0" w:after="283"/>
              <w:jc w:val="right"/>
              <w:rPr/>
            </w:pPr>
            <w:r>
              <w:rPr/>
              <w:t> </w:t>
            </w:r>
          </w:p>
        </w:tc>
        <w:tc>
          <w:tcPr>
            <w:tcW w:w="150"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1,400,514</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762"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21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76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0"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1,400,514</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0"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0"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1,400,514</w:t>
            </w:r>
          </w:p>
        </w:tc>
        <w:tc>
          <w:tcPr>
            <w:tcW w:w="131" w:type="dxa"/>
            <w:tcBorders/>
            <w:shd w:fill="auto"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table below provides a summary of the changes in fair value, including net transfers, in and/or out, of financial assets and liabilities measured at fair value on a recurring basis using significant unobservable inputs (Level 3) during the year ended December 31, 2010:</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31"/>
        <w:gridCol w:w="109"/>
        <w:gridCol w:w="142"/>
        <w:gridCol w:w="1171"/>
        <w:gridCol w:w="119"/>
        <w:gridCol w:w="109"/>
        <w:gridCol w:w="157"/>
        <w:gridCol w:w="1191"/>
        <w:gridCol w:w="119"/>
        <w:gridCol w:w="108"/>
        <w:gridCol w:w="142"/>
        <w:gridCol w:w="1171"/>
        <w:gridCol w:w="136"/>
      </w:tblGrid>
      <w:tr>
        <w:trPr/>
        <w:tc>
          <w:tcPr>
            <w:tcW w:w="5531" w:type="dxa"/>
            <w:tcBorders/>
            <w:shd w:fill="auto" w:val="clear"/>
            <w:vAlign w:val="bottom"/>
          </w:tcPr>
          <w:p>
            <w:pPr>
              <w:pStyle w:val="TableContents"/>
              <w:spacing w:before="0" w:after="283"/>
              <w:rPr/>
            </w:pPr>
            <w:r>
              <w:rPr/>
              <w:t xml:space="preserve">  </w:t>
            </w:r>
          </w:p>
        </w:tc>
        <w:tc>
          <w:tcPr>
            <w:tcW w:w="4538" w:type="dxa"/>
            <w:gridSpan w:val="11"/>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Fair Value Measurements Using Level 3 Inputs</w:t>
            </w:r>
          </w:p>
        </w:tc>
        <w:tc>
          <w:tcPr>
            <w:tcW w:w="136" w:type="dxa"/>
            <w:tcBorders/>
            <w:shd w:fill="auto" w:val="clear"/>
            <w:vAlign w:val="bottom"/>
          </w:tcPr>
          <w:p>
            <w:pPr>
              <w:pStyle w:val="TableContents"/>
              <w:spacing w:before="0" w:after="283"/>
              <w:jc w:val="left"/>
              <w:rPr/>
            </w:pPr>
            <w:r>
              <w:rPr/>
              <w:t> </w:t>
            </w:r>
          </w:p>
        </w:tc>
      </w:tr>
      <w:tr>
        <w:trPr/>
        <w:tc>
          <w:tcPr>
            <w:tcW w:w="5531"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31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Derivative liability - warrants</w:t>
            </w:r>
          </w:p>
        </w:tc>
        <w:tc>
          <w:tcPr>
            <w:tcW w:w="11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34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Derivative liability – conversion option</w:t>
            </w:r>
          </w:p>
        </w:tc>
        <w:tc>
          <w:tcPr>
            <w:tcW w:w="119"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31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36" w:type="dxa"/>
            <w:tcBorders/>
            <w:shd w:fill="auto" w:val="clear"/>
            <w:vAlign w:val="bottom"/>
          </w:tcPr>
          <w:p>
            <w:pPr>
              <w:pStyle w:val="TableContents"/>
              <w:spacing w:before="0" w:after="283"/>
              <w:jc w:val="left"/>
              <w:rPr/>
            </w:pPr>
            <w:r>
              <w:rPr/>
              <w:t> </w:t>
            </w:r>
          </w:p>
        </w:tc>
      </w:tr>
      <w:tr>
        <w:trPr/>
        <w:tc>
          <w:tcPr>
            <w:tcW w:w="553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Beginning balance as of May 24, 2010</w:t>
            </w:r>
          </w:p>
        </w:tc>
        <w:tc>
          <w:tcPr>
            <w:tcW w:w="109" w:type="dxa"/>
            <w:tcBorders/>
            <w:shd w:fill="auto" w:val="clear"/>
            <w:vAlign w:val="bottom"/>
          </w:tcPr>
          <w:p>
            <w:pPr>
              <w:pStyle w:val="TableContents"/>
              <w:spacing w:before="0" w:after="283"/>
              <w:jc w:val="right"/>
              <w:rPr/>
            </w:pPr>
            <w:r>
              <w:rPr/>
              <w:t> </w:t>
            </w:r>
          </w:p>
        </w:tc>
        <w:tc>
          <w:tcPr>
            <w:tcW w:w="14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2,270,125</w:t>
            </w:r>
          </w:p>
        </w:tc>
        <w:tc>
          <w:tcPr>
            <w:tcW w:w="11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right"/>
              <w:rPr/>
            </w:pPr>
            <w:r>
              <w:rPr/>
              <w:t> </w:t>
            </w:r>
          </w:p>
        </w:tc>
        <w:tc>
          <w:tcPr>
            <w:tcW w:w="15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785,400</w:t>
            </w:r>
          </w:p>
        </w:tc>
        <w:tc>
          <w:tcPr>
            <w:tcW w:w="119"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right"/>
              <w:rPr/>
            </w:pPr>
            <w:r>
              <w:rPr/>
              <w:t> </w:t>
            </w:r>
          </w:p>
        </w:tc>
        <w:tc>
          <w:tcPr>
            <w:tcW w:w="14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3,055,525</w:t>
            </w:r>
          </w:p>
        </w:tc>
        <w:tc>
          <w:tcPr>
            <w:tcW w:w="136" w:type="dxa"/>
            <w:tcBorders/>
            <w:shd w:fill="auto" w:val="clear"/>
            <w:vAlign w:val="bottom"/>
          </w:tcPr>
          <w:p>
            <w:pPr>
              <w:pStyle w:val="TableContents"/>
              <w:spacing w:before="0" w:after="283"/>
              <w:jc w:val="left"/>
              <w:rPr/>
            </w:pPr>
            <w:r>
              <w:rPr/>
              <w:t> </w:t>
            </w:r>
          </w:p>
        </w:tc>
      </w:tr>
      <w:tr>
        <w:trPr/>
        <w:tc>
          <w:tcPr>
            <w:tcW w:w="553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unrealized gains or losses included in net loss</w:t>
            </w:r>
          </w:p>
        </w:tc>
        <w:tc>
          <w:tcPr>
            <w:tcW w:w="109" w:type="dxa"/>
            <w:tcBorders/>
            <w:shd w:fill="auto" w:val="clear"/>
            <w:vAlign w:val="bottom"/>
          </w:tcPr>
          <w:p>
            <w:pPr>
              <w:pStyle w:val="TableContents"/>
              <w:spacing w:before="0" w:after="283"/>
              <w:jc w:val="right"/>
              <w:rPr/>
            </w:pPr>
            <w:r>
              <w:rPr/>
              <w:t> </w:t>
            </w:r>
          </w:p>
        </w:tc>
        <w:tc>
          <w:tcPr>
            <w:tcW w:w="142" w:type="dxa"/>
            <w:tcBorders/>
            <w:shd w:fill="auto" w:val="clear"/>
            <w:vAlign w:val="bottom"/>
          </w:tcPr>
          <w:p>
            <w:pPr>
              <w:pStyle w:val="TableContents"/>
              <w:spacing w:before="0" w:after="283"/>
              <w:jc w:val="left"/>
              <w:rPr/>
            </w:pPr>
            <w:r>
              <w:rPr/>
              <w:t> </w:t>
            </w:r>
          </w:p>
        </w:tc>
        <w:tc>
          <w:tcPr>
            <w:tcW w:w="11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(1,045,000</w:t>
            </w:r>
          </w:p>
        </w:tc>
        <w:tc>
          <w:tcPr>
            <w:tcW w:w="11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auto" w:val="clear"/>
            <w:vAlign w:val="bottom"/>
          </w:tcPr>
          <w:p>
            <w:pPr>
              <w:pStyle w:val="TableContents"/>
              <w:spacing w:before="0" w:after="283"/>
              <w:jc w:val="right"/>
              <w:rPr/>
            </w:pPr>
            <w:r>
              <w:rPr/>
              <w:t> </w:t>
            </w:r>
          </w:p>
        </w:tc>
        <w:tc>
          <w:tcPr>
            <w:tcW w:w="157" w:type="dxa"/>
            <w:tcBorders/>
            <w:shd w:fill="auto" w:val="clear"/>
            <w:vAlign w:val="bottom"/>
          </w:tcPr>
          <w:p>
            <w:pPr>
              <w:pStyle w:val="TableContents"/>
              <w:spacing w:before="0" w:after="283"/>
              <w:jc w:val="left"/>
              <w:rPr/>
            </w:pPr>
            <w:r>
              <w:rPr/>
              <w:t> </w:t>
            </w:r>
          </w:p>
        </w:tc>
        <w:tc>
          <w:tcPr>
            <w:tcW w:w="11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(610,011</w:t>
            </w:r>
          </w:p>
        </w:tc>
        <w:tc>
          <w:tcPr>
            <w:tcW w:w="11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auto" w:val="clear"/>
            <w:vAlign w:val="bottom"/>
          </w:tcPr>
          <w:p>
            <w:pPr>
              <w:pStyle w:val="TableContents"/>
              <w:spacing w:before="0" w:after="283"/>
              <w:jc w:val="right"/>
              <w:rPr/>
            </w:pPr>
            <w:r>
              <w:rPr/>
              <w:t> </w:t>
            </w:r>
          </w:p>
        </w:tc>
        <w:tc>
          <w:tcPr>
            <w:tcW w:w="142" w:type="dxa"/>
            <w:tcBorders/>
            <w:shd w:fill="auto" w:val="clear"/>
            <w:vAlign w:val="bottom"/>
          </w:tcPr>
          <w:p>
            <w:pPr>
              <w:pStyle w:val="TableContents"/>
              <w:spacing w:before="0" w:after="283"/>
              <w:jc w:val="left"/>
              <w:rPr/>
            </w:pPr>
            <w:r>
              <w:rPr/>
              <w:t> </w:t>
            </w:r>
          </w:p>
        </w:tc>
        <w:tc>
          <w:tcPr>
            <w:tcW w:w="11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(1,655,011</w:t>
            </w:r>
          </w:p>
        </w:tc>
        <w:tc>
          <w:tcPr>
            <w:tcW w:w="13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5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Transfers in and/or out of Level 3</w:t>
            </w:r>
          </w:p>
        </w:tc>
        <w:tc>
          <w:tcPr>
            <w:tcW w:w="109" w:type="dxa"/>
            <w:tcBorders/>
            <w:shd w:fill="auto" w:val="clear"/>
            <w:vAlign w:val="bottom"/>
          </w:tcPr>
          <w:p>
            <w:pPr>
              <w:pStyle w:val="TableContents"/>
              <w:spacing w:before="0" w:after="283"/>
              <w:jc w:val="right"/>
              <w:rPr/>
            </w:pPr>
            <w:r>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right"/>
              <w:rPr/>
            </w:pPr>
            <w:r>
              <w:rPr/>
              <w:t> </w:t>
            </w:r>
          </w:p>
        </w:tc>
        <w:tc>
          <w:tcPr>
            <w:tcW w:w="157"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9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right"/>
              <w:rPr/>
            </w:pPr>
            <w:r>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auto" w:val="clear"/>
            <w:vAlign w:val="bottom"/>
          </w:tcPr>
          <w:p>
            <w:pPr>
              <w:pStyle w:val="TableContents"/>
              <w:spacing w:before="0" w:after="283"/>
              <w:jc w:val="left"/>
              <w:rPr/>
            </w:pPr>
            <w:r>
              <w:rPr/>
              <w:t> </w:t>
            </w:r>
          </w:p>
        </w:tc>
      </w:tr>
      <w:tr>
        <w:trPr/>
        <w:tc>
          <w:tcPr>
            <w:tcW w:w="553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Ending balance at December 31, 2010</w:t>
            </w:r>
          </w:p>
        </w:tc>
        <w:tc>
          <w:tcPr>
            <w:tcW w:w="109" w:type="dxa"/>
            <w:tcBorders/>
            <w:shd w:fill="auto" w:val="clear"/>
            <w:vAlign w:val="bottom"/>
          </w:tcPr>
          <w:p>
            <w:pPr>
              <w:pStyle w:val="TableContents"/>
              <w:spacing w:before="0" w:after="283"/>
              <w:jc w:val="right"/>
              <w:rPr/>
            </w:pPr>
            <w:r>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1,225,125</w:t>
            </w:r>
          </w:p>
        </w:tc>
        <w:tc>
          <w:tcPr>
            <w:tcW w:w="11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right"/>
              <w:rPr/>
            </w:pPr>
            <w:r>
              <w:rPr/>
              <w:t> </w:t>
            </w:r>
          </w:p>
        </w:tc>
        <w:tc>
          <w:tcPr>
            <w:tcW w:w="157"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175,389</w:t>
            </w:r>
          </w:p>
        </w:tc>
        <w:tc>
          <w:tcPr>
            <w:tcW w:w="119"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right"/>
              <w:rPr/>
            </w:pPr>
            <w:r>
              <w:rPr/>
              <w:t> </w:t>
            </w:r>
          </w:p>
        </w:tc>
        <w:tc>
          <w:tcPr>
            <w:tcW w:w="14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1"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1,400,514</w:t>
            </w:r>
          </w:p>
        </w:tc>
        <w:tc>
          <w:tcPr>
            <w:tcW w:w="136" w:type="dxa"/>
            <w:tcBorders/>
            <w:shd w:fill="auto"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5:                 CONVERTIBLE NOTE PAYABLE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is a summary of debt instrument transactions that are relevant to the current and prior period:</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187"/>
        <w:gridCol w:w="104"/>
        <w:gridCol w:w="143"/>
        <w:gridCol w:w="1127"/>
        <w:gridCol w:w="104"/>
        <w:gridCol w:w="104"/>
        <w:gridCol w:w="152"/>
        <w:gridCol w:w="1125"/>
        <w:gridCol w:w="143"/>
        <w:gridCol w:w="104"/>
        <w:gridCol w:w="171"/>
        <w:gridCol w:w="1196"/>
        <w:gridCol w:w="104"/>
        <w:gridCol w:w="104"/>
        <w:gridCol w:w="148"/>
        <w:gridCol w:w="1065"/>
        <w:gridCol w:w="124"/>
      </w:tblGrid>
      <w:tr>
        <w:trPr/>
        <w:tc>
          <w:tcPr>
            <w:tcW w:w="418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Face Value</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Principal Repayment</w:t>
            </w:r>
          </w:p>
        </w:tc>
        <w:tc>
          <w:tcPr>
            <w:tcW w:w="14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Unamortized</w:t>
            </w:r>
          </w:p>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p>
            <w:pPr>
              <w:pStyle w:val="TableContents"/>
              <w:spacing w:before="0" w:after="0"/>
              <w:ind w:left="0" w:right="0" w:hanging="0"/>
              <w:jc w:val="center"/>
              <w:rPr>
                <w:rFonts w:ascii="times new roman" w:hAnsi="times new roman"/>
                <w:b/>
                <w:sz w:val="20"/>
              </w:rPr>
            </w:pPr>
            <w:r>
              <w:rPr>
                <w:rFonts w:ascii="times new roman" w:hAnsi="times new roman"/>
                <w:b/>
                <w:sz w:val="20"/>
              </w:rPr>
              <w:t>Discount</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Balance at</w:t>
            </w:r>
          </w:p>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4" w:type="dxa"/>
            <w:tcBorders/>
            <w:shd w:fill="auto" w:val="clear"/>
            <w:vAlign w:val="bottom"/>
          </w:tcPr>
          <w:p>
            <w:pPr>
              <w:pStyle w:val="TableContents"/>
              <w:spacing w:before="0" w:after="283"/>
              <w:jc w:val="left"/>
              <w:rPr/>
            </w:pPr>
            <w:r>
              <w:rPr/>
              <w:t> </w:t>
            </w:r>
          </w:p>
        </w:tc>
      </w:tr>
      <w:tr>
        <w:trPr/>
        <w:tc>
          <w:tcPr>
            <w:tcW w:w="4187"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7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6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3"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4187"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2010 Secured Convertible Notes</w:t>
            </w:r>
          </w:p>
        </w:tc>
        <w:tc>
          <w:tcPr>
            <w:tcW w:w="104" w:type="dxa"/>
            <w:tcBorders/>
            <w:shd w:fill="auto" w:val="clear"/>
            <w:vAlign w:val="bottom"/>
          </w:tcPr>
          <w:p>
            <w:pPr>
              <w:pStyle w:val="TableContents"/>
              <w:spacing w:before="0" w:after="283"/>
              <w:rPr/>
            </w:pPr>
            <w:r>
              <w:rPr/>
              <w:t> </w:t>
            </w:r>
          </w:p>
        </w:tc>
        <w:tc>
          <w:tcPr>
            <w:tcW w:w="127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77" w:type="dxa"/>
            <w:gridSpan w:val="2"/>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36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13"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4187"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Senior Secured Notes, due May 19, 2011</w:t>
            </w:r>
          </w:p>
        </w:tc>
        <w:tc>
          <w:tcPr>
            <w:tcW w:w="104" w:type="dxa"/>
            <w:tcBorders/>
            <w:shd w:fill="auto" w:val="clear"/>
            <w:vAlign w:val="bottom"/>
          </w:tcPr>
          <w:p>
            <w:pPr>
              <w:pStyle w:val="TableContents"/>
              <w:spacing w:before="0" w:after="283"/>
              <w:jc w:val="right"/>
              <w:rPr/>
            </w:pPr>
            <w:r>
              <w:rPr/>
              <w:t> </w:t>
            </w:r>
          </w:p>
        </w:tc>
        <w:tc>
          <w:tcPr>
            <w:tcW w:w="143"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7"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1,530,000</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52"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5"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(573,333</w:t>
            </w:r>
          </w:p>
        </w:tc>
        <w:tc>
          <w:tcPr>
            <w:tcW w:w="1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104" w:type="dxa"/>
            <w:tcBorders/>
            <w:shd w:fill="auto" w:val="clear"/>
            <w:vAlign w:val="bottom"/>
          </w:tcPr>
          <w:p>
            <w:pPr>
              <w:pStyle w:val="TableContents"/>
              <w:spacing w:before="0" w:after="283"/>
              <w:jc w:val="right"/>
              <w:rPr/>
            </w:pPr>
            <w:r>
              <w:rPr/>
              <w:t> </w:t>
            </w:r>
          </w:p>
        </w:tc>
        <w:tc>
          <w:tcPr>
            <w:tcW w:w="171"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6"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603,617</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right"/>
              <w:rPr/>
            </w:pPr>
            <w:r>
              <w:rPr/>
              <w:t> </w:t>
            </w:r>
          </w:p>
        </w:tc>
        <w:tc>
          <w:tcPr>
            <w:tcW w:w="148"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353,050</w:t>
            </w:r>
          </w:p>
        </w:tc>
        <w:tc>
          <w:tcPr>
            <w:tcW w:w="124" w:type="dxa"/>
            <w:tcBorders/>
            <w:shd w:fill="auto"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24, 2010, the Company entered into a securities purchase agreement with accredited investors to place Senior Secured Convertible Notes (the “Notes”) with a maturity date of one year after the issuance thereof in the aggregate principal amount of $1,530,000 for gross consideration of $1,275,000. The $1,275,000 consisted of $712,254 in cash proceeds to the Company, $212,746 of current services and $350,000 was subscribed for by the holder of an outstanding and due 2009 convertible debenture. In connection with the issuance of the notes, the Company entered into a 2010 Security Agreement with the note holders securing the Notes with all of the Company’s assets. The Note holders have the option to convert the outstanding balance of the Notes including any accrued interest into shares of the Company’s common stock at a maximum conversion rate of $0.30 per share at any time.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Notes were placed at a 20% discount from their face value and bear no interest except in case of an event of default, in which case they bear interest at the rate of 18% per annum. The principal and any interest due on the Notes is due in 9 equal monthly installments starting in September 2010. Subject to the satisfaction of certain customary conditions including the effectiveness of a registration statement and certain minimums on the amount and value of the shares of our common stock traded on the Over-the-Counter Bulletin Board, the Company may elect to pay amounts due on any installment date in either cash or shares of its common stock. Any shares of its common stock that the Company issues as payment on an installment date will be issued at a price which is equal to the lesser of $0.30 per share or 85% of the average of the volume-weighted average prices of the Company’s common stock on the Over-the-Counter Bulletin Board on each of the twenty trading days immediately preceding the applicable installment 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paid a finder’s fee of $64,000 and issued 1,400,000 broker’s warrants (described below) valued at $167,000. The finder’s fee and fair value of the broker’s warrants was accounted for as deferred financing costs, and is being amortized over the term of the notes. At December 31, 2010, $91,134 remains unamortized and is presented in Current assets on the Company’s Balance sheet.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7" w:name="PGBRK41"/>
      <w:bookmarkStart w:id="448" w:name="PGBRK41"/>
      <w:bookmarkEnd w:id="4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9" w:name="FTR41"/>
      <w:bookmarkStart w:id="450" w:name="FTR41"/>
      <w:bookmarkEnd w:id="4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1" w:name="GLFTR41"/>
      <w:bookmarkEnd w:id="4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2" w:name="PN41"/>
      <w:bookmarkEnd w:id="452"/>
      <w:r>
        <w:rPr>
          <w:rFonts w:ascii="Times New Roman" w:hAnsi="Times New Roman"/>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3" w:name="HDR41"/>
      <w:bookmarkStart w:id="454" w:name="HDR41"/>
      <w:bookmarkEnd w:id="4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55" w:name="GLHDR41"/>
      <w:bookmarkEnd w:id="4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3423"/>
        <w:gridCol w:w="114"/>
        <w:gridCol w:w="114"/>
        <w:gridCol w:w="1228"/>
        <w:gridCol w:w="114"/>
        <w:gridCol w:w="114"/>
        <w:gridCol w:w="114"/>
        <w:gridCol w:w="1130"/>
        <w:gridCol w:w="114"/>
        <w:gridCol w:w="114"/>
        <w:gridCol w:w="213"/>
        <w:gridCol w:w="1099"/>
        <w:gridCol w:w="114"/>
        <w:gridCol w:w="2200"/>
      </w:tblGrid>
      <w:tr>
        <w:trPr/>
        <w:tc>
          <w:tcPr>
            <w:tcW w:w="3423"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34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Issued to Note holders</w:t>
            </w:r>
          </w:p>
        </w:tc>
        <w:tc>
          <w:tcPr>
            <w:tcW w:w="11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24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Issued as broker’s warrants</w:t>
            </w:r>
          </w:p>
        </w:tc>
        <w:tc>
          <w:tcPr>
            <w:tcW w:w="11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31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Maximum</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1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2200"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Term</w:t>
            </w:r>
          </w:p>
        </w:tc>
      </w:tr>
      <w:tr>
        <w:trPr/>
        <w:tc>
          <w:tcPr>
            <w:tcW w:w="3423" w:type="dxa"/>
            <w:tcBorders/>
            <w:shd w:fill="auto" w:val="clear"/>
            <w:tcMar>
              <w:top w:w="0" w:type="dxa"/>
              <w:bottom w:w="0" w:type="dxa"/>
            </w:tcMar>
            <w:vAlign w:val="bottom"/>
          </w:tcPr>
          <w:p>
            <w:pPr>
              <w:pStyle w:val="TableContents"/>
              <w:spacing w:before="0" w:after="283"/>
              <w:rPr/>
            </w:pPr>
            <w:r>
              <w:rPr/>
              <w:t xml:space="preserve">  </w:t>
            </w:r>
          </w:p>
        </w:tc>
        <w:tc>
          <w:tcPr>
            <w:tcW w:w="114" w:type="dxa"/>
            <w:tcBorders/>
            <w:shd w:fill="auto" w:val="clear"/>
            <w:tcMar>
              <w:top w:w="0" w:type="dxa"/>
              <w:bottom w:w="0" w:type="dxa"/>
            </w:tcMar>
            <w:vAlign w:val="bottom"/>
          </w:tcPr>
          <w:p>
            <w:pPr>
              <w:pStyle w:val="TableContents"/>
              <w:spacing w:before="0" w:after="283"/>
              <w:rPr/>
            </w:pPr>
            <w:r>
              <w:rPr/>
              <w:t> </w:t>
            </w:r>
          </w:p>
        </w:tc>
        <w:tc>
          <w:tcPr>
            <w:tcW w:w="1342" w:type="dxa"/>
            <w:gridSpan w:val="2"/>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244" w:type="dxa"/>
            <w:gridSpan w:val="2"/>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312" w:type="dxa"/>
            <w:gridSpan w:val="2"/>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2200" w:type="dxa"/>
            <w:tcBorders/>
            <w:shd w:fill="auto" w:val="clear"/>
            <w:tcMar>
              <w:top w:w="0" w:type="dxa"/>
              <w:bottom w:w="0" w:type="dxa"/>
            </w:tcMar>
            <w:vAlign w:val="bottom"/>
          </w:tcPr>
          <w:p>
            <w:pPr>
              <w:pStyle w:val="TableContents"/>
              <w:spacing w:before="0" w:after="283"/>
              <w:rPr/>
            </w:pPr>
            <w:r>
              <w:rPr/>
              <w:t xml:space="preserve">  </w:t>
            </w:r>
          </w:p>
        </w:tc>
      </w:tr>
      <w:tr>
        <w:trPr/>
        <w:tc>
          <w:tcPr>
            <w:tcW w:w="3423"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A Warrants</w:t>
            </w:r>
          </w:p>
        </w:tc>
        <w:tc>
          <w:tcPr>
            <w:tcW w:w="114" w:type="dxa"/>
            <w:tcBorders/>
            <w:shd w:fill="auto" w:val="clear"/>
            <w:tcMar>
              <w:top w:w="0" w:type="dxa"/>
              <w:bottom w:w="0" w:type="dxa"/>
            </w:tcMar>
            <w:vAlign w:val="bottom"/>
          </w:tcPr>
          <w:p>
            <w:pPr>
              <w:pStyle w:val="TableContents"/>
              <w:spacing w:before="0" w:after="283"/>
              <w:rPr/>
            </w:pPr>
            <w:r>
              <w:rPr/>
              <w:t> </w:t>
            </w:r>
          </w:p>
        </w:tc>
        <w:tc>
          <w:tcPr>
            <w:tcW w:w="11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2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6,375,000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1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3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213" w:type="dxa"/>
            <w:tcBorders>
              <w:bottom w:val="single" w:sz="12"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2200" w:type="dxa"/>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 Years</w:t>
            </w:r>
          </w:p>
        </w:tc>
      </w:tr>
      <w:tr>
        <w:trPr/>
        <w:tc>
          <w:tcPr>
            <w:tcW w:w="3423"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B Warrants</w:t>
            </w:r>
          </w:p>
        </w:tc>
        <w:tc>
          <w:tcPr>
            <w:tcW w:w="114" w:type="dxa"/>
            <w:tcBorders/>
            <w:shd w:fill="auto" w:val="clear"/>
            <w:tcMar>
              <w:top w:w="0" w:type="dxa"/>
              <w:bottom w:w="0" w:type="dxa"/>
            </w:tcMar>
            <w:vAlign w:val="bottom"/>
          </w:tcPr>
          <w:p>
            <w:pPr>
              <w:pStyle w:val="TableContents"/>
              <w:spacing w:before="0" w:after="283"/>
              <w:rPr/>
            </w:pPr>
            <w:r>
              <w:rPr/>
              <w:t> </w:t>
            </w:r>
          </w:p>
        </w:tc>
        <w:tc>
          <w:tcPr>
            <w:tcW w:w="11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2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5,100,000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1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3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1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2200" w:type="dxa"/>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 Year</w:t>
            </w:r>
          </w:p>
        </w:tc>
      </w:tr>
      <w:tr>
        <w:trPr/>
        <w:tc>
          <w:tcPr>
            <w:tcW w:w="3423"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C Warrants *</w:t>
            </w:r>
          </w:p>
        </w:tc>
        <w:tc>
          <w:tcPr>
            <w:tcW w:w="114" w:type="dxa"/>
            <w:tcBorders/>
            <w:shd w:fill="auto" w:val="clear"/>
            <w:tcMar>
              <w:top w:w="0" w:type="dxa"/>
              <w:bottom w:w="0" w:type="dxa"/>
            </w:tcMar>
            <w:vAlign w:val="bottom"/>
          </w:tcPr>
          <w:p>
            <w:pPr>
              <w:pStyle w:val="TableContents"/>
              <w:spacing w:before="0" w:after="283"/>
              <w:rPr/>
            </w:pPr>
            <w:r>
              <w:rPr/>
              <w:t> </w:t>
            </w:r>
          </w:p>
        </w:tc>
        <w:tc>
          <w:tcPr>
            <w:tcW w:w="11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2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6,375,000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1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3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1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2200" w:type="dxa"/>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 Years</w:t>
            </w:r>
          </w:p>
        </w:tc>
      </w:tr>
      <w:tr>
        <w:trPr/>
        <w:tc>
          <w:tcPr>
            <w:tcW w:w="10205" w:type="dxa"/>
            <w:gridSpan w:val="14"/>
            <w:tcBorders/>
            <w:shd w:fill="auto" w:val="clear"/>
            <w:tcMar>
              <w:top w:w="0" w:type="dxa"/>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 The Series C Warrants are only exercisable proportionately with the exercise of the Series B Warrants.</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Notes and Warrants include price adjustment provisions whereby the exercise price will be adjusted downwards based on future sales, issuances, or conversions of equity or debt, which results in a share issuance at a per share amount less than $0.30 per share. The calculated lower per share amount from the future transaction will be the adjusted conversion rate available to the Note and Warrant holders.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economic characteristics and risks of the embedded Conversion option in the Notes (“Conversion option”) are not considered clearly and closely related to the economic characteristics and risks of the host debt contract. The price adjustment features included in the embedded Conversion option and the Warrants are not considered indexed to Company’s own stock. Pursuant to the guidance of ASC 815-10, the embedded Conversion option in the Notes meet the characteristics of a derivative instrument and must be valued separately from the host debt contract. In accordance with ASC 815-40-25, the Company has evaluated the Notes’ conversion option and recorded </w:t>
      </w:r>
      <w:r>
        <w:rPr>
          <w:rFonts w:ascii="Times New Roman" w:hAnsi="Times New Roman"/>
          <w:color w:val="0000FF"/>
          <w:sz w:val="20"/>
          <w:u w:val="single"/>
          <w:bdr w:val="double" w:sz="2" w:space="1" w:color="000000"/>
        </w:rPr>
        <w:t>$785,400</w:t>
      </w:r>
      <w:r>
        <w:rPr>
          <w:rFonts w:ascii="Times New Roman" w:hAnsi="Times New Roman"/>
          <w:sz w:val="20"/>
        </w:rPr>
        <w:t xml:space="preserve"> as the initial fair value of the Conversion option Derivative liability. The fair value was determined using the Binomial option pricing model.</w:t>
      </w:r>
    </w:p>
    <w:p>
      <w:pPr>
        <w:pStyle w:val="TextBody"/>
        <w:spacing w:before="0" w:after="0"/>
        <w:ind w:left="0" w:right="0" w:hanging="0"/>
        <w:jc w:val="both"/>
        <w:rPr/>
      </w:pPr>
      <w:r>
        <w:rPr/>
        <w:t> </w:t>
      </w:r>
    </w:p>
    <w:p>
      <w:pPr>
        <w:pStyle w:val="TextBody"/>
        <w:spacing w:before="0" w:after="0"/>
        <w:ind w:left="0" w:right="0" w:hanging="0"/>
        <w:jc w:val="both"/>
        <w:rPr/>
      </w:pPr>
      <w:r>
        <w:rPr/>
        <w:t>As a result of certain price adjustment clauses related to the Warrants, the Warrants are not included in the Company’s equity. The Company has recorded the fair value of these Warrants and the brokers’ warrants as “Derivative liability – warrants” initially in the amount of $2,296,250. (Note 4)</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proceeds received for the Notes were initially allocated to the embedded Conversion option and then to the Warrants based on their estimated fair value. The difference of $1,644,750 between the gross consideration of the Notes for $1,250,000 and the fair value of the calculated derivative liabilities amounting to $2,919,750, was accounted for under ‘Loss on debt financing’ in the consolidated statements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To December 31, 2010, accretion of the debt discount relative to the 2010 secured convertible notes was equal to $926,383. The Company repaid $573,333 of the principal during the year ended December 31, 2010.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Subsequent to year end, the Company settled or had negotiated terms for a contingent settlement, of the full $1,530,000 of outstanding 2010 Secured Convertible Notes. With the settlements, the Company received for cancellation 4,625,000 Series A Warrants, 3,700,000 Series B Warrants and 4,625,000 Series C Warrants.</w:t>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3823"/>
        <w:gridCol w:w="110"/>
        <w:gridCol w:w="170"/>
        <w:gridCol w:w="1137"/>
        <w:gridCol w:w="110"/>
        <w:gridCol w:w="110"/>
        <w:gridCol w:w="657"/>
        <w:gridCol w:w="881"/>
        <w:gridCol w:w="110"/>
        <w:gridCol w:w="110"/>
        <w:gridCol w:w="522"/>
        <w:gridCol w:w="794"/>
        <w:gridCol w:w="110"/>
        <w:gridCol w:w="110"/>
        <w:gridCol w:w="170"/>
        <w:gridCol w:w="1146"/>
        <w:gridCol w:w="135"/>
      </w:tblGrid>
      <w:tr>
        <w:trPr/>
        <w:tc>
          <w:tcPr>
            <w:tcW w:w="3823"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07"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53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1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1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35"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382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Convertible Debenture</w:t>
            </w:r>
          </w:p>
        </w:tc>
        <w:tc>
          <w:tcPr>
            <w:tcW w:w="110" w:type="dxa"/>
            <w:tcBorders/>
            <w:shd w:fill="auto" w:val="clear"/>
            <w:tcMar>
              <w:top w:w="0" w:type="dxa"/>
              <w:bottom w:w="0" w:type="dxa"/>
            </w:tcMar>
            <w:vAlign w:val="bottom"/>
          </w:tcPr>
          <w:p>
            <w:pPr>
              <w:pStyle w:val="TableContents"/>
              <w:spacing w:before="0" w:after="283"/>
              <w:rPr/>
            </w:pPr>
            <w:r>
              <w:rPr/>
              <w:t> </w:t>
            </w:r>
          </w:p>
        </w:tc>
        <w:tc>
          <w:tcPr>
            <w:tcW w:w="1307"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538"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16"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16" w:type="dxa"/>
            <w:gridSpan w:val="2"/>
            <w:tcBorders/>
            <w:shd w:fill="auto" w:val="clear"/>
            <w:tcMar>
              <w:top w:w="0" w:type="dxa"/>
              <w:bottom w:w="0" w:type="dxa"/>
            </w:tcMar>
            <w:vAlign w:val="bottom"/>
          </w:tcPr>
          <w:p>
            <w:pPr>
              <w:pStyle w:val="TableContents"/>
              <w:spacing w:before="0" w:after="283"/>
              <w:rPr/>
            </w:pPr>
            <w:r>
              <w:rPr/>
              <w:t> </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3823"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Unsecured Convertible Note, 10%</w:t>
            </w:r>
          </w:p>
          <w:p>
            <w:pPr>
              <w:pStyle w:val="TableContents"/>
              <w:spacing w:before="0" w:after="0"/>
              <w:ind w:left="0" w:right="0" w:hanging="0"/>
              <w:jc w:val="left"/>
              <w:rPr/>
            </w:pPr>
            <w:r>
              <w:rPr/>
              <w:t>  </w:t>
            </w:r>
            <w:r>
              <w:rPr>
                <w:rFonts w:ascii="times new roman" w:hAnsi="times new roman"/>
                <w:sz w:val="20"/>
              </w:rPr>
              <w:t>interest, due February 28, 2010</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170"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65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1"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522"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170"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203,021</w:t>
            </w:r>
          </w:p>
        </w:tc>
        <w:tc>
          <w:tcPr>
            <w:tcW w:w="135"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31, 2009, the Company completed a convertible debenture financing of $350,000 issuing a convertible promissory note bearing interest at 10% per annum. The note was due on February 28, 2010. The unpaid amount of principal and accrued interest could be converted at any time at the holder's option into shares of the Company's common stock at a price of $0.80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the debenture agreement, the note would have automatically converted to equity if, during the term of the note, the Company had received funding equal to or exceeding $2,000,000 through the sale of its shares of common stock or additional debt instruments that were convertible into common stock during the term of the debenture. The holders of the debentures had the option to convert into up to 3,500,000 common shares of the Company or receive payment in full.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recognized the embedded beneficial conversion feature assigning an initial fair value of $139,571 as additional paid-in capital as the convertible notes were issued with an intrinsic value conversion feature. In addition, the Company issued 437,500 non-transferable and registerable share purchase warrants to these debt holders. Management estimated the fair value of the warrants to be $210,429. As the relative fair value of the warrants and beneficial conversion feature together were greater than the face value of the debentures, these were limited to the face value of the loan.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6" w:name="PGBRK42"/>
      <w:bookmarkStart w:id="457" w:name="PGBRK42"/>
      <w:bookmarkEnd w:id="4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8" w:name="FTR42"/>
      <w:bookmarkStart w:id="459" w:name="FTR42"/>
      <w:bookmarkEnd w:id="4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0" w:name="GLFTR42"/>
      <w:bookmarkEnd w:id="4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1" w:name="PN42"/>
      <w:bookmarkEnd w:id="461"/>
      <w:r>
        <w:rPr>
          <w:rFonts w:ascii="Times New Roman" w:hAnsi="Times New Roman"/>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2" w:name="HDR42"/>
      <w:bookmarkStart w:id="463" w:name="HDR42"/>
      <w:bookmarkEnd w:id="4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4" w:name="GLHDR42"/>
      <w:bookmarkEnd w:id="4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2010, the holder converted the principal amount of the debenture into the 2010 secured convertible notes as described above and waived the accrued interest in the amount of $23,589.</w:t>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3775"/>
        <w:gridCol w:w="110"/>
        <w:gridCol w:w="170"/>
        <w:gridCol w:w="1138"/>
        <w:gridCol w:w="110"/>
        <w:gridCol w:w="110"/>
        <w:gridCol w:w="657"/>
        <w:gridCol w:w="883"/>
        <w:gridCol w:w="110"/>
        <w:gridCol w:w="110"/>
        <w:gridCol w:w="547"/>
        <w:gridCol w:w="812"/>
        <w:gridCol w:w="110"/>
        <w:gridCol w:w="109"/>
        <w:gridCol w:w="171"/>
        <w:gridCol w:w="1147"/>
        <w:gridCol w:w="136"/>
      </w:tblGrid>
      <w:tr>
        <w:trPr/>
        <w:tc>
          <w:tcPr>
            <w:tcW w:w="3775"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0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54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5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9" w:type="dxa"/>
            <w:tcBorders>
              <w:top w:val="single" w:sz="12" w:space="0" w:color="000000"/>
            </w:tcBorders>
            <w:shd w:fill="auto" w:val="clear"/>
            <w:tcMar>
              <w:bottom w:w="0" w:type="dxa"/>
            </w:tcMar>
            <w:vAlign w:val="bottom"/>
          </w:tcPr>
          <w:p>
            <w:pPr>
              <w:pStyle w:val="TableContents"/>
              <w:spacing w:before="0" w:after="283"/>
              <w:rPr/>
            </w:pPr>
            <w:r>
              <w:rPr/>
              <w:t> </w:t>
            </w:r>
          </w:p>
        </w:tc>
        <w:tc>
          <w:tcPr>
            <w:tcW w:w="131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36"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3775" w:type="dxa"/>
            <w:tcBorders/>
            <w:shd w:fill="auto" w:val="clear"/>
            <w:tcMar>
              <w:top w:w="0" w:type="dxa"/>
              <w:bottom w:w="0" w:type="dxa"/>
            </w:tcMar>
            <w:vAlign w:val="bottom"/>
          </w:tcPr>
          <w:p>
            <w:pPr>
              <w:pStyle w:val="TableContents"/>
              <w:spacing w:before="0" w:after="283"/>
              <w:rPr/>
            </w:pPr>
            <w:r>
              <w:rPr/>
              <w:t xml:space="preserve">  </w:t>
            </w:r>
          </w:p>
        </w:tc>
        <w:tc>
          <w:tcPr>
            <w:tcW w:w="110" w:type="dxa"/>
            <w:tcBorders/>
            <w:shd w:fill="auto" w:val="clear"/>
            <w:tcMar>
              <w:top w:w="0" w:type="dxa"/>
              <w:bottom w:w="0" w:type="dxa"/>
            </w:tcMar>
            <w:vAlign w:val="bottom"/>
          </w:tcPr>
          <w:p>
            <w:pPr>
              <w:pStyle w:val="TableContents"/>
              <w:spacing w:before="0" w:after="283"/>
              <w:rPr/>
            </w:pPr>
            <w:r>
              <w:rPr/>
              <w:t> </w:t>
            </w:r>
          </w:p>
        </w:tc>
        <w:tc>
          <w:tcPr>
            <w:tcW w:w="1308"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540"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59"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9" w:type="dxa"/>
            <w:tcBorders/>
            <w:shd w:fill="auto" w:val="clear"/>
            <w:tcMar>
              <w:top w:w="0" w:type="dxa"/>
              <w:bottom w:w="0" w:type="dxa"/>
            </w:tcMar>
            <w:vAlign w:val="bottom"/>
          </w:tcPr>
          <w:p>
            <w:pPr>
              <w:pStyle w:val="TableContents"/>
              <w:spacing w:before="0" w:after="283"/>
              <w:rPr/>
            </w:pPr>
            <w:r>
              <w:rPr/>
              <w:t> </w:t>
            </w:r>
          </w:p>
        </w:tc>
        <w:tc>
          <w:tcPr>
            <w:tcW w:w="1318" w:type="dxa"/>
            <w:gridSpan w:val="2"/>
            <w:tcBorders/>
            <w:shd w:fill="auto" w:val="clear"/>
            <w:tcMar>
              <w:top w:w="0" w:type="dxa"/>
              <w:bottom w:w="0" w:type="dxa"/>
            </w:tcMar>
            <w:vAlign w:val="bottom"/>
          </w:tcPr>
          <w:p>
            <w:pPr>
              <w:pStyle w:val="TableContents"/>
              <w:spacing w:before="0" w:after="283"/>
              <w:rPr/>
            </w:pPr>
            <w:r>
              <w:rPr/>
              <w:t> </w:t>
            </w:r>
          </w:p>
        </w:tc>
        <w:tc>
          <w:tcPr>
            <w:tcW w:w="136" w:type="dxa"/>
            <w:tcBorders/>
            <w:shd w:fill="auto" w:val="clear"/>
            <w:tcMar>
              <w:top w:w="0" w:type="dxa"/>
              <w:bottom w:w="0" w:type="dxa"/>
            </w:tcMar>
            <w:vAlign w:val="bottom"/>
          </w:tcPr>
          <w:p>
            <w:pPr>
              <w:pStyle w:val="TableContents"/>
              <w:spacing w:before="0" w:after="283"/>
              <w:jc w:val="left"/>
              <w:rPr/>
            </w:pPr>
            <w:r>
              <w:rPr/>
              <w:t> </w:t>
            </w:r>
          </w:p>
        </w:tc>
      </w:tr>
      <w:tr>
        <w:trPr/>
        <w:tc>
          <w:tcPr>
            <w:tcW w:w="377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Secured Debentures</w:t>
            </w:r>
          </w:p>
        </w:tc>
        <w:tc>
          <w:tcPr>
            <w:tcW w:w="110" w:type="dxa"/>
            <w:tcBorders/>
            <w:shd w:fill="auto" w:val="clear"/>
            <w:tcMar>
              <w:top w:w="0" w:type="dxa"/>
              <w:bottom w:w="0" w:type="dxa"/>
            </w:tcMar>
            <w:vAlign w:val="bottom"/>
          </w:tcPr>
          <w:p>
            <w:pPr>
              <w:pStyle w:val="TableContents"/>
              <w:spacing w:before="0" w:after="283"/>
              <w:rPr/>
            </w:pPr>
            <w:r>
              <w:rPr/>
              <w:t> </w:t>
            </w:r>
          </w:p>
        </w:tc>
        <w:tc>
          <w:tcPr>
            <w:tcW w:w="1308"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540"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59"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9" w:type="dxa"/>
            <w:tcBorders/>
            <w:shd w:fill="auto" w:val="clear"/>
            <w:tcMar>
              <w:top w:w="0" w:type="dxa"/>
              <w:bottom w:w="0" w:type="dxa"/>
            </w:tcMar>
            <w:vAlign w:val="bottom"/>
          </w:tcPr>
          <w:p>
            <w:pPr>
              <w:pStyle w:val="TableContents"/>
              <w:spacing w:before="0" w:after="283"/>
              <w:rPr/>
            </w:pPr>
            <w:r>
              <w:rPr/>
              <w:t> </w:t>
            </w:r>
          </w:p>
        </w:tc>
        <w:tc>
          <w:tcPr>
            <w:tcW w:w="1318" w:type="dxa"/>
            <w:gridSpan w:val="2"/>
            <w:tcBorders/>
            <w:shd w:fill="auto" w:val="clear"/>
            <w:tcMar>
              <w:top w:w="0" w:type="dxa"/>
              <w:bottom w:w="0" w:type="dxa"/>
            </w:tcMar>
            <w:vAlign w:val="bottom"/>
          </w:tcPr>
          <w:p>
            <w:pPr>
              <w:pStyle w:val="TableContents"/>
              <w:spacing w:before="0" w:after="283"/>
              <w:rPr/>
            </w:pPr>
            <w:r>
              <w:rPr/>
              <w:t> </w:t>
            </w:r>
          </w:p>
        </w:tc>
        <w:tc>
          <w:tcPr>
            <w:tcW w:w="136" w:type="dxa"/>
            <w:tcBorders/>
            <w:shd w:fill="auto" w:val="clear"/>
            <w:tcMar>
              <w:top w:w="0" w:type="dxa"/>
              <w:bottom w:w="0" w:type="dxa"/>
            </w:tcMar>
            <w:vAlign w:val="bottom"/>
          </w:tcPr>
          <w:p>
            <w:pPr>
              <w:pStyle w:val="TableContents"/>
              <w:spacing w:before="0" w:after="283"/>
              <w:jc w:val="left"/>
              <w:rPr/>
            </w:pPr>
            <w:r>
              <w:rPr/>
              <w:t> </w:t>
            </w:r>
          </w:p>
        </w:tc>
      </w:tr>
      <w:tr>
        <w:trPr/>
        <w:tc>
          <w:tcPr>
            <w:tcW w:w="3775"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Secured Notes, 30% interest</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170"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65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3"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54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9" w:type="dxa"/>
            <w:tcBorders/>
            <w:shd w:fill="auto" w:val="clear"/>
            <w:tcMar>
              <w:top w:w="0" w:type="dxa"/>
              <w:bottom w:w="0" w:type="dxa"/>
            </w:tcMar>
            <w:vAlign w:val="bottom"/>
          </w:tcPr>
          <w:p>
            <w:pPr>
              <w:pStyle w:val="TableContents"/>
              <w:spacing w:before="0" w:after="283"/>
              <w:jc w:val="right"/>
              <w:rPr/>
            </w:pPr>
            <w:r>
              <w:rPr/>
              <w:t> </w:t>
            </w:r>
          </w:p>
        </w:tc>
        <w:tc>
          <w:tcPr>
            <w:tcW w:w="171"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36"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Debentures, the Company issued a total of 270,000 warrants which have an exercise term of two years from the date of issuance. Management estimated the fair value of these warrants to be $60,000 using the Black-Scholes pricing model with an expected life of 2 years, a risk free interest rate of 0.95%, a dividend yield of 0%, and an expected volatility of 236.02%.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2010, the Company issued 687,305 common shares pursuant to the conversion of the 2009 secured debentures with a face value of $135,000 plus accrued interest of $49,155.</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6:                    LOANS PAYABLE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at December 31, 2010, there were advances from third parties in the amount of $425,000 (2009 - $Nil), which are due on demand. These advances were made to the Company with the expectation of being converted into convertible debentures (Note 12). The Company is accruing interest of 10% per annum on the loans which will be rolled into the new convertible notes issued subsequent to year end.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7:                    RELATED PARTY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2010, the Company entered into transactions with certain officers and directors of the Company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65" w:name="hangingindent31"/>
      <w:bookmarkStart w:id="466" w:name="hangingindent31"/>
      <w:bookmarkEnd w:id="466"/>
    </w:p>
    <w:tbl>
      <w:tblPr>
        <w:tblW w:w="5000" w:type="pct"/>
        <w:jc w:val="center"/>
        <w:tblInd w:w="0" w:type="dxa"/>
        <w:tblCellMar>
          <w:top w:w="0" w:type="dxa"/>
          <w:left w:w="0" w:type="dxa"/>
          <w:bottom w:w="0" w:type="dxa"/>
          <w:right w:w="0" w:type="dxa"/>
        </w:tblCellMar>
      </w:tblPr>
      <w:tblGrid>
        <w:gridCol w:w="96"/>
        <w:gridCol w:w="207"/>
        <w:gridCol w:w="9902"/>
      </w:tblGrid>
      <w:tr>
        <w:trPr/>
        <w:tc>
          <w:tcPr>
            <w:tcW w:w="96" w:type="dxa"/>
            <w:tcBorders/>
            <w:shd w:fill="auto" w:val="clear"/>
          </w:tcPr>
          <w:p>
            <w:pPr>
              <w:pStyle w:val="TableContents"/>
              <w:spacing w:before="0" w:after="0"/>
              <w:rPr/>
            </w:pPr>
            <w:r>
              <w:rPr/>
              <w:t xml:space="preserve">  </w:t>
            </w:r>
          </w:p>
        </w:tc>
        <w:tc>
          <w:tcPr>
            <w:tcW w:w="20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0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$329,177 (2009 - $260,242) in management and directors’ fees and $72,000 (2009 - $42,000) in research and development services paid to officers and directors during the period;</w:t>
            </w:r>
          </w:p>
        </w:tc>
      </w:tr>
    </w:tbl>
    <w:p>
      <w:pPr>
        <w:pStyle w:val="TextBody"/>
        <w:spacing w:before="0" w:after="0"/>
        <w:ind w:left="0" w:right="0" w:hanging="0"/>
        <w:rPr/>
      </w:pPr>
      <w:r>
        <w:rPr/>
      </w:r>
    </w:p>
    <w:p>
      <w:pPr>
        <w:pStyle w:val="Normal"/>
        <w:spacing w:before="0" w:after="0"/>
        <w:rPr>
          <w:sz w:val="4"/>
          <w:szCs w:val="4"/>
        </w:rPr>
      </w:pPr>
      <w:r>
        <w:rPr>
          <w:sz w:val="4"/>
          <w:szCs w:val="4"/>
        </w:rPr>
      </w:r>
      <w:bookmarkStart w:id="467" w:name="hangingindent32"/>
      <w:bookmarkStart w:id="468" w:name="hangingindent32"/>
      <w:bookmarkEnd w:id="468"/>
    </w:p>
    <w:tbl>
      <w:tblPr>
        <w:tblW w:w="5000" w:type="pct"/>
        <w:jc w:val="center"/>
        <w:tblInd w:w="0" w:type="dxa"/>
        <w:tblCellMar>
          <w:top w:w="0" w:type="dxa"/>
          <w:left w:w="0" w:type="dxa"/>
          <w:bottom w:w="0" w:type="dxa"/>
          <w:right w:w="0" w:type="dxa"/>
        </w:tblCellMar>
      </w:tblPr>
      <w:tblGrid>
        <w:gridCol w:w="99"/>
        <w:gridCol w:w="225"/>
        <w:gridCol w:w="9881"/>
      </w:tblGrid>
      <w:tr>
        <w:trPr/>
        <w:tc>
          <w:tcPr>
            <w:tcW w:w="99" w:type="dxa"/>
            <w:tcBorders/>
            <w:shd w:fill="auto" w:val="clear"/>
          </w:tcPr>
          <w:p>
            <w:pPr>
              <w:pStyle w:val="TableContents"/>
              <w:spacing w:before="0" w:after="0"/>
              <w:rPr/>
            </w:pPr>
            <w:r>
              <w:rPr/>
              <w:t xml:space="preserve">  </w:t>
            </w:r>
          </w:p>
        </w:tc>
        <w:tc>
          <w:tcPr>
            <w:tcW w:w="22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8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recorded $1,087,915 (2009 - $2,019,660) in stock based compensation for the fair value of options granted to management that were granted and or vested during the period;</w:t>
            </w:r>
          </w:p>
        </w:tc>
      </w:tr>
    </w:tbl>
    <w:p>
      <w:pPr>
        <w:pStyle w:val="TextBody"/>
        <w:spacing w:before="0" w:after="0"/>
        <w:ind w:left="0" w:right="0" w:hanging="0"/>
        <w:rPr/>
      </w:pPr>
      <w:r>
        <w:rPr/>
      </w:r>
    </w:p>
    <w:p>
      <w:pPr>
        <w:pStyle w:val="Normal"/>
        <w:spacing w:before="0" w:after="0"/>
        <w:rPr>
          <w:sz w:val="4"/>
          <w:szCs w:val="4"/>
        </w:rPr>
      </w:pPr>
      <w:r>
        <w:rPr>
          <w:sz w:val="4"/>
          <w:szCs w:val="4"/>
        </w:rPr>
      </w:r>
      <w:bookmarkStart w:id="469" w:name="hangingindent33"/>
      <w:bookmarkStart w:id="470" w:name="hangingindent33"/>
      <w:bookmarkEnd w:id="470"/>
    </w:p>
    <w:tbl>
      <w:tblPr>
        <w:tblW w:w="5000" w:type="pct"/>
        <w:jc w:val="center"/>
        <w:tblInd w:w="0" w:type="dxa"/>
        <w:tblCellMar>
          <w:top w:w="0" w:type="dxa"/>
          <w:left w:w="0" w:type="dxa"/>
          <w:bottom w:w="0" w:type="dxa"/>
          <w:right w:w="0" w:type="dxa"/>
        </w:tblCellMar>
      </w:tblPr>
      <w:tblGrid>
        <w:gridCol w:w="92"/>
        <w:gridCol w:w="203"/>
        <w:gridCol w:w="9910"/>
      </w:tblGrid>
      <w:tr>
        <w:trPr/>
        <w:tc>
          <w:tcPr>
            <w:tcW w:w="92" w:type="dxa"/>
            <w:tcBorders/>
            <w:shd w:fill="auto" w:val="clear"/>
          </w:tcPr>
          <w:p>
            <w:pPr>
              <w:pStyle w:val="TableContents"/>
              <w:spacing w:before="0" w:after="0"/>
              <w:rPr/>
            </w:pPr>
            <w:r>
              <w:rPr/>
              <w:t xml:space="preserve">  </w:t>
            </w:r>
          </w:p>
        </w:tc>
        <w:tc>
          <w:tcPr>
            <w:tcW w:w="20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1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$nil (2009 - $65,984) in interest and finance charges on promissory notes due to related parties during the period, which were settled in connection with an equity issuance effective June 4, 2009;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71" w:name="hangingindent34"/>
      <w:bookmarkStart w:id="472" w:name="hangingindent34"/>
      <w:bookmarkEnd w:id="472"/>
    </w:p>
    <w:tbl>
      <w:tblPr>
        <w:tblW w:w="5000" w:type="pct"/>
        <w:jc w:val="center"/>
        <w:tblInd w:w="0" w:type="dxa"/>
        <w:tblCellMar>
          <w:top w:w="0" w:type="dxa"/>
          <w:left w:w="0" w:type="dxa"/>
          <w:bottom w:w="0" w:type="dxa"/>
          <w:right w:w="0" w:type="dxa"/>
        </w:tblCellMar>
      </w:tblPr>
      <w:tblGrid>
        <w:gridCol w:w="92"/>
        <w:gridCol w:w="218"/>
        <w:gridCol w:w="9895"/>
      </w:tblGrid>
      <w:tr>
        <w:trPr/>
        <w:tc>
          <w:tcPr>
            <w:tcW w:w="92" w:type="dxa"/>
            <w:tcBorders/>
            <w:shd w:fill="auto" w:val="clear"/>
          </w:tcPr>
          <w:p>
            <w:pPr>
              <w:pStyle w:val="TableContents"/>
              <w:spacing w:before="0" w:after="0"/>
              <w:rPr/>
            </w:pPr>
            <w:r>
              <w:rPr/>
              <w:t xml:space="preserve">  </w:t>
            </w:r>
          </w:p>
        </w:tc>
        <w:tc>
          <w:tcPr>
            <w:tcW w:w="21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89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$nil (2009 - $130,065) in interest and finance charges related to an agreement to issue warrants in connection with extending the terms of the promissory notes due to related parties during the period.</w:t>
            </w:r>
          </w:p>
        </w:tc>
      </w:tr>
    </w:tbl>
    <w:p>
      <w:pPr>
        <w:pStyle w:val="TextBody"/>
        <w:spacing w:before="0" w:after="0"/>
        <w:ind w:left="0" w:right="0" w:hanging="0"/>
        <w:rPr/>
      </w:pPr>
      <w:r>
        <w:rPr/>
      </w:r>
    </w:p>
    <w:p>
      <w:pPr>
        <w:pStyle w:val="Normal"/>
        <w:spacing w:before="0" w:after="0"/>
        <w:rPr>
          <w:sz w:val="4"/>
          <w:szCs w:val="4"/>
        </w:rPr>
      </w:pPr>
      <w:r>
        <w:rPr>
          <w:sz w:val="4"/>
          <w:szCs w:val="4"/>
        </w:rPr>
      </w:r>
      <w:bookmarkStart w:id="473" w:name="hangingindent35"/>
      <w:bookmarkStart w:id="474" w:name="hangingindent35"/>
      <w:bookmarkEnd w:id="474"/>
    </w:p>
    <w:tbl>
      <w:tblPr>
        <w:tblW w:w="5000" w:type="pct"/>
        <w:jc w:val="center"/>
        <w:tblInd w:w="0" w:type="dxa"/>
        <w:tblCellMar>
          <w:top w:w="0" w:type="dxa"/>
          <w:left w:w="0" w:type="dxa"/>
          <w:bottom w:w="0" w:type="dxa"/>
          <w:right w:w="0" w:type="dxa"/>
        </w:tblCellMar>
      </w:tblPr>
      <w:tblGrid>
        <w:gridCol w:w="80"/>
        <w:gridCol w:w="191"/>
        <w:gridCol w:w="9934"/>
      </w:tblGrid>
      <w:tr>
        <w:trPr/>
        <w:tc>
          <w:tcPr>
            <w:tcW w:w="80" w:type="dxa"/>
            <w:tcBorders/>
            <w:shd w:fill="auto" w:val="clear"/>
          </w:tcPr>
          <w:p>
            <w:pPr>
              <w:pStyle w:val="TableContents"/>
              <w:spacing w:before="0" w:after="0"/>
              <w:rPr/>
            </w:pPr>
            <w:r>
              <w:rPr/>
              <w:t xml:space="preserve">  </w:t>
            </w:r>
          </w:p>
        </w:tc>
        <w:tc>
          <w:tcPr>
            <w:tcW w:w="19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issued $nil (2009 - $15,000) for a secured promissory note bearing interest at 30% per annum and issued 30,000 transferable and registerable share purchase warrants with an exercise price of $0.20 per share for an exercise period of up to two years from the issuance date to a direct family member of an officer of the Company.</w:t>
            </w:r>
          </w:p>
        </w:tc>
      </w:tr>
    </w:tbl>
    <w:p>
      <w:pPr>
        <w:pStyle w:val="TextBody"/>
        <w:spacing w:before="0" w:after="0"/>
        <w:ind w:left="0" w:right="0" w:hanging="0"/>
        <w:rPr/>
      </w:pPr>
      <w:r>
        <w:rPr/>
      </w:r>
    </w:p>
    <w:p>
      <w:pPr>
        <w:pStyle w:val="Normal"/>
        <w:spacing w:before="0" w:after="0"/>
        <w:rPr>
          <w:sz w:val="4"/>
          <w:szCs w:val="4"/>
        </w:rPr>
      </w:pPr>
      <w:r>
        <w:rPr>
          <w:sz w:val="4"/>
          <w:szCs w:val="4"/>
        </w:rPr>
      </w:r>
      <w:bookmarkStart w:id="475" w:name="hangingindent36"/>
      <w:bookmarkStart w:id="476" w:name="hangingindent36"/>
      <w:bookmarkEnd w:id="476"/>
    </w:p>
    <w:tbl>
      <w:tblPr>
        <w:tblW w:w="5000" w:type="pct"/>
        <w:jc w:val="center"/>
        <w:tblInd w:w="0" w:type="dxa"/>
        <w:tblCellMar>
          <w:top w:w="0" w:type="dxa"/>
          <w:left w:w="0" w:type="dxa"/>
          <w:bottom w:w="0" w:type="dxa"/>
          <w:right w:w="0" w:type="dxa"/>
        </w:tblCellMar>
      </w:tblPr>
      <w:tblGrid>
        <w:gridCol w:w="87"/>
        <w:gridCol w:w="168"/>
        <w:gridCol w:w="9950"/>
      </w:tblGrid>
      <w:tr>
        <w:trPr/>
        <w:tc>
          <w:tcPr>
            <w:tcW w:w="87" w:type="dxa"/>
            <w:tcBorders/>
            <w:shd w:fill="auto" w:val="clear"/>
          </w:tcPr>
          <w:p>
            <w:pPr>
              <w:pStyle w:val="TableContents"/>
              <w:spacing w:before="0" w:after="0"/>
              <w:rPr/>
            </w:pPr>
            <w:r>
              <w:rPr/>
              <w:t xml:space="preserve">  </w:t>
            </w:r>
          </w:p>
        </w:tc>
        <w:tc>
          <w:tcPr>
            <w:tcW w:w="16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(f)</w:t>
            </w:r>
          </w:p>
        </w:tc>
        <w:tc>
          <w:tcPr>
            <w:tcW w:w="995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During the period the Company settled $Nil (2009 - $1,543,233) in loans and trade payables with family members of officers, directors, officers and private companies controlled by them resulting in a loss on debt of $Nil (2009 - $5,401,316)</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related party transactions (other than stock based consideration) involving provision of services were recorded at the exchange amount, which is the amount established and agreed to by the related parties as representing fair value. The Company accounted for the debt settlement transactions with related parties at management’s estimate of fair value, using amounts similar to arm’s length settlements for debt settled.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2010, the Company had amounts owing to directors and officers of $259,305 (2009 - $16,100). These amounts were in the normal course of operations. Amounts due to related parties are unsecured, non-interest bearing and have no specific terms of repayment.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7" w:name="PGBRK43"/>
      <w:bookmarkStart w:id="478" w:name="PGBRK43"/>
      <w:bookmarkEnd w:id="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9" w:name="FTR43"/>
      <w:bookmarkStart w:id="480" w:name="FTR43"/>
      <w:bookmarkEnd w:id="4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1" w:name="GLFTR43"/>
      <w:bookmarkEnd w:id="4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2" w:name="PN43"/>
      <w:bookmarkEnd w:id="482"/>
      <w:r>
        <w:rPr>
          <w:rFonts w:ascii="Times New Roman" w:hAnsi="Times New Roman"/>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3" w:name="HDR43"/>
      <w:bookmarkStart w:id="484" w:name="HDR43"/>
      <w:bookmarkEnd w:id="4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5" w:name="GLHDR43"/>
      <w:bookmarkEnd w:id="4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8:                    CAPITAL STOCK</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Share Capital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Prior to March 27, 2007, the authorized capital of the Company consisted of 50,000,000 common shares with $0.001 par value and 5,000,000 non-voting preferred shares with $0.001 par value. On March 27, 2007, the Company’s Articles of Incorporation were amended to increase the authorized shares of common stock from 50,000,000 shares of common stock to 200,000,000 shares. On June 28, 2007, the Company completed a reverse stock split thereby issuing 1 new share for each 2.5 outstanding shares of the Company’s common stock.  Accordingly, the Company’s authorized share capital was decreased from 200,000,000 common shares to 80,000,000 common shares. On January 22, 2009 the authorized shares of common stock increased from 80,000,000 shares to 500,000,000 shares. Effective July 10, 2009, the Company executed a further 1 for 10 reverse stock split while simultaneously reducing the authorized shares of common stock to 50,000,000 common shares with a $0.001 par value. Effective February 21, 2010, the Company increased its authorized shares of common stock from 50,000,000 shares to 150,000,000 common shares. The Company maintained its authorized shares of preferred stock at 5,000,000.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prior period share transactions included in the company’s stock transactions and balances have been retroactively converted in these financial statements to give effect to the 1 for 10 reverse stock split noted above.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2010 Share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450,000 shares of its common stock pursuant to a consulting services agreement. At the time of issuance the shares had a quoted market value of $0.52 per share, and $234,000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265,000 shares of its common stock pursuant to a debt settlement agreement (refer to Note 3). The shares were valued at the time of the debt settlement agreement of $0.92 per share. The quoted market price of the shares was $0.92 per share at the time of the debt settlement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14, 2010, the Company issued 10,400 shares of its common stock to correct an error in the share registry which occurred in the data exchange which was identified after the change of the transfer agent.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26, 2010, the Company issued 80,000 shares of its common stock pursuant to a consulting services agreement. At the time of issuance the shares had a quoted market value of $0.36 per share, and $28,800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 2010, the Company issued 40,000 shares of its common stock pursuant to a consulting services agreement. At the time of issuance the shares had a quoted market value of $0.32 per share, and $12,800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4, 2010, $90,412 of trade debt was settled in exchange for 361,647 common shares of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4, 2010, the Company issued 687,305 common shares pursuant to the conversion of the 2009 secured debenture with a face value of $135,000 plus accrued interest of approximately $49,155 (refer to Note 5).</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2009 Share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Effective June 4, 2009, the Company completed a debt conversion and assignment transaction resulting in an obligation to issue 31,812,065 common shares in conjunction with the retirement of $3,181,207 in accounts payable and accrued liabilities, notes payable and related party debt. The shares were issued on July 1, 2009. Management estimated the fair value of the resultant obligation to issue shares to be $15,215,429 based on quoted market price of the Company’s shares. Included in the statement of operations is a loss on debt settlement of $11,134,223 </w:t>
      </w:r>
      <w:r>
        <w:rPr>
          <w:rFonts w:ascii="times new roman" w:hAnsi="times new roman"/>
          <w:strike/>
          <w:color w:val="FF0000"/>
          <w:sz w:val="20"/>
        </w:rPr>
        <w:t>net of transaction costs</w:t>
      </w:r>
      <w:r>
        <w:rPr>
          <w:rFonts w:ascii="Times New Roman" w:hAnsi="Times New Roman"/>
          <w:sz w:val="20"/>
        </w:rPr>
        <w:t>. Of the 33,812,065 share issuance, 2,000,000 shares were issued pursuant to a consulting services agreement related to the debt conversion and assignment transaction. The 2,000,000 share issuance has an estimated fair value of $900,000. The Company also settled accounts payable and incurred a loss on debt settlement of $11,314.</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10, 2009, the Company issued 162,500 shares of its common stock pursuant to the exercise of 130,000 cashless warrants as a settlement with the warrant holders which included a waiver of rights to additional ratchet provisions. The warrants were originally issued in conjunction with a 2007 Loan and Security Agreement. At the time of issuance, the market price of shares was $1.10 per share and the estimated fair value of $178,750 was recorded as interest and financing charges.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10, 2009, the Company issued 25,000 shares of its restricted common stock pursuant to a consulting services agreement in relation to the settlement of financing a transaction. At the time of issuance, the market price of shares was $1.10 per share and the estimated fair value of $27,500 was recorded as stock-based consulting fees.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6" w:name="PGBRK44"/>
      <w:bookmarkStart w:id="487" w:name="PGBRK44"/>
      <w:bookmarkEnd w:id="4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8" w:name="FTR44"/>
      <w:bookmarkStart w:id="489" w:name="FTR44"/>
      <w:bookmarkEnd w:id="4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0" w:name="GLFTR44"/>
      <w:bookmarkEnd w:id="4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1" w:name="PN44"/>
      <w:bookmarkEnd w:id="491"/>
      <w:r>
        <w:rPr>
          <w:rFonts w:ascii="Times New Roman" w:hAnsi="Times New Roman"/>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2" w:name="HDR44"/>
      <w:bookmarkStart w:id="493" w:name="HDR44"/>
      <w:bookmarkEnd w:id="4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4" w:name="GLHDR44"/>
      <w:bookmarkEnd w:id="4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26, 2009, the Company issued 50,000 shares of its common stock pursuant to the exercise of 40,000 cashless warrants as a settlement with warrant holders which included a waiver of rights to additional ratchet provisions. The warrants were originally issued in conjunction with a 2007 Loan and Security Agreement. At the time of issuance, the market price of shares was $1.28 per share and the estimated fair value of $64,000 was recorded as interest and financing charges.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20, 2009, the Company issued 314,466 shares of its common stock pursuant to the exercise of 385,532 warrants on a cashless basis for $Nil proceeds. The warrants were originally issued in conjunction with the 2009 Secured Loan Agreement (refer to Note 5). The fair value of these shares was determined by management to be $62,893.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November 6, 2009, the Company completed a private placement for 625,000 Units at a subscription price of $0.80 per Unit for gross proceeds of $500,000. Each Unit is comprised of one common share and one non-transferable share purchase warrant of the Company. Each warrant entitles the holder to purchase an additional common share of the Company at an exercise price of $1.20 per warrant share, for a period of five years from the date of issuance. The management determined the fair market value of the warrants to be $250,000. If after one year from the issuance of this warrant, there is no effective Registration Statement registering, or no current prospectus available for, the resale of the warrant share by the holder, then the holder has the right to exercise this warrant by means of cashless exercise.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November 6, 2009, the Company completed a private placement for 125,000 Units at a subscription price of $0.80 per Unit for gross proceeds of $100,000. Each Unit is comprised of one common share and one non-transferable share purchase warrant of the Company. Each warrant entitles the holder to purchase an additional common share of the Company at an exercise price of $1.20 per warrant share, for a period of five years from the date of issuance. The management determined the fair market value of the warrants to be $50,000. If after one year from the issuance of this warrant, there is no effective Registration Statement registering, or no current prospectus available for, the resale of the warrant share by the holder, then the holder has the right to exercise this warrant by means of cashless exercise.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November 30, 2009, the Company completed a private placement for 125,000 Units at a subscription price of $0.80 per Unit for gross proceeds of $100,000. Each Unit is comprised of one common share and one non-transferable share purchase warrant of the Company. Each warrant entitles the holder to purchase an additional common share of the Company at an exercise price of $1.20 per warrant share, for a period of five years from the date of issuance. The management determined the fair market value of the warrants to be $61,875. If after one year from the issuance of this warrant, there is no effective Registration Statement registering, or no current prospectus available for, the resale of the warrant share by the holder, then the holder has the right to exercise this warrant by means of cashless exercise.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November 30, 2009, the Company issued 707,542 shares of its common stock pursuant to the exercise of 915,642 cashless warrants. The warrants were originally issued in conjunction with the 2009 Secured Loan Agreement (refer to Note 5). The fair value of these shares was determined by management to be $141,508.</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separately allocated the fair market value of the warrants attached to private placement units during the prior fiscal year.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cashless exercise provision of the warrants in the November 2009 private placements provides that the holder shall be entitled to receive a certificate for the number of warrant shares equal to the quotient obtained by diving {(A-B) (X)} by (A), where: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 the volume weighted average price on the trading day immediately preceding the date of such election;</w:t>
      </w:r>
    </w:p>
    <w:p>
      <w:pPr>
        <w:pStyle w:val="TextBody"/>
        <w:spacing w:before="0" w:after="0"/>
        <w:ind w:left="0" w:right="0" w:hanging="0"/>
        <w:jc w:val="left"/>
        <w:rPr>
          <w:rFonts w:ascii="Times New Roman" w:hAnsi="Times New Roman"/>
          <w:sz w:val="20"/>
        </w:rPr>
      </w:pPr>
      <w:r>
        <w:rPr>
          <w:rFonts w:ascii="Times New Roman" w:hAnsi="Times New Roman"/>
          <w:sz w:val="20"/>
        </w:rPr>
        <w:t>(B) = the exercise price of this warrant, as adjusted; and</w:t>
      </w:r>
    </w:p>
    <w:p>
      <w:pPr>
        <w:pStyle w:val="TextBody"/>
        <w:spacing w:before="0" w:after="0"/>
        <w:ind w:left="0" w:right="0" w:hanging="0"/>
        <w:jc w:val="left"/>
        <w:rPr>
          <w:rFonts w:ascii="Times New Roman" w:hAnsi="Times New Roman"/>
          <w:sz w:val="20"/>
        </w:rPr>
      </w:pPr>
      <w:r>
        <w:rPr>
          <w:rFonts w:ascii="Times New Roman" w:hAnsi="Times New Roman"/>
          <w:sz w:val="20"/>
        </w:rPr>
        <w:t>(X) = the number of warrant shares issuable upon exercise of this warrant in accordance with the terms of this warrants by means of a cash exercise rather than a cashless exercise.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If not exercised prior to the date on which the warrants terminate, the warrants shall be automatically exercised via a cashless exercise on that termination date if the volume weighted average price on that date is higher than the exercise price.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Stock Compensation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5" w:name="PGBRK45"/>
      <w:bookmarkStart w:id="496" w:name="PGBRK45"/>
      <w:bookmarkEnd w:id="4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7" w:name="FTR45"/>
      <w:bookmarkStart w:id="498" w:name="FTR45"/>
      <w:bookmarkEnd w:id="4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9" w:name="GLFTR45"/>
      <w:bookmarkEnd w:id="4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0" w:name="PN45"/>
      <w:bookmarkEnd w:id="500"/>
      <w:r>
        <w:rPr>
          <w:rFonts w:ascii="Times New Roman" w:hAnsi="Times New Roman"/>
          <w:sz w:val="20"/>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1" w:name="HDR45"/>
      <w:bookmarkStart w:id="502" w:name="HDR45"/>
      <w:bookmarkEnd w:id="5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3" w:name="GLHDR45"/>
      <w:bookmarkEnd w:id="5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8, 2007, a total of 632,000 stock options were granted, under 2007 Stock Option plan, at an exercise price of $2.50 per share. The term of these options is ten years. Of the 632,000 options granted, 310,000 vested upon grant, 242,000 vested in one year, 40,000 vested in two years and 40,000 vested in three years. The aggregate fair value of these options was estimated at $1,179,600, or $1.90 per option, using the Black-Scholes option pricing model with a risk free interest rate of 5.26%, a dividend yield of 0%, an expected volatility of 83%, and expected lives between 2 and 5 years. The earned portion of the value of these options during the year ended December 31, 2010 was $Nil (2009 - $23,500) which was recorded as stock based management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2009, the Company granted a total of 3,326,000 stock options at an exercise price of $0.97 per share to consultants and management, of which 1,913,000 vested immediately and the remaining 1,413,000 vest in one year. The term of the options is ten years. Additionally, on October 14, 2009, the Company approved the repricing of certain stock options issued to consultants and management. Options with an exercise price of $2.50 were repriced to $0.97 per share and the aggregate fair value of the repriced options is $5,840. The aggregate fair value of the new grants was estimated at $3,192,960, or $0.96 per option, using the Black-Scholes option pricing model with a risk free interest rate of 2.36%, a dividend yield of 0%, an expected volatility of 236%, and an expected life of 5 years. The recognized portion of the value of these options during the year ended December 31, 2010 was $339,120 (2009 - $Nil) which was recorded as stock based consulting and management compensation.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September 7, 2010, the Company granted 250,000 stock options at an exercise price of $0.35 per share, vesting monthly over a twenty four month period, to a director of the Company. The term of the options is ten years. The fair value of the new grant was estimated at $47,500, or $0.19 per option, using the Black-Scholes option pricing model with a risk free interest rate of 2.61%, a dividend yield of 0%, an expected volatility of 249.6%, and an expected life of 10 years. The expensed portion of the value of these options during the year ended December 31, 2010 was $1,979, which was recorded as stock based management compensation.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Share purchase options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stock options as of December 31, 2010 and changes during the period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620"/>
        <w:gridCol w:w="113"/>
        <w:gridCol w:w="113"/>
        <w:gridCol w:w="1192"/>
        <w:gridCol w:w="124"/>
        <w:gridCol w:w="113"/>
        <w:gridCol w:w="181"/>
        <w:gridCol w:w="1072"/>
        <w:gridCol w:w="124"/>
        <w:gridCol w:w="113"/>
        <w:gridCol w:w="136"/>
        <w:gridCol w:w="1177"/>
        <w:gridCol w:w="127"/>
      </w:tblGrid>
      <w:tr>
        <w:trPr/>
        <w:tc>
          <w:tcPr>
            <w:tcW w:w="5620"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30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Options</w:t>
            </w:r>
          </w:p>
        </w:tc>
        <w:tc>
          <w:tcPr>
            <w:tcW w:w="12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25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2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31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27"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620" w:type="dxa"/>
            <w:tcBorders/>
            <w:shd w:fill="auto" w:val="clear"/>
            <w:tcMar>
              <w:top w:w="0" w:type="dxa"/>
              <w:bottom w:w="0" w:type="dxa"/>
            </w:tcMar>
            <w:vAlign w:val="bottom"/>
          </w:tcPr>
          <w:p>
            <w:pPr>
              <w:pStyle w:val="TableContents"/>
              <w:spacing w:before="0" w:after="283"/>
              <w:rPr/>
            </w:pPr>
            <w:r>
              <w:rPr/>
              <w:t xml:space="preserve">  </w:t>
            </w:r>
          </w:p>
        </w:tc>
        <w:tc>
          <w:tcPr>
            <w:tcW w:w="113" w:type="dxa"/>
            <w:tcBorders/>
            <w:shd w:fill="auto" w:val="clear"/>
            <w:tcMar>
              <w:top w:w="0" w:type="dxa"/>
              <w:bottom w:w="0" w:type="dxa"/>
            </w:tcMar>
            <w:vAlign w:val="bottom"/>
          </w:tcPr>
          <w:p>
            <w:pPr>
              <w:pStyle w:val="TableContents"/>
              <w:spacing w:before="0" w:after="283"/>
              <w:rPr/>
            </w:pPr>
            <w:r>
              <w:rPr/>
              <w:t> </w:t>
            </w:r>
          </w:p>
        </w:tc>
        <w:tc>
          <w:tcPr>
            <w:tcW w:w="1305" w:type="dxa"/>
            <w:gridSpan w:val="2"/>
            <w:tcBorders/>
            <w:shd w:fill="auto" w:val="clear"/>
            <w:tcMar>
              <w:top w:w="0" w:type="dxa"/>
              <w:bottom w:w="0" w:type="dxa"/>
            </w:tcMar>
            <w:vAlign w:val="bottom"/>
          </w:tcPr>
          <w:p>
            <w:pPr>
              <w:pStyle w:val="TableContents"/>
              <w:spacing w:before="0" w:after="283"/>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253" w:type="dxa"/>
            <w:gridSpan w:val="2"/>
            <w:tcBorders/>
            <w:shd w:fill="auto" w:val="clear"/>
            <w:tcMar>
              <w:top w:w="0" w:type="dxa"/>
              <w:bottom w:w="0" w:type="dxa"/>
            </w:tcMar>
            <w:vAlign w:val="bottom"/>
          </w:tcPr>
          <w:p>
            <w:pPr>
              <w:pStyle w:val="TableContents"/>
              <w:spacing w:before="0" w:after="283"/>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313" w:type="dxa"/>
            <w:gridSpan w:val="2"/>
            <w:tcBorders/>
            <w:shd w:fill="auto" w:val="clear"/>
            <w:tcMar>
              <w:top w:w="0" w:type="dxa"/>
              <w:bottom w:w="0" w:type="dxa"/>
            </w:tcMar>
            <w:vAlign w:val="bottom"/>
          </w:tcPr>
          <w:p>
            <w:pPr>
              <w:pStyle w:val="TableContents"/>
              <w:spacing w:before="0" w:after="283"/>
              <w:rPr/>
            </w:pPr>
            <w:r>
              <w:rPr/>
              <w:t> </w:t>
            </w:r>
          </w:p>
        </w:tc>
        <w:tc>
          <w:tcPr>
            <w:tcW w:w="127" w:type="dxa"/>
            <w:tcBorders/>
            <w:shd w:fill="auto" w:val="clear"/>
            <w:tcMar>
              <w:top w:w="0" w:type="dxa"/>
              <w:bottom w:w="0" w:type="dxa"/>
            </w:tcMar>
            <w:vAlign w:val="bottom"/>
          </w:tcPr>
          <w:p>
            <w:pPr>
              <w:pStyle w:val="TableContents"/>
              <w:spacing w:before="0" w:after="283"/>
              <w:jc w:val="left"/>
              <w:rPr/>
            </w:pPr>
            <w:r>
              <w:rPr/>
              <w:t> </w:t>
            </w:r>
          </w:p>
        </w:tc>
      </w:tr>
      <w:tr>
        <w:trPr/>
        <w:tc>
          <w:tcPr>
            <w:tcW w:w="562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2008</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9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632,000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36" w:type="dxa"/>
            <w:tcBorders/>
            <w:shd w:fill="auto" w:val="clear"/>
            <w:tcMar>
              <w:top w:w="0" w:type="dxa"/>
              <w:bottom w:w="0" w:type="dxa"/>
            </w:tcMar>
            <w:vAlign w:val="bottom"/>
          </w:tcPr>
          <w:p>
            <w:pPr>
              <w:pStyle w:val="TableContents"/>
              <w:spacing w:before="0" w:after="283"/>
              <w:jc w:val="left"/>
              <w:rPr/>
            </w:pPr>
            <w:r>
              <w:rPr/>
              <w:t> </w:t>
            </w:r>
          </w:p>
        </w:tc>
        <w:tc>
          <w:tcPr>
            <w:tcW w:w="11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9.44</w:t>
            </w:r>
          </w:p>
        </w:tc>
        <w:tc>
          <w:tcPr>
            <w:tcW w:w="127" w:type="dxa"/>
            <w:tcBorders/>
            <w:shd w:fill="auto" w:val="clear"/>
            <w:tcMar>
              <w:top w:w="0" w:type="dxa"/>
              <w:bottom w:w="0" w:type="dxa"/>
            </w:tcMar>
            <w:vAlign w:val="bottom"/>
          </w:tcPr>
          <w:p>
            <w:pPr>
              <w:pStyle w:val="TableContents"/>
              <w:spacing w:before="0" w:after="283"/>
              <w:jc w:val="left"/>
              <w:rPr/>
            </w:pPr>
            <w:r>
              <w:rPr/>
              <w:t> </w:t>
            </w:r>
          </w:p>
        </w:tc>
      </w:tr>
      <w:tr>
        <w:trPr/>
        <w:tc>
          <w:tcPr>
            <w:tcW w:w="562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9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3,326,000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1" w:type="dxa"/>
            <w:tcBorders/>
            <w:shd w:fill="auto" w:val="clear"/>
            <w:tcMar>
              <w:top w:w="0" w:type="dxa"/>
              <w:bottom w:w="0" w:type="dxa"/>
            </w:tcMar>
            <w:vAlign w:val="bottom"/>
          </w:tcPr>
          <w:p>
            <w:pPr>
              <w:pStyle w:val="TableContents"/>
              <w:spacing w:before="0" w:after="283"/>
              <w:jc w:val="left"/>
              <w:rPr/>
            </w:pPr>
            <w:r>
              <w:rPr/>
              <w:t> </w:t>
            </w:r>
          </w:p>
        </w:tc>
        <w:tc>
          <w:tcPr>
            <w:tcW w:w="107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36" w:type="dxa"/>
            <w:tcBorders/>
            <w:shd w:fill="auto" w:val="clear"/>
            <w:tcMar>
              <w:top w:w="0" w:type="dxa"/>
              <w:bottom w:w="0" w:type="dxa"/>
            </w:tcMar>
            <w:vAlign w:val="bottom"/>
          </w:tcPr>
          <w:p>
            <w:pPr>
              <w:pStyle w:val="TableContents"/>
              <w:spacing w:before="0" w:after="283"/>
              <w:jc w:val="left"/>
              <w:rPr/>
            </w:pPr>
            <w:r>
              <w:rPr/>
              <w:t> </w:t>
            </w:r>
          </w:p>
        </w:tc>
        <w:tc>
          <w:tcPr>
            <w:tcW w:w="11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27" w:type="dxa"/>
            <w:tcBorders/>
            <w:shd w:fill="auto" w:val="clear"/>
            <w:tcMar>
              <w:top w:w="0" w:type="dxa"/>
              <w:bottom w:w="0" w:type="dxa"/>
            </w:tcMar>
            <w:vAlign w:val="bottom"/>
          </w:tcPr>
          <w:p>
            <w:pPr>
              <w:pStyle w:val="TableContents"/>
              <w:spacing w:before="0" w:after="283"/>
              <w:jc w:val="left"/>
              <w:rPr/>
            </w:pPr>
            <w:r>
              <w:rPr/>
              <w:t> </w:t>
            </w:r>
          </w:p>
        </w:tc>
      </w:tr>
      <w:tr>
        <w:trPr/>
        <w:tc>
          <w:tcPr>
            <w:tcW w:w="5620"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Cancelled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9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(340,000</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7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27" w:type="dxa"/>
            <w:tcBorders/>
            <w:shd w:fill="auto" w:val="clear"/>
            <w:tcMar>
              <w:top w:w="0" w:type="dxa"/>
              <w:bottom w:w="0" w:type="dxa"/>
            </w:tcMar>
            <w:vAlign w:val="bottom"/>
          </w:tcPr>
          <w:p>
            <w:pPr>
              <w:pStyle w:val="TableContents"/>
              <w:spacing w:before="0" w:after="283"/>
              <w:jc w:val="left"/>
              <w:rPr/>
            </w:pPr>
            <w:r>
              <w:rPr/>
              <w:t> </w:t>
            </w:r>
          </w:p>
        </w:tc>
      </w:tr>
      <w:tr>
        <w:trPr/>
        <w:tc>
          <w:tcPr>
            <w:tcW w:w="562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9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3,618,000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1" w:type="dxa"/>
            <w:tcBorders/>
            <w:shd w:fill="auto" w:val="clear"/>
            <w:tcMar>
              <w:top w:w="0" w:type="dxa"/>
              <w:bottom w:w="0" w:type="dxa"/>
            </w:tcMar>
            <w:vAlign w:val="bottom"/>
          </w:tcPr>
          <w:p>
            <w:pPr>
              <w:pStyle w:val="TableContents"/>
              <w:spacing w:before="0" w:after="283"/>
              <w:jc w:val="left"/>
              <w:rPr/>
            </w:pPr>
            <w:r>
              <w:rPr/>
              <w:t> </w:t>
            </w:r>
          </w:p>
        </w:tc>
        <w:tc>
          <w:tcPr>
            <w:tcW w:w="107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36" w:type="dxa"/>
            <w:tcBorders/>
            <w:shd w:fill="auto" w:val="clear"/>
            <w:tcMar>
              <w:top w:w="0" w:type="dxa"/>
              <w:bottom w:w="0" w:type="dxa"/>
            </w:tcMar>
            <w:vAlign w:val="bottom"/>
          </w:tcPr>
          <w:p>
            <w:pPr>
              <w:pStyle w:val="TableContents"/>
              <w:spacing w:before="0" w:after="283"/>
              <w:jc w:val="left"/>
              <w:rPr/>
            </w:pPr>
            <w:r>
              <w:rPr/>
              <w:t> </w:t>
            </w:r>
          </w:p>
        </w:tc>
        <w:tc>
          <w:tcPr>
            <w:tcW w:w="11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9.60</w:t>
            </w:r>
          </w:p>
        </w:tc>
        <w:tc>
          <w:tcPr>
            <w:tcW w:w="127" w:type="dxa"/>
            <w:tcBorders/>
            <w:shd w:fill="auto" w:val="clear"/>
            <w:tcMar>
              <w:top w:w="0" w:type="dxa"/>
              <w:bottom w:w="0" w:type="dxa"/>
            </w:tcMar>
            <w:vAlign w:val="bottom"/>
          </w:tcPr>
          <w:p>
            <w:pPr>
              <w:pStyle w:val="TableContents"/>
              <w:spacing w:before="0" w:after="283"/>
              <w:jc w:val="left"/>
              <w:rPr/>
            </w:pPr>
            <w:r>
              <w:rPr/>
              <w:t> </w:t>
            </w:r>
          </w:p>
        </w:tc>
      </w:tr>
      <w:tr>
        <w:trPr/>
        <w:tc>
          <w:tcPr>
            <w:tcW w:w="5620"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9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1" w:type="dxa"/>
            <w:tcBorders/>
            <w:shd w:fill="auto" w:val="clear"/>
            <w:tcMar>
              <w:top w:w="0" w:type="dxa"/>
              <w:bottom w:w="0" w:type="dxa"/>
            </w:tcMar>
            <w:vAlign w:val="bottom"/>
          </w:tcPr>
          <w:p>
            <w:pPr>
              <w:pStyle w:val="TableContents"/>
              <w:spacing w:before="0" w:after="283"/>
              <w:jc w:val="left"/>
              <w:rPr/>
            </w:pPr>
            <w:r>
              <w:rPr/>
              <w:t> </w:t>
            </w:r>
          </w:p>
        </w:tc>
        <w:tc>
          <w:tcPr>
            <w:tcW w:w="107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0.35</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36" w:type="dxa"/>
            <w:tcBorders/>
            <w:shd w:fill="auto" w:val="clear"/>
            <w:tcMar>
              <w:top w:w="0" w:type="dxa"/>
              <w:bottom w:w="0" w:type="dxa"/>
            </w:tcMar>
            <w:vAlign w:val="bottom"/>
          </w:tcPr>
          <w:p>
            <w:pPr>
              <w:pStyle w:val="TableContents"/>
              <w:spacing w:before="0" w:after="283"/>
              <w:jc w:val="left"/>
              <w:rPr/>
            </w:pPr>
            <w:r>
              <w:rPr/>
              <w:t> </w:t>
            </w:r>
          </w:p>
        </w:tc>
        <w:tc>
          <w:tcPr>
            <w:tcW w:w="117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9.69</w:t>
            </w:r>
          </w:p>
        </w:tc>
        <w:tc>
          <w:tcPr>
            <w:tcW w:w="127" w:type="dxa"/>
            <w:tcBorders/>
            <w:shd w:fill="auto" w:val="clear"/>
            <w:tcMar>
              <w:top w:w="0" w:type="dxa"/>
              <w:bottom w:w="0" w:type="dxa"/>
            </w:tcMar>
            <w:vAlign w:val="bottom"/>
          </w:tcPr>
          <w:p>
            <w:pPr>
              <w:pStyle w:val="TableContents"/>
              <w:spacing w:before="0" w:after="283"/>
              <w:jc w:val="left"/>
              <w:rPr/>
            </w:pPr>
            <w:r>
              <w:rPr/>
              <w:t> </w:t>
            </w:r>
          </w:p>
        </w:tc>
      </w:tr>
      <w:tr>
        <w:trPr/>
        <w:tc>
          <w:tcPr>
            <w:tcW w:w="5620"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Cancelled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9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(596,000</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7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auto" w:val="clear"/>
            <w:tcMar>
              <w:top w:w="0" w:type="dxa"/>
              <w:bottom w:w="0" w:type="dxa"/>
            </w:tcMar>
            <w:vAlign w:val="bottom"/>
          </w:tcPr>
          <w:p>
            <w:pPr>
              <w:pStyle w:val="TableContents"/>
              <w:spacing w:before="0" w:after="283"/>
              <w:jc w:val="left"/>
              <w:rPr/>
            </w:pPr>
            <w:r>
              <w:rPr/>
              <w:t> </w:t>
            </w:r>
          </w:p>
        </w:tc>
      </w:tr>
      <w:tr>
        <w:trPr/>
        <w:tc>
          <w:tcPr>
            <w:tcW w:w="5620" w:type="dxa"/>
            <w:tcBorders/>
            <w:shd w:fill="auto" w:val="clear"/>
            <w:tcMar>
              <w:top w:w="0" w:type="dxa"/>
              <w:bottom w:w="0" w:type="dxa"/>
            </w:tcMar>
            <w:vAlign w:val="bottom"/>
          </w:tcPr>
          <w:p>
            <w:pPr>
              <w:pStyle w:val="TableContents"/>
              <w:spacing w:before="0" w:after="283"/>
              <w:rPr/>
            </w:pPr>
            <w:r>
              <w:rPr/>
              <w:t xml:space="preserve">  </w:t>
            </w:r>
          </w:p>
        </w:tc>
        <w:tc>
          <w:tcPr>
            <w:tcW w:w="113" w:type="dxa"/>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192" w:type="dxa"/>
            <w:tcBorders/>
            <w:shd w:fill="auto" w:val="clear"/>
            <w:tcMar>
              <w:top w:w="0" w:type="dxa"/>
              <w:bottom w:w="0" w:type="dxa"/>
            </w:tcMar>
            <w:vAlign w:val="bottom"/>
          </w:tcPr>
          <w:p>
            <w:pPr>
              <w:pStyle w:val="TableContents"/>
              <w:spacing w:before="0" w:after="283"/>
              <w:jc w:val="right"/>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81" w:type="dxa"/>
            <w:tcBorders/>
            <w:shd w:fill="auto" w:val="clear"/>
            <w:tcMar>
              <w:top w:w="0" w:type="dxa"/>
              <w:bottom w:w="0" w:type="dxa"/>
            </w:tcMar>
            <w:vAlign w:val="bottom"/>
          </w:tcPr>
          <w:p>
            <w:pPr>
              <w:pStyle w:val="TableContents"/>
              <w:spacing w:before="0" w:after="283"/>
              <w:jc w:val="left"/>
              <w:rPr/>
            </w:pPr>
            <w:r>
              <w:rPr/>
              <w:t> </w:t>
            </w:r>
          </w:p>
        </w:tc>
        <w:tc>
          <w:tcPr>
            <w:tcW w:w="1072" w:type="dxa"/>
            <w:tcBorders/>
            <w:shd w:fill="auto" w:val="clear"/>
            <w:tcMar>
              <w:top w:w="0" w:type="dxa"/>
              <w:bottom w:w="0" w:type="dxa"/>
            </w:tcMar>
            <w:vAlign w:val="bottom"/>
          </w:tcPr>
          <w:p>
            <w:pPr>
              <w:pStyle w:val="TableContents"/>
              <w:spacing w:before="0" w:after="283"/>
              <w:jc w:val="right"/>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36" w:type="dxa"/>
            <w:tcBorders/>
            <w:shd w:fill="auto" w:val="clear"/>
            <w:tcMar>
              <w:top w:w="0" w:type="dxa"/>
              <w:bottom w:w="0" w:type="dxa"/>
            </w:tcMar>
            <w:vAlign w:val="bottom"/>
          </w:tcPr>
          <w:p>
            <w:pPr>
              <w:pStyle w:val="TableContents"/>
              <w:spacing w:before="0" w:after="283"/>
              <w:jc w:val="left"/>
              <w:rPr/>
            </w:pPr>
            <w:r>
              <w:rPr/>
              <w:t> </w:t>
            </w:r>
          </w:p>
        </w:tc>
        <w:tc>
          <w:tcPr>
            <w:tcW w:w="1177" w:type="dxa"/>
            <w:tcBorders/>
            <w:shd w:fill="auto" w:val="clear"/>
            <w:tcMar>
              <w:top w:w="0" w:type="dxa"/>
              <w:bottom w:w="0" w:type="dxa"/>
            </w:tcMar>
            <w:vAlign w:val="bottom"/>
          </w:tcPr>
          <w:p>
            <w:pPr>
              <w:pStyle w:val="TableContents"/>
              <w:spacing w:before="0" w:after="283"/>
              <w:jc w:val="right"/>
              <w:rPr/>
            </w:pPr>
            <w:r>
              <w:rPr/>
              <w:t> </w:t>
            </w:r>
          </w:p>
        </w:tc>
        <w:tc>
          <w:tcPr>
            <w:tcW w:w="127" w:type="dxa"/>
            <w:tcBorders/>
            <w:shd w:fill="auto" w:val="clear"/>
            <w:tcMar>
              <w:top w:w="0" w:type="dxa"/>
              <w:bottom w:w="0" w:type="dxa"/>
            </w:tcMar>
            <w:vAlign w:val="bottom"/>
          </w:tcPr>
          <w:p>
            <w:pPr>
              <w:pStyle w:val="TableContents"/>
              <w:spacing w:before="0" w:after="283"/>
              <w:jc w:val="left"/>
              <w:rPr/>
            </w:pPr>
            <w:r>
              <w:rPr/>
              <w:t> </w:t>
            </w:r>
          </w:p>
        </w:tc>
      </w:tr>
      <w:tr>
        <w:trPr/>
        <w:tc>
          <w:tcPr>
            <w:tcW w:w="5620"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2010</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9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3,272,000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1"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0.92</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36"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7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8.65</w:t>
            </w:r>
          </w:p>
        </w:tc>
        <w:tc>
          <w:tcPr>
            <w:tcW w:w="127"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status of the Company’s unvested options as of December 31, 2010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6832"/>
        <w:gridCol w:w="120"/>
        <w:gridCol w:w="120"/>
        <w:gridCol w:w="1330"/>
        <w:gridCol w:w="134"/>
        <w:gridCol w:w="120"/>
        <w:gridCol w:w="229"/>
        <w:gridCol w:w="1182"/>
        <w:gridCol w:w="138"/>
      </w:tblGrid>
      <w:tr>
        <w:trPr/>
        <w:tc>
          <w:tcPr>
            <w:tcW w:w="6832"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20" w:type="dxa"/>
            <w:tcBorders>
              <w:top w:val="single" w:sz="12" w:space="0" w:color="000000"/>
            </w:tcBorders>
            <w:shd w:fill="auto" w:val="clear"/>
            <w:tcMar>
              <w:bottom w:w="0" w:type="dxa"/>
            </w:tcMar>
            <w:vAlign w:val="bottom"/>
          </w:tcPr>
          <w:p>
            <w:pPr>
              <w:pStyle w:val="TableContents"/>
              <w:spacing w:before="0" w:after="283"/>
              <w:rPr/>
            </w:pPr>
            <w:r>
              <w:rPr/>
              <w:t> </w:t>
            </w:r>
          </w:p>
        </w:tc>
        <w:tc>
          <w:tcPr>
            <w:tcW w:w="145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Options</w:t>
            </w:r>
          </w:p>
        </w:tc>
        <w:tc>
          <w:tcPr>
            <w:tcW w:w="13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20" w:type="dxa"/>
            <w:tcBorders>
              <w:top w:val="single" w:sz="12" w:space="0" w:color="000000"/>
            </w:tcBorders>
            <w:shd w:fill="auto" w:val="clear"/>
            <w:tcMar>
              <w:bottom w:w="0" w:type="dxa"/>
            </w:tcMar>
            <w:vAlign w:val="bottom"/>
          </w:tcPr>
          <w:p>
            <w:pPr>
              <w:pStyle w:val="TableContents"/>
              <w:spacing w:before="0" w:after="283"/>
              <w:rPr/>
            </w:pPr>
            <w:r>
              <w:rPr/>
              <w:t> </w:t>
            </w:r>
          </w:p>
        </w:tc>
        <w:tc>
          <w:tcPr>
            <w:tcW w:w="141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Grant-Date</w:t>
            </w:r>
          </w:p>
          <w:p>
            <w:pPr>
              <w:pStyle w:val="TableContents"/>
              <w:spacing w:before="0" w:after="0"/>
              <w:ind w:left="0" w:right="0" w:hanging="0"/>
              <w:jc w:val="center"/>
              <w:rPr>
                <w:rFonts w:ascii="times new roman" w:hAnsi="times new roman"/>
                <w:sz w:val="20"/>
              </w:rPr>
            </w:pPr>
            <w:r>
              <w:rPr>
                <w:rFonts w:ascii="times new roman" w:hAnsi="times new roman"/>
                <w:sz w:val="20"/>
              </w:rPr>
              <w:t>Fair Value</w:t>
            </w:r>
          </w:p>
        </w:tc>
        <w:tc>
          <w:tcPr>
            <w:tcW w:w="138"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6832" w:type="dxa"/>
            <w:tcBorders/>
            <w:shd w:fill="auto" w:val="clear"/>
            <w:tcMar>
              <w:top w:w="0" w:type="dxa"/>
              <w:bottom w:w="0" w:type="dxa"/>
            </w:tcMar>
            <w:vAlign w:val="bottom"/>
          </w:tcPr>
          <w:p>
            <w:pPr>
              <w:pStyle w:val="TableContents"/>
              <w:spacing w:before="0" w:after="283"/>
              <w:rPr/>
            </w:pPr>
            <w:r>
              <w:rPr/>
              <w:t xml:space="preserve">  </w:t>
            </w:r>
          </w:p>
        </w:tc>
        <w:tc>
          <w:tcPr>
            <w:tcW w:w="120" w:type="dxa"/>
            <w:tcBorders/>
            <w:shd w:fill="auto" w:val="clear"/>
            <w:tcMar>
              <w:top w:w="0" w:type="dxa"/>
              <w:bottom w:w="0" w:type="dxa"/>
            </w:tcMar>
            <w:vAlign w:val="bottom"/>
          </w:tcPr>
          <w:p>
            <w:pPr>
              <w:pStyle w:val="TableContents"/>
              <w:spacing w:before="0" w:after="283"/>
              <w:rPr/>
            </w:pPr>
            <w:r>
              <w:rPr/>
              <w:t> </w:t>
            </w:r>
          </w:p>
        </w:tc>
        <w:tc>
          <w:tcPr>
            <w:tcW w:w="1450" w:type="dxa"/>
            <w:gridSpan w:val="2"/>
            <w:tcBorders/>
            <w:shd w:fill="auto" w:val="clear"/>
            <w:tcMar>
              <w:top w:w="0" w:type="dxa"/>
              <w:bottom w:w="0" w:type="dxa"/>
            </w:tcMar>
            <w:vAlign w:val="bottom"/>
          </w:tcPr>
          <w:p>
            <w:pPr>
              <w:pStyle w:val="TableContents"/>
              <w:spacing w:before="0" w:after="283"/>
              <w:rPr/>
            </w:pPr>
            <w:r>
              <w:rPr/>
              <w:t> </w:t>
            </w:r>
          </w:p>
        </w:tc>
        <w:tc>
          <w:tcPr>
            <w:tcW w:w="134"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rPr/>
            </w:pPr>
            <w:r>
              <w:rPr/>
              <w:t> </w:t>
            </w:r>
          </w:p>
        </w:tc>
        <w:tc>
          <w:tcPr>
            <w:tcW w:w="1411" w:type="dxa"/>
            <w:gridSpan w:val="2"/>
            <w:tcBorders/>
            <w:shd w:fill="auto" w:val="clear"/>
            <w:tcMar>
              <w:top w:w="0" w:type="dxa"/>
              <w:bottom w:w="0" w:type="dxa"/>
            </w:tcMar>
            <w:vAlign w:val="bottom"/>
          </w:tcPr>
          <w:p>
            <w:pPr>
              <w:pStyle w:val="TableContents"/>
              <w:spacing w:before="0" w:after="283"/>
              <w:rPr/>
            </w:pPr>
            <w:r>
              <w:rPr/>
              <w:t> </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832"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2009</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33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1,413,000</w:t>
            </w:r>
          </w:p>
        </w:tc>
        <w:tc>
          <w:tcPr>
            <w:tcW w:w="134"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22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0.96</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832"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Granted</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33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34"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229" w:type="dxa"/>
            <w:tcBorders/>
            <w:shd w:fill="auto" w:val="clear"/>
            <w:tcMar>
              <w:top w:w="0" w:type="dxa"/>
              <w:bottom w:w="0" w:type="dxa"/>
            </w:tcMar>
            <w:vAlign w:val="bottom"/>
          </w:tcPr>
          <w:p>
            <w:pPr>
              <w:pStyle w:val="TableContents"/>
              <w:spacing w:before="0" w:after="283"/>
              <w:jc w:val="left"/>
              <w:rPr/>
            </w:pPr>
            <w:r>
              <w:rPr/>
              <w:t> </w:t>
            </w:r>
          </w:p>
        </w:tc>
        <w:tc>
          <w:tcPr>
            <w:tcW w:w="118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832"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Vested</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33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(1,454,668</w:t>
            </w:r>
          </w:p>
        </w:tc>
        <w:tc>
          <w:tcPr>
            <w:tcW w:w="13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229" w:type="dxa"/>
            <w:tcBorders/>
            <w:shd w:fill="auto" w:val="clear"/>
            <w:tcMar>
              <w:top w:w="0" w:type="dxa"/>
              <w:bottom w:w="0" w:type="dxa"/>
            </w:tcMar>
            <w:vAlign w:val="bottom"/>
          </w:tcPr>
          <w:p>
            <w:pPr>
              <w:pStyle w:val="TableContents"/>
              <w:spacing w:before="0" w:after="283"/>
              <w:jc w:val="left"/>
              <w:rPr/>
            </w:pPr>
            <w:r>
              <w:rPr/>
              <w:t> </w:t>
            </w:r>
          </w:p>
        </w:tc>
        <w:tc>
          <w:tcPr>
            <w:tcW w:w="118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832"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Cancelled</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120"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33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4"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229"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8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832" w:type="dxa"/>
            <w:tcBorders/>
            <w:shd w:fill="auto" w:val="clear"/>
            <w:tcMar>
              <w:top w:w="0" w:type="dxa"/>
              <w:bottom w:w="0" w:type="dxa"/>
            </w:tcMar>
            <w:vAlign w:val="bottom"/>
          </w:tcPr>
          <w:p>
            <w:pPr>
              <w:pStyle w:val="TableContents"/>
              <w:spacing w:before="0" w:after="283"/>
              <w:rPr/>
            </w:pPr>
            <w:r>
              <w:rPr/>
              <w:t xml:space="preserve">  </w:t>
            </w:r>
          </w:p>
        </w:tc>
        <w:tc>
          <w:tcPr>
            <w:tcW w:w="120" w:type="dxa"/>
            <w:tcBorders/>
            <w:shd w:fill="auto" w:val="clear"/>
            <w:tcMar>
              <w:top w:w="0" w:type="dxa"/>
              <w:bottom w:w="0" w:type="dxa"/>
            </w:tcMar>
            <w:vAlign w:val="bottom"/>
          </w:tcPr>
          <w:p>
            <w:pPr>
              <w:pStyle w:val="TableContents"/>
              <w:spacing w:before="0" w:after="283"/>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330" w:type="dxa"/>
            <w:tcBorders/>
            <w:shd w:fill="auto" w:val="clear"/>
            <w:tcMar>
              <w:top w:w="0" w:type="dxa"/>
              <w:bottom w:w="0" w:type="dxa"/>
            </w:tcMar>
            <w:vAlign w:val="bottom"/>
          </w:tcPr>
          <w:p>
            <w:pPr>
              <w:pStyle w:val="TableContents"/>
              <w:spacing w:before="0" w:after="283"/>
              <w:jc w:val="right"/>
              <w:rPr/>
            </w:pPr>
            <w:r>
              <w:rPr/>
              <w:t> </w:t>
            </w:r>
          </w:p>
        </w:tc>
        <w:tc>
          <w:tcPr>
            <w:tcW w:w="134"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rPr/>
            </w:pPr>
            <w:r>
              <w:rPr/>
              <w:t> </w:t>
            </w:r>
          </w:p>
        </w:tc>
        <w:tc>
          <w:tcPr>
            <w:tcW w:w="229" w:type="dxa"/>
            <w:tcBorders/>
            <w:shd w:fill="auto" w:val="clear"/>
            <w:tcMar>
              <w:top w:w="0" w:type="dxa"/>
              <w:bottom w:w="0" w:type="dxa"/>
            </w:tcMar>
            <w:vAlign w:val="bottom"/>
          </w:tcPr>
          <w:p>
            <w:pPr>
              <w:pStyle w:val="TableContents"/>
              <w:spacing w:before="0" w:after="283"/>
              <w:jc w:val="left"/>
              <w:rPr/>
            </w:pPr>
            <w:r>
              <w:rPr/>
              <w:t> </w:t>
            </w:r>
          </w:p>
        </w:tc>
        <w:tc>
          <w:tcPr>
            <w:tcW w:w="1182" w:type="dxa"/>
            <w:tcBorders/>
            <w:shd w:fill="auto" w:val="clear"/>
            <w:tcMar>
              <w:top w:w="0" w:type="dxa"/>
              <w:bottom w:w="0" w:type="dxa"/>
            </w:tcMar>
            <w:vAlign w:val="bottom"/>
          </w:tcPr>
          <w:p>
            <w:pPr>
              <w:pStyle w:val="TableContents"/>
              <w:spacing w:before="0" w:after="283"/>
              <w:jc w:val="right"/>
              <w:rPr/>
            </w:pPr>
            <w:r>
              <w:rPr/>
              <w:t> </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832"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2010</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120"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33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208,332</w:t>
            </w:r>
          </w:p>
        </w:tc>
        <w:tc>
          <w:tcPr>
            <w:tcW w:w="134"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229"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0.84</w:t>
            </w:r>
          </w:p>
        </w:tc>
        <w:tc>
          <w:tcPr>
            <w:tcW w:w="138"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4" w:name="PGBRK46"/>
      <w:bookmarkStart w:id="505" w:name="PGBRK46"/>
      <w:bookmarkEnd w:id="5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6" w:name="FTR46"/>
      <w:bookmarkStart w:id="507" w:name="FTR46"/>
      <w:bookmarkEnd w:id="5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8" w:name="GLFTR46"/>
      <w:bookmarkEnd w:id="5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9" w:name="PN46"/>
      <w:bookmarkEnd w:id="509"/>
      <w:r>
        <w:rPr>
          <w:rFonts w:ascii="Times New Roman" w:hAnsi="Times New Roman"/>
          <w:sz w:val="20"/>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0" w:name="HDR46"/>
      <w:bookmarkStart w:id="511" w:name="HDR46"/>
      <w:bookmarkEnd w:id="5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2" w:name="GLHDR46"/>
      <w:bookmarkEnd w:id="5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Share Purchase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2009, the Company extended terms of the 2007 and 2008 promissory notes (refer to Note 5) in exchange for the issuance of 532,700 warrants. The fair value of these warrants was determined to be $290,350 using the Black-Scholes option pricing model with an expected life of 2 - 3 years, a risk free interest rate of 1.64% - 4.21%, a dividend yield of 0%, and an expected volatility of 100% - 199%. For the fiscal year ended December 31, 2009 the remaining $132,079 of the total value was expensed as financing charges.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2009, in connection with debenture issuances, the following transactions occurred: the Company issued 20,000 share purchase warrants on March 11, 2009, the Company issued 270,000 warrants on February 4, 2009, the Company issued to the secured promissory note lenders (refer to Note 5), 1,031,174 share purchase warrants on July 1, 2009 and October 28, 2009, and the Company issued 437,500 share purchase warrants on August 31, 2009. The aggregate fair value of these warrants was determined to be $398,801 using the Binomial option pricing model with an expected life of 2 - 5 years, a risk free interest rate of 0.23% - 1.64%, a dividend yield of 0%, and an expected volatility of 195% - 245%. The fair values of the warrants issued on February 4, 2009 and August 31, 2009 were recorded as discounts to the notes and are being amortized over the term of the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July 14, 2009, the Company issued 30,000 share purchase warrants as part of the debt assignment transaction. The fair value of these warrants was determined to be $12,000, using the Black-Scholes option pricing model with an expected life of 4 years, a risk free interest rate of 0.96%, a dividend yield of 0%, and an expected volatility of 192%.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2009, pursuant to consulting services agreements, the following transactions occurred: the Company issued 200,000 share purchase warrants on December 17, 2009, the Company issued 125,000 share purchase warrants on December 18, 2009, the Company issued a further 400,000 share purchase warrants on December 18, 2009, the Company issued a further 500,000 share purchase warrants on December 18, 2009. The aggregate fair value of these warrants was determined to be $622,750 using the Black-Scholes option pricing model with an expected life of 5 years, a risk free interest rate of 2.24% - 2.3%, a dividend yield of 0%, and an expected volatility of 236%. The expensed portion of the value of these warrants during the year ended December 31, 2009 was $374,270. The remaining portion of $248,480 will be recorded in fiscal 2010 as stock 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19, 2010, the Company issued 600,000 share purchase warrants to acquire an equivalent number of common shares of the Company, at an exercise price of $0.50 per share for an exercise period of up to three years from the issuance date, and 600,000 share purchase warrants to acquire an equivalent number of common shares of the Company, at an exercise price of $0.60 per share and for an exercise period of up to three years from the issuance date. The warrants were issued pursuant to a consulting services agreement. The fair value of these warrants was determined to be $648,000, using the Black-Scholes option pricing model with an expected life of 3 years, a risk free interest rate of 1.38%, a dividend yield of 0%, and an expected volatility of 235%.</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8, 2010, the Company issued 750,000 share purchase warrants to acquire an equivalent number of common shares of the Company, at an exercise price of $0.50 per share and for an exercise period of up to five years from the issuance date. The warrants were issued pursuant to a debt settlement agreement. The fair value of these warrants was determined to be $100,000, equal to the amount of debt being settled.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24, 2010, the Company issued Series A Warrants to purchase shares of its common stock with a 5 year term. Series B Warrants to purchase shares of its common stock with a term that is shorter of (i) 18 months or (ii) one year from an effective registration statement. Series C Warrants to purchase shares of its common stock with a 5 year term, which can only be exercised to the extent that the Series B Warrants are exercised. The initial exercise price of the Series A Warrants is $0.30 per share, and such warrants are exercisable into 6,375,000 shares of common stock in the aggregate. The initial exercise price of the Series B Warrants is $0.30 per share, and such warrants are exercisable into 5,100,000 shares of common stock in the aggregate. The initial exercise price of the Series C Warrants is $.30 per share, and such warrants are exercisable into 6,375,000 shares of common stock. In addition, the Company issued 1,400,000 brokers warrant’s which are exercisable on the same terms and conditions as the note holders warrants described above (500,000 Series A Warrants;400,000 Series B Warrants; 500,000 Series C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share purchase warrants as of December 31, 2010 and changes during the period is presented below:</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3" w:name="PGBRK47"/>
      <w:bookmarkStart w:id="514" w:name="PGBRK47"/>
      <w:bookmarkEnd w:id="5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5" w:name="FTR47"/>
      <w:bookmarkStart w:id="516" w:name="FTR47"/>
      <w:bookmarkEnd w:id="5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7" w:name="GLFTR47"/>
      <w:bookmarkEnd w:id="5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8" w:name="PN47"/>
      <w:bookmarkEnd w:id="518"/>
      <w:r>
        <w:rPr>
          <w:rFonts w:ascii="Times New Roman" w:hAnsi="Times New Roman"/>
          <w:sz w:val="20"/>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9" w:name="HDR47"/>
      <w:bookmarkStart w:id="520" w:name="HDR47"/>
      <w:bookmarkEnd w:id="5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1" w:name="GLHDR47"/>
      <w:bookmarkEnd w:id="5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592"/>
        <w:gridCol w:w="112"/>
        <w:gridCol w:w="112"/>
        <w:gridCol w:w="1243"/>
        <w:gridCol w:w="123"/>
        <w:gridCol w:w="112"/>
        <w:gridCol w:w="180"/>
        <w:gridCol w:w="1065"/>
        <w:gridCol w:w="123"/>
        <w:gridCol w:w="112"/>
        <w:gridCol w:w="148"/>
        <w:gridCol w:w="1156"/>
        <w:gridCol w:w="127"/>
      </w:tblGrid>
      <w:tr>
        <w:trPr/>
        <w:tc>
          <w:tcPr>
            <w:tcW w:w="5592"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35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24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30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27"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592" w:type="dxa"/>
            <w:tcBorders/>
            <w:shd w:fill="auto" w:val="clear"/>
            <w:tcMar>
              <w:top w:w="0" w:type="dxa"/>
              <w:bottom w:w="0" w:type="dxa"/>
            </w:tcMar>
            <w:vAlign w:val="bottom"/>
          </w:tcPr>
          <w:p>
            <w:pPr>
              <w:pStyle w:val="TableContents"/>
              <w:spacing w:before="0" w:after="283"/>
              <w:rPr/>
            </w:pPr>
            <w:r>
              <w:rPr/>
              <w:t xml:space="preserve">  </w:t>
            </w:r>
          </w:p>
        </w:tc>
        <w:tc>
          <w:tcPr>
            <w:tcW w:w="112" w:type="dxa"/>
            <w:tcBorders/>
            <w:shd w:fill="auto" w:val="clear"/>
            <w:tcMar>
              <w:top w:w="0" w:type="dxa"/>
              <w:bottom w:w="0" w:type="dxa"/>
            </w:tcMar>
            <w:vAlign w:val="bottom"/>
          </w:tcPr>
          <w:p>
            <w:pPr>
              <w:pStyle w:val="TableContents"/>
              <w:spacing w:before="0" w:after="283"/>
              <w:rPr/>
            </w:pPr>
            <w:r>
              <w:rPr/>
              <w:t> </w:t>
            </w:r>
          </w:p>
        </w:tc>
        <w:tc>
          <w:tcPr>
            <w:tcW w:w="1355"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245"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304" w:type="dxa"/>
            <w:gridSpan w:val="2"/>
            <w:tcBorders/>
            <w:shd w:fill="auto" w:val="clear"/>
            <w:tcMar>
              <w:top w:w="0" w:type="dxa"/>
              <w:bottom w:w="0" w:type="dxa"/>
            </w:tcMar>
            <w:vAlign w:val="bottom"/>
          </w:tcPr>
          <w:p>
            <w:pPr>
              <w:pStyle w:val="TableContents"/>
              <w:spacing w:before="0" w:after="283"/>
              <w:rPr/>
            </w:pPr>
            <w:r>
              <w:rPr/>
              <w:t> </w:t>
            </w:r>
          </w:p>
        </w:tc>
        <w:tc>
          <w:tcPr>
            <w:tcW w:w="127" w:type="dxa"/>
            <w:tcBorders/>
            <w:shd w:fill="auto" w:val="clear"/>
            <w:tcMar>
              <w:top w:w="0" w:type="dxa"/>
              <w:bottom w:w="0" w:type="dxa"/>
            </w:tcMar>
            <w:vAlign w:val="bottom"/>
          </w:tcPr>
          <w:p>
            <w:pPr>
              <w:pStyle w:val="TableContents"/>
              <w:spacing w:before="0" w:after="283"/>
              <w:jc w:val="left"/>
              <w:rPr/>
            </w:pPr>
            <w:r>
              <w:rPr/>
              <w:t> </w:t>
            </w:r>
          </w:p>
        </w:tc>
      </w:tr>
      <w:tr>
        <w:trPr/>
        <w:tc>
          <w:tcPr>
            <w:tcW w:w="5592" w:type="dxa"/>
            <w:tcBorders/>
            <w:shd w:fill="auto" w:val="clear"/>
            <w:tcMar>
              <w:top w:w="0" w:type="dxa"/>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Balance, December 31, 2008</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24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1,191,767</w:t>
            </w:r>
          </w:p>
        </w:tc>
        <w:tc>
          <w:tcPr>
            <w:tcW w:w="123"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3"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8" w:type="dxa"/>
            <w:tcBorders/>
            <w:shd w:fill="auto" w:val="clear"/>
            <w:tcMar>
              <w:top w:w="0" w:type="dxa"/>
              <w:bottom w:w="0" w:type="dxa"/>
            </w:tcMar>
            <w:vAlign w:val="bottom"/>
          </w:tcPr>
          <w:p>
            <w:pPr>
              <w:pStyle w:val="TableContents"/>
              <w:spacing w:before="0" w:after="283"/>
              <w:jc w:val="left"/>
              <w:rPr/>
            </w:pPr>
            <w:r>
              <w:rPr/>
              <w:t> </w:t>
            </w:r>
          </w:p>
        </w:tc>
        <w:tc>
          <w:tcPr>
            <w:tcW w:w="115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3.15</w:t>
            </w:r>
          </w:p>
        </w:tc>
        <w:tc>
          <w:tcPr>
            <w:tcW w:w="127" w:type="dxa"/>
            <w:tcBorders/>
            <w:shd w:fill="auto" w:val="clear"/>
            <w:tcMar>
              <w:top w:w="0" w:type="dxa"/>
              <w:bottom w:w="0" w:type="dxa"/>
            </w:tcMar>
            <w:vAlign w:val="bottom"/>
          </w:tcPr>
          <w:p>
            <w:pPr>
              <w:pStyle w:val="TableContents"/>
              <w:spacing w:before="0" w:after="283"/>
              <w:jc w:val="left"/>
              <w:rPr/>
            </w:pPr>
            <w:r>
              <w:rPr/>
              <w:t> </w:t>
            </w:r>
          </w:p>
        </w:tc>
      </w:tr>
      <w:tr>
        <w:trPr/>
        <w:tc>
          <w:tcPr>
            <w:tcW w:w="5592" w:type="dxa"/>
            <w:tcBorders/>
            <w:shd w:fill="auto" w:val="clear"/>
            <w:tcMar>
              <w:top w:w="0" w:type="dxa"/>
              <w:bottom w:w="0" w:type="dxa"/>
            </w:tcMar>
            <w:vAlign w:val="bottom"/>
          </w:tcPr>
          <w:p>
            <w:pPr>
              <w:pStyle w:val="TableContents"/>
              <w:spacing w:before="0" w:after="0"/>
              <w:ind w:left="0" w:right="0" w:hanging="0"/>
              <w:jc w:val="both"/>
              <w:rPr/>
            </w:pPr>
            <w:r>
              <w:rPr/>
              <w:t>  </w:t>
            </w:r>
            <w:r>
              <w:rPr>
                <w:rFonts w:ascii="times new roman" w:hAnsi="times new roman"/>
                <w:sz w:val="20"/>
              </w:rPr>
              <w:t>Issued</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24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4,421,374</w:t>
            </w:r>
          </w:p>
        </w:tc>
        <w:tc>
          <w:tcPr>
            <w:tcW w:w="123"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0.60</w:t>
            </w:r>
          </w:p>
        </w:tc>
        <w:tc>
          <w:tcPr>
            <w:tcW w:w="123"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8" w:type="dxa"/>
            <w:tcBorders/>
            <w:shd w:fill="auto" w:val="clear"/>
            <w:tcMar>
              <w:top w:w="0" w:type="dxa"/>
              <w:bottom w:w="0" w:type="dxa"/>
            </w:tcMar>
            <w:vAlign w:val="bottom"/>
          </w:tcPr>
          <w:p>
            <w:pPr>
              <w:pStyle w:val="TableContents"/>
              <w:spacing w:before="0" w:after="283"/>
              <w:jc w:val="left"/>
              <w:rPr/>
            </w:pPr>
            <w:r>
              <w:rPr/>
              <w:t> </w:t>
            </w:r>
          </w:p>
        </w:tc>
        <w:tc>
          <w:tcPr>
            <w:tcW w:w="115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w:t>
            </w:r>
          </w:p>
        </w:tc>
        <w:tc>
          <w:tcPr>
            <w:tcW w:w="127" w:type="dxa"/>
            <w:tcBorders/>
            <w:shd w:fill="auto" w:val="clear"/>
            <w:tcMar>
              <w:top w:w="0" w:type="dxa"/>
              <w:bottom w:w="0" w:type="dxa"/>
            </w:tcMar>
            <w:vAlign w:val="bottom"/>
          </w:tcPr>
          <w:p>
            <w:pPr>
              <w:pStyle w:val="TableContents"/>
              <w:spacing w:before="0" w:after="283"/>
              <w:jc w:val="left"/>
              <w:rPr/>
            </w:pPr>
            <w:r>
              <w:rPr/>
              <w:t> </w:t>
            </w:r>
          </w:p>
        </w:tc>
      </w:tr>
      <w:tr>
        <w:trPr/>
        <w:tc>
          <w:tcPr>
            <w:tcW w:w="5592" w:type="dxa"/>
            <w:tcBorders/>
            <w:shd w:fill="auto" w:val="clear"/>
            <w:tcMar>
              <w:top w:w="0" w:type="dxa"/>
              <w:bottom w:w="0" w:type="dxa"/>
            </w:tcMar>
            <w:vAlign w:val="bottom"/>
          </w:tcPr>
          <w:p>
            <w:pPr>
              <w:pStyle w:val="TableContents"/>
              <w:spacing w:before="0" w:after="0"/>
              <w:ind w:left="0" w:right="0" w:hanging="0"/>
              <w:jc w:val="both"/>
              <w:rPr/>
            </w:pPr>
            <w:r>
              <w:rPr/>
              <w:t>  </w:t>
            </w:r>
            <w:r>
              <w:rPr>
                <w:rFonts w:ascii="times new roman" w:hAnsi="times new roman"/>
                <w:sz w:val="20"/>
              </w:rPr>
              <w:t>Exercised</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24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(1,471,174</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(0.46</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8" w:type="dxa"/>
            <w:tcBorders/>
            <w:shd w:fill="auto" w:val="clear"/>
            <w:tcMar>
              <w:top w:w="0" w:type="dxa"/>
              <w:bottom w:w="0" w:type="dxa"/>
            </w:tcMar>
            <w:vAlign w:val="bottom"/>
          </w:tcPr>
          <w:p>
            <w:pPr>
              <w:pStyle w:val="TableContents"/>
              <w:spacing w:before="0" w:after="283"/>
              <w:jc w:val="left"/>
              <w:rPr/>
            </w:pPr>
            <w:r>
              <w:rPr/>
              <w:t> </w:t>
            </w:r>
          </w:p>
        </w:tc>
        <w:tc>
          <w:tcPr>
            <w:tcW w:w="115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auto" w:val="clear"/>
            <w:tcMar>
              <w:top w:w="0" w:type="dxa"/>
              <w:bottom w:w="0" w:type="dxa"/>
            </w:tcMar>
            <w:vAlign w:val="bottom"/>
          </w:tcPr>
          <w:p>
            <w:pPr>
              <w:pStyle w:val="TableContents"/>
              <w:spacing w:before="0" w:after="283"/>
              <w:jc w:val="left"/>
              <w:rPr/>
            </w:pPr>
            <w:r>
              <w:rPr/>
              <w:t> </w:t>
            </w:r>
          </w:p>
        </w:tc>
      </w:tr>
      <w:tr>
        <w:trPr/>
        <w:tc>
          <w:tcPr>
            <w:tcW w:w="5592" w:type="dxa"/>
            <w:tcBorders>
              <w:bottom w:val="single" w:sz="12" w:space="0" w:color="000000"/>
            </w:tcBorders>
            <w:shd w:fill="auto" w:val="clear"/>
            <w:tcMar>
              <w:top w:w="0" w:type="dxa"/>
            </w:tcMar>
            <w:vAlign w:val="bottom"/>
          </w:tcPr>
          <w:p>
            <w:pPr>
              <w:pStyle w:val="TableContents"/>
              <w:spacing w:before="0" w:after="0"/>
              <w:ind w:left="0" w:right="0" w:hanging="0"/>
              <w:jc w:val="both"/>
              <w:rPr/>
            </w:pPr>
            <w:r>
              <w:rPr/>
              <w:t>  </w:t>
            </w:r>
            <w:r>
              <w:rPr>
                <w:rFonts w:ascii="times new roman" w:hAnsi="times new roman"/>
                <w:sz w:val="20"/>
              </w:rPr>
              <w:t>Expired</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4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(29,167</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80"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(2.75</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8"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5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auto" w:val="clear"/>
            <w:tcMar>
              <w:top w:w="0" w:type="dxa"/>
              <w:bottom w:w="0" w:type="dxa"/>
            </w:tcMar>
            <w:vAlign w:val="bottom"/>
          </w:tcPr>
          <w:p>
            <w:pPr>
              <w:pStyle w:val="TableContents"/>
              <w:spacing w:before="0" w:after="283"/>
              <w:jc w:val="left"/>
              <w:rPr/>
            </w:pPr>
            <w:r>
              <w:rPr/>
              <w:t> </w:t>
            </w:r>
          </w:p>
        </w:tc>
      </w:tr>
      <w:tr>
        <w:trPr/>
        <w:tc>
          <w:tcPr>
            <w:tcW w:w="5592" w:type="dxa"/>
            <w:tcBorders/>
            <w:shd w:fill="auto" w:val="clear"/>
            <w:tcMar>
              <w:top w:w="0" w:type="dxa"/>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Balance, December 31, 2009</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24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4,112,800</w:t>
            </w:r>
          </w:p>
        </w:tc>
        <w:tc>
          <w:tcPr>
            <w:tcW w:w="123"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23"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8" w:type="dxa"/>
            <w:tcBorders/>
            <w:shd w:fill="auto" w:val="clear"/>
            <w:tcMar>
              <w:top w:w="0" w:type="dxa"/>
              <w:bottom w:w="0" w:type="dxa"/>
            </w:tcMar>
            <w:vAlign w:val="bottom"/>
          </w:tcPr>
          <w:p>
            <w:pPr>
              <w:pStyle w:val="TableContents"/>
              <w:spacing w:before="0" w:after="283"/>
              <w:jc w:val="left"/>
              <w:rPr/>
            </w:pPr>
            <w:r>
              <w:rPr/>
              <w:t> </w:t>
            </w:r>
          </w:p>
        </w:tc>
        <w:tc>
          <w:tcPr>
            <w:tcW w:w="115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3.71</w:t>
            </w:r>
          </w:p>
        </w:tc>
        <w:tc>
          <w:tcPr>
            <w:tcW w:w="127" w:type="dxa"/>
            <w:tcBorders/>
            <w:shd w:fill="auto" w:val="clear"/>
            <w:tcMar>
              <w:top w:w="0" w:type="dxa"/>
              <w:bottom w:w="0" w:type="dxa"/>
            </w:tcMar>
            <w:vAlign w:val="bottom"/>
          </w:tcPr>
          <w:p>
            <w:pPr>
              <w:pStyle w:val="TableContents"/>
              <w:spacing w:before="0" w:after="283"/>
              <w:jc w:val="left"/>
              <w:rPr/>
            </w:pPr>
            <w:r>
              <w:rPr/>
              <w:t> </w:t>
            </w:r>
          </w:p>
        </w:tc>
      </w:tr>
      <w:tr>
        <w:trPr/>
        <w:tc>
          <w:tcPr>
            <w:tcW w:w="5592" w:type="dxa"/>
            <w:tcBorders/>
            <w:shd w:fill="auto" w:val="clear"/>
            <w:tcMar>
              <w:top w:w="0" w:type="dxa"/>
              <w:bottom w:w="0" w:type="dxa"/>
            </w:tcMar>
            <w:vAlign w:val="bottom"/>
          </w:tcPr>
          <w:p>
            <w:pPr>
              <w:pStyle w:val="TableContents"/>
              <w:spacing w:before="0" w:after="0"/>
              <w:ind w:left="0" w:right="0" w:hanging="0"/>
              <w:jc w:val="both"/>
              <w:rPr/>
            </w:pPr>
            <w:r>
              <w:rPr/>
              <w:t>  </w:t>
            </w:r>
            <w:r>
              <w:rPr>
                <w:rFonts w:ascii="times new roman" w:hAnsi="times new roman"/>
                <w:sz w:val="20"/>
              </w:rPr>
              <w:t>Issued</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24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21,200,000</w:t>
            </w:r>
          </w:p>
        </w:tc>
        <w:tc>
          <w:tcPr>
            <w:tcW w:w="123"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6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0.32</w:t>
            </w:r>
          </w:p>
        </w:tc>
        <w:tc>
          <w:tcPr>
            <w:tcW w:w="123"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8" w:type="dxa"/>
            <w:tcBorders/>
            <w:shd w:fill="auto" w:val="clear"/>
            <w:tcMar>
              <w:top w:w="0" w:type="dxa"/>
              <w:bottom w:w="0" w:type="dxa"/>
            </w:tcMar>
            <w:vAlign w:val="bottom"/>
          </w:tcPr>
          <w:p>
            <w:pPr>
              <w:pStyle w:val="TableContents"/>
              <w:spacing w:before="0" w:after="283"/>
              <w:jc w:val="left"/>
              <w:rPr/>
            </w:pPr>
            <w:r>
              <w:rPr/>
              <w:t> </w:t>
            </w:r>
          </w:p>
        </w:tc>
        <w:tc>
          <w:tcPr>
            <w:tcW w:w="115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2.85</w:t>
            </w:r>
          </w:p>
        </w:tc>
        <w:tc>
          <w:tcPr>
            <w:tcW w:w="127" w:type="dxa"/>
            <w:tcBorders/>
            <w:shd w:fill="auto" w:val="clear"/>
            <w:tcMar>
              <w:top w:w="0" w:type="dxa"/>
              <w:bottom w:w="0" w:type="dxa"/>
            </w:tcMar>
            <w:vAlign w:val="bottom"/>
          </w:tcPr>
          <w:p>
            <w:pPr>
              <w:pStyle w:val="TableContents"/>
              <w:spacing w:before="0" w:after="283"/>
              <w:jc w:val="left"/>
              <w:rPr/>
            </w:pPr>
            <w:r>
              <w:rPr/>
              <w:t> </w:t>
            </w:r>
          </w:p>
        </w:tc>
      </w:tr>
      <w:tr>
        <w:trPr/>
        <w:tc>
          <w:tcPr>
            <w:tcW w:w="5592" w:type="dxa"/>
            <w:tcBorders>
              <w:bottom w:val="single" w:sz="12" w:space="0" w:color="000000"/>
            </w:tcBorders>
            <w:shd w:fill="auto" w:val="clear"/>
            <w:tcMar>
              <w:top w:w="0" w:type="dxa"/>
            </w:tcMar>
            <w:vAlign w:val="bottom"/>
          </w:tcPr>
          <w:p>
            <w:pPr>
              <w:pStyle w:val="TableContents"/>
              <w:spacing w:before="0" w:after="0"/>
              <w:ind w:left="0" w:right="0" w:hanging="0"/>
              <w:jc w:val="both"/>
              <w:rPr/>
            </w:pPr>
            <w:r>
              <w:rPr/>
              <w:t>  </w:t>
            </w:r>
            <w:r>
              <w:rPr>
                <w:rFonts w:ascii="times new roman" w:hAnsi="times new roman"/>
                <w:sz w:val="20"/>
              </w:rPr>
              <w:t>Exercised, cancelled or expired</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4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(444,500</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80"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23"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8"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5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auto" w:val="clear"/>
            <w:tcMar>
              <w:top w:w="0" w:type="dxa"/>
              <w:bottom w:w="0" w:type="dxa"/>
            </w:tcMar>
            <w:vAlign w:val="bottom"/>
          </w:tcPr>
          <w:p>
            <w:pPr>
              <w:pStyle w:val="TableContents"/>
              <w:spacing w:before="0" w:after="283"/>
              <w:jc w:val="left"/>
              <w:rPr/>
            </w:pPr>
            <w:r>
              <w:rPr/>
              <w:t> </w:t>
            </w:r>
          </w:p>
        </w:tc>
      </w:tr>
      <w:tr>
        <w:trPr/>
        <w:tc>
          <w:tcPr>
            <w:tcW w:w="5592" w:type="dxa"/>
            <w:tcBorders>
              <w:bottom w:val="double" w:sz="8" w:space="0" w:color="000000"/>
            </w:tcBorders>
            <w:shd w:fill="auto" w:val="clear"/>
            <w:tcMar>
              <w:top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Balance, December 31, 2010</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12"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43"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24,868,300</w:t>
            </w:r>
          </w:p>
        </w:tc>
        <w:tc>
          <w:tcPr>
            <w:tcW w:w="123"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80"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0.45</w:t>
            </w:r>
          </w:p>
        </w:tc>
        <w:tc>
          <w:tcPr>
            <w:tcW w:w="123"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8"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5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3.24</w:t>
            </w:r>
          </w:p>
        </w:tc>
        <w:tc>
          <w:tcPr>
            <w:tcW w:w="127"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9:  INCOME TAXES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identified or quantified any significant temporary differences between the Company’s tax and financial bases of assets and liabilities that result in deferred tax assets, except for the Company’s net operating loss carry-forwards amounting to approximately $15,033,000 at December 31, 2010 (2009 - $11,770,000), which may be available to reduce future year’s taxable income. These carry forwards begin to expire, if not utilized, commencing in 2011. Future tax benefits which may arise as a result of these losses have not been recognized in these financial statements, as their realization does not meet a more likely than not test and accordingly, the Company has recorded a 100% valuation allowance for the potential deferred tax asset relating to these tax loss carry forwards.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reviews its valuation allowance requirements on an annual basis based on management’s expectations of future operations. Should circumstances change resulting in a change in management’s judgment about the recoverability of future tax assets, the impact of the change on the valuation allowance would be reflected in current operations and disclosures.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Company’s policy is to accrue amounts for known or likely interest and penalties related to unrecognized tax charges or likely penalties and interest in its provision for income taxes. Additionally, ASC 740-10 requires that a company recognize in its financial statements the impact of a tax position that is more likely than not to be sustained upon examination based on the technical merits of the position. The Company has incurred taxable losses for all tax years since inception and accordingly, no provision for taxes has been recorded for the current or any prior fiscal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actual income tax provisions differ from the expected amounts calculated by applying the combined federal and state corporate income tax rates to the Company’s loss before income taxes and other temporary adjusted as appropriate for temporary and permanent tax basis differences. The components of these differences are as follows: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2" w:name="PGBRK48"/>
      <w:bookmarkStart w:id="523" w:name="PGBRK48"/>
      <w:bookmarkEnd w:id="5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4" w:name="FTR48"/>
      <w:bookmarkStart w:id="525" w:name="FTR48"/>
      <w:bookmarkEnd w:id="5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6" w:name="GLFTR48"/>
      <w:bookmarkEnd w:id="5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7" w:name="PN48"/>
      <w:bookmarkEnd w:id="527"/>
      <w:r>
        <w:rPr>
          <w:rFonts w:ascii="Times New Roman" w:hAnsi="Times New Roman"/>
          <w:sz w:val="20"/>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8" w:name="HDR48"/>
      <w:bookmarkStart w:id="529" w:name="HDR48"/>
      <w:bookmarkEnd w:id="5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30" w:name="GLHDR48"/>
      <w:bookmarkEnd w:id="5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6664"/>
        <w:gridCol w:w="116"/>
        <w:gridCol w:w="155"/>
        <w:gridCol w:w="1268"/>
        <w:gridCol w:w="192"/>
        <w:gridCol w:w="116"/>
        <w:gridCol w:w="155"/>
        <w:gridCol w:w="1333"/>
        <w:gridCol w:w="206"/>
      </w:tblGrid>
      <w:tr>
        <w:trPr/>
        <w:tc>
          <w:tcPr>
            <w:tcW w:w="6664" w:type="dxa"/>
            <w:tcBorders>
              <w:top w:val="single" w:sz="12" w:space="0" w:color="000000"/>
            </w:tcBorders>
            <w:shd w:fill="auto" w:val="clear"/>
            <w:vAlign w:val="bottom"/>
          </w:tcPr>
          <w:p>
            <w:pPr>
              <w:pStyle w:val="TableContents"/>
              <w:spacing w:before="0" w:after="283"/>
              <w:rPr/>
            </w:pPr>
            <w:r>
              <w:rPr/>
              <w:t xml:space="preserve">  </w:t>
            </w:r>
          </w:p>
        </w:tc>
        <w:tc>
          <w:tcPr>
            <w:tcW w:w="116" w:type="dxa"/>
            <w:tcBorders>
              <w:top w:val="single" w:sz="12" w:space="0" w:color="000000"/>
            </w:tcBorders>
            <w:shd w:fill="auto" w:val="clear"/>
            <w:vAlign w:val="bottom"/>
          </w:tcPr>
          <w:p>
            <w:pPr>
              <w:pStyle w:val="TableContents"/>
              <w:spacing w:before="0" w:after="283"/>
              <w:rPr/>
            </w:pPr>
            <w:r>
              <w:rPr/>
              <w:t> </w:t>
            </w:r>
          </w:p>
        </w:tc>
        <w:tc>
          <w:tcPr>
            <w:tcW w:w="1423"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tc>
        <w:tc>
          <w:tcPr>
            <w:tcW w:w="192" w:type="dxa"/>
            <w:tcBorders>
              <w:top w:val="single" w:sz="12" w:space="0" w:color="000000"/>
            </w:tcBorders>
            <w:shd w:fill="auto" w:val="clear"/>
            <w:vAlign w:val="bottom"/>
          </w:tcPr>
          <w:p>
            <w:pPr>
              <w:pStyle w:val="TableContents"/>
              <w:spacing w:before="0" w:after="283"/>
              <w:jc w:val="left"/>
              <w:rPr/>
            </w:pPr>
            <w:r>
              <w:rPr/>
              <w:t> </w:t>
            </w:r>
          </w:p>
        </w:tc>
        <w:tc>
          <w:tcPr>
            <w:tcW w:w="116" w:type="dxa"/>
            <w:tcBorders>
              <w:top w:val="single" w:sz="12" w:space="0" w:color="000000"/>
            </w:tcBorders>
            <w:shd w:fill="auto" w:val="clear"/>
            <w:vAlign w:val="bottom"/>
          </w:tcPr>
          <w:p>
            <w:pPr>
              <w:pStyle w:val="TableContents"/>
              <w:spacing w:before="0" w:after="283"/>
              <w:rPr/>
            </w:pPr>
            <w:r>
              <w:rPr/>
              <w:t> </w:t>
            </w:r>
          </w:p>
        </w:tc>
        <w:tc>
          <w:tcPr>
            <w:tcW w:w="1488"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(Restated)</w:t>
            </w:r>
          </w:p>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tc>
        <w:tc>
          <w:tcPr>
            <w:tcW w:w="206" w:type="dxa"/>
            <w:tcBorders>
              <w:top w:val="single" w:sz="12" w:space="0" w:color="000000"/>
            </w:tcBorders>
            <w:shd w:fill="auto" w:val="clear"/>
            <w:vAlign w:val="bottom"/>
          </w:tcPr>
          <w:p>
            <w:pPr>
              <w:pStyle w:val="TableContents"/>
              <w:spacing w:before="0" w:after="283"/>
              <w:jc w:val="left"/>
              <w:rPr/>
            </w:pPr>
            <w:r>
              <w:rPr/>
              <w:t> </w:t>
            </w:r>
          </w:p>
        </w:tc>
      </w:tr>
      <w:tr>
        <w:trPr/>
        <w:tc>
          <w:tcPr>
            <w:tcW w:w="6664"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16" w:type="dxa"/>
            <w:tcBorders/>
            <w:shd w:fill="auto" w:val="clear"/>
            <w:tcMar>
              <w:top w:w="0" w:type="dxa"/>
            </w:tcMar>
            <w:vAlign w:val="bottom"/>
          </w:tcPr>
          <w:p>
            <w:pPr>
              <w:pStyle w:val="TableContents"/>
              <w:spacing w:before="0" w:after="283"/>
              <w:rPr/>
            </w:pPr>
            <w:r>
              <w:rPr/>
              <w:t> </w:t>
            </w:r>
          </w:p>
        </w:tc>
        <w:tc>
          <w:tcPr>
            <w:tcW w:w="1423"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2010</w:t>
            </w:r>
          </w:p>
        </w:tc>
        <w:tc>
          <w:tcPr>
            <w:tcW w:w="192"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rPr/>
            </w:pPr>
            <w:r>
              <w:rPr/>
              <w:t> </w:t>
            </w:r>
          </w:p>
        </w:tc>
        <w:tc>
          <w:tcPr>
            <w:tcW w:w="1488"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206" w:type="dxa"/>
            <w:tcBorders/>
            <w:shd w:fill="auto" w:val="clear"/>
            <w:tcMar>
              <w:top w:w="0" w:type="dxa"/>
            </w:tcMar>
            <w:vAlign w:val="bottom"/>
          </w:tcPr>
          <w:p>
            <w:pPr>
              <w:pStyle w:val="TableContents"/>
              <w:spacing w:before="0" w:after="283"/>
              <w:jc w:val="left"/>
              <w:rPr/>
            </w:pPr>
            <w:r>
              <w:rPr/>
              <w:t> </w:t>
            </w:r>
          </w:p>
        </w:tc>
      </w:tr>
      <w:tr>
        <w:trPr/>
        <w:tc>
          <w:tcPr>
            <w:tcW w:w="6664" w:type="dxa"/>
            <w:tcBorders/>
            <w:shd w:fill="auto" w:val="clear"/>
            <w:tcMar>
              <w:top w:w="0" w:type="dxa"/>
            </w:tcMar>
            <w:vAlign w:val="bottom"/>
          </w:tcPr>
          <w:p>
            <w:pPr>
              <w:pStyle w:val="TableContents"/>
              <w:spacing w:before="0" w:after="283"/>
              <w:rPr/>
            </w:pPr>
            <w:r>
              <w:rPr/>
              <w:t xml:space="preserve">  </w:t>
            </w:r>
          </w:p>
        </w:tc>
        <w:tc>
          <w:tcPr>
            <w:tcW w:w="116" w:type="dxa"/>
            <w:tcBorders/>
            <w:shd w:fill="auto" w:val="clear"/>
            <w:tcMar>
              <w:top w:w="0" w:type="dxa"/>
            </w:tcMar>
            <w:vAlign w:val="bottom"/>
          </w:tcPr>
          <w:p>
            <w:pPr>
              <w:pStyle w:val="TableContents"/>
              <w:spacing w:before="0" w:after="283"/>
              <w:rPr/>
            </w:pPr>
            <w:r>
              <w:rPr/>
              <w:t> </w:t>
            </w:r>
          </w:p>
        </w:tc>
        <w:tc>
          <w:tcPr>
            <w:tcW w:w="1423" w:type="dxa"/>
            <w:gridSpan w:val="2"/>
            <w:tcBorders/>
            <w:shd w:fill="auto" w:val="clear"/>
            <w:tcMar>
              <w:top w:w="0" w:type="dxa"/>
            </w:tcMar>
            <w:vAlign w:val="bottom"/>
          </w:tcPr>
          <w:p>
            <w:pPr>
              <w:pStyle w:val="TableContents"/>
              <w:spacing w:before="0" w:after="283"/>
              <w:rPr/>
            </w:pPr>
            <w:r>
              <w:rPr/>
              <w:t> </w:t>
            </w:r>
          </w:p>
        </w:tc>
        <w:tc>
          <w:tcPr>
            <w:tcW w:w="192"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rPr/>
            </w:pPr>
            <w:r>
              <w:rPr/>
              <w:t> </w:t>
            </w:r>
          </w:p>
        </w:tc>
        <w:tc>
          <w:tcPr>
            <w:tcW w:w="1488" w:type="dxa"/>
            <w:gridSpan w:val="2"/>
            <w:tcBorders/>
            <w:shd w:fill="auto" w:val="clear"/>
            <w:tcMar>
              <w:top w:w="0" w:type="dxa"/>
            </w:tcMar>
            <w:vAlign w:val="bottom"/>
          </w:tcPr>
          <w:p>
            <w:pPr>
              <w:pStyle w:val="TableContents"/>
              <w:spacing w:before="0" w:after="283"/>
              <w:rPr/>
            </w:pPr>
            <w:r>
              <w:rPr/>
              <w:t> </w:t>
            </w:r>
          </w:p>
        </w:tc>
        <w:tc>
          <w:tcPr>
            <w:tcW w:w="206" w:type="dxa"/>
            <w:tcBorders/>
            <w:shd w:fill="auto" w:val="clear"/>
            <w:tcMar>
              <w:top w:w="0" w:type="dxa"/>
            </w:tcMar>
            <w:vAlign w:val="bottom"/>
          </w:tcPr>
          <w:p>
            <w:pPr>
              <w:pStyle w:val="TableContents"/>
              <w:spacing w:before="0" w:after="283"/>
              <w:jc w:val="left"/>
              <w:rPr/>
            </w:pPr>
            <w:r>
              <w:rPr/>
              <w:t> </w:t>
            </w:r>
          </w:p>
        </w:tc>
      </w:tr>
      <w:tr>
        <w:trPr/>
        <w:tc>
          <w:tcPr>
            <w:tcW w:w="6664"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11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(5,090,651</w:t>
            </w:r>
          </w:p>
        </w:tc>
        <w:tc>
          <w:tcPr>
            <w:tcW w:w="1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(17,599,008</w:t>
            </w:r>
          </w:p>
        </w:tc>
        <w:tc>
          <w:tcPr>
            <w:tcW w:w="20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64"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Corporate tax rate</w:t>
            </w:r>
          </w:p>
        </w:tc>
        <w:tc>
          <w:tcPr>
            <w:tcW w:w="116" w:type="dxa"/>
            <w:tcBorders/>
            <w:shd w:fill="auto" w:val="clear"/>
            <w:tcMar>
              <w:top w:w="0" w:type="dxa"/>
            </w:tcMar>
            <w:vAlign w:val="bottom"/>
          </w:tcPr>
          <w:p>
            <w:pPr>
              <w:pStyle w:val="TableContents"/>
              <w:spacing w:before="0" w:after="283"/>
              <w:jc w:val="right"/>
              <w:rPr/>
            </w:pPr>
            <w:r>
              <w:rPr/>
              <w:t> </w:t>
            </w:r>
          </w:p>
        </w:tc>
        <w:tc>
          <w:tcPr>
            <w:tcW w:w="15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6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35.00</w:t>
            </w:r>
          </w:p>
        </w:tc>
        <w:tc>
          <w:tcPr>
            <w:tcW w:w="1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 w:type="dxa"/>
            <w:tcBorders/>
            <w:shd w:fill="auto" w:val="clear"/>
            <w:tcMar>
              <w:top w:w="0" w:type="dxa"/>
            </w:tcMar>
            <w:vAlign w:val="bottom"/>
          </w:tcPr>
          <w:p>
            <w:pPr>
              <w:pStyle w:val="TableContents"/>
              <w:spacing w:before="0" w:after="283"/>
              <w:jc w:val="right"/>
              <w:rPr/>
            </w:pPr>
            <w:r>
              <w:rPr/>
              <w:t> </w:t>
            </w:r>
          </w:p>
        </w:tc>
        <w:tc>
          <w:tcPr>
            <w:tcW w:w="15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33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35.00</w:t>
            </w:r>
          </w:p>
        </w:tc>
        <w:tc>
          <w:tcPr>
            <w:tcW w:w="20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64"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tax recovery</w:t>
            </w:r>
          </w:p>
        </w:tc>
        <w:tc>
          <w:tcPr>
            <w:tcW w:w="11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126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(1,781,729</w:t>
            </w:r>
          </w:p>
        </w:tc>
        <w:tc>
          <w:tcPr>
            <w:tcW w:w="1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133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(6,159,653</w:t>
            </w:r>
          </w:p>
        </w:tc>
        <w:tc>
          <w:tcPr>
            <w:tcW w:w="20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64" w:type="dxa"/>
            <w:tcBorders/>
            <w:shd w:fill="auto" w:val="clear"/>
            <w:tcMar>
              <w:top w:w="0" w:type="dxa"/>
            </w:tcMar>
            <w:vAlign w:val="bottom"/>
          </w:tcPr>
          <w:p>
            <w:pPr>
              <w:pStyle w:val="TableContents"/>
              <w:spacing w:before="0" w:after="283"/>
              <w:rPr/>
            </w:pPr>
            <w:r>
              <w:rPr/>
              <w:t xml:space="preserve">  </w:t>
            </w:r>
          </w:p>
        </w:tc>
        <w:tc>
          <w:tcPr>
            <w:tcW w:w="116" w:type="dxa"/>
            <w:tcBorders/>
            <w:shd w:fill="auto" w:val="clear"/>
            <w:tcMar>
              <w:top w:w="0" w:type="dxa"/>
            </w:tcMar>
            <w:vAlign w:val="bottom"/>
          </w:tcPr>
          <w:p>
            <w:pPr>
              <w:pStyle w:val="TableContents"/>
              <w:spacing w:before="0" w:after="283"/>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1268" w:type="dxa"/>
            <w:tcBorders/>
            <w:shd w:fill="auto" w:val="clear"/>
            <w:tcMar>
              <w:top w:w="0" w:type="dxa"/>
            </w:tcMar>
            <w:vAlign w:val="bottom"/>
          </w:tcPr>
          <w:p>
            <w:pPr>
              <w:pStyle w:val="TableContents"/>
              <w:spacing w:before="0" w:after="283"/>
              <w:jc w:val="right"/>
              <w:rPr/>
            </w:pPr>
            <w:r>
              <w:rPr/>
              <w:t> </w:t>
            </w:r>
          </w:p>
        </w:tc>
        <w:tc>
          <w:tcPr>
            <w:tcW w:w="192"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1333" w:type="dxa"/>
            <w:tcBorders/>
            <w:shd w:fill="auto" w:val="clear"/>
            <w:tcMar>
              <w:top w:w="0" w:type="dxa"/>
            </w:tcMar>
            <w:vAlign w:val="bottom"/>
          </w:tcPr>
          <w:p>
            <w:pPr>
              <w:pStyle w:val="TableContents"/>
              <w:spacing w:before="0" w:after="283"/>
              <w:jc w:val="right"/>
              <w:rPr/>
            </w:pPr>
            <w:r>
              <w:rPr/>
              <w:t> </w:t>
            </w:r>
          </w:p>
        </w:tc>
        <w:tc>
          <w:tcPr>
            <w:tcW w:w="206" w:type="dxa"/>
            <w:tcBorders/>
            <w:shd w:fill="auto" w:val="clear"/>
            <w:tcMar>
              <w:top w:w="0" w:type="dxa"/>
            </w:tcMar>
            <w:vAlign w:val="bottom"/>
          </w:tcPr>
          <w:p>
            <w:pPr>
              <w:pStyle w:val="TableContents"/>
              <w:spacing w:before="0" w:after="283"/>
              <w:jc w:val="left"/>
              <w:rPr/>
            </w:pPr>
            <w:r>
              <w:rPr/>
              <w:t> </w:t>
            </w:r>
          </w:p>
        </w:tc>
      </w:tr>
      <w:tr>
        <w:trPr/>
        <w:tc>
          <w:tcPr>
            <w:tcW w:w="6664"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Increase (decrease) resulting from:</w:t>
            </w:r>
          </w:p>
        </w:tc>
        <w:tc>
          <w:tcPr>
            <w:tcW w:w="116" w:type="dxa"/>
            <w:tcBorders/>
            <w:shd w:fill="auto" w:val="clear"/>
            <w:tcMar>
              <w:top w:w="0" w:type="dxa"/>
            </w:tcMar>
            <w:vAlign w:val="bottom"/>
          </w:tcPr>
          <w:p>
            <w:pPr>
              <w:pStyle w:val="TableContents"/>
              <w:spacing w:before="0" w:after="283"/>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1268" w:type="dxa"/>
            <w:tcBorders/>
            <w:shd w:fill="auto" w:val="clear"/>
            <w:tcMar>
              <w:top w:w="0" w:type="dxa"/>
            </w:tcMar>
            <w:vAlign w:val="bottom"/>
          </w:tcPr>
          <w:p>
            <w:pPr>
              <w:pStyle w:val="TableContents"/>
              <w:spacing w:before="0" w:after="283"/>
              <w:jc w:val="right"/>
              <w:rPr/>
            </w:pPr>
            <w:r>
              <w:rPr/>
              <w:t> </w:t>
            </w:r>
          </w:p>
        </w:tc>
        <w:tc>
          <w:tcPr>
            <w:tcW w:w="192"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1333" w:type="dxa"/>
            <w:tcBorders/>
            <w:shd w:fill="auto" w:val="clear"/>
            <w:tcMar>
              <w:top w:w="0" w:type="dxa"/>
            </w:tcMar>
            <w:vAlign w:val="bottom"/>
          </w:tcPr>
          <w:p>
            <w:pPr>
              <w:pStyle w:val="TableContents"/>
              <w:spacing w:before="0" w:after="283"/>
              <w:jc w:val="right"/>
              <w:rPr/>
            </w:pPr>
            <w:r>
              <w:rPr/>
              <w:t> </w:t>
            </w:r>
          </w:p>
        </w:tc>
        <w:tc>
          <w:tcPr>
            <w:tcW w:w="206" w:type="dxa"/>
            <w:tcBorders/>
            <w:shd w:fill="auto" w:val="clear"/>
            <w:tcMar>
              <w:top w:w="0" w:type="dxa"/>
            </w:tcMar>
            <w:vAlign w:val="bottom"/>
          </w:tcPr>
          <w:p>
            <w:pPr>
              <w:pStyle w:val="TableContents"/>
              <w:spacing w:before="0" w:after="283"/>
              <w:jc w:val="left"/>
              <w:rPr/>
            </w:pPr>
            <w:r>
              <w:rPr/>
              <w:t> </w:t>
            </w:r>
          </w:p>
        </w:tc>
      </w:tr>
      <w:tr>
        <w:trPr/>
        <w:tc>
          <w:tcPr>
            <w:tcW w:w="666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Permanent differences</w:t>
            </w:r>
          </w:p>
        </w:tc>
        <w:tc>
          <w:tcPr>
            <w:tcW w:w="11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126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401,563</w:t>
            </w:r>
          </w:p>
        </w:tc>
        <w:tc>
          <w:tcPr>
            <w:tcW w:w="192"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133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4,975,492</w:t>
            </w:r>
          </w:p>
        </w:tc>
        <w:tc>
          <w:tcPr>
            <w:tcW w:w="206" w:type="dxa"/>
            <w:tcBorders/>
            <w:shd w:fill="auto" w:val="clear"/>
            <w:tcMar>
              <w:top w:w="0" w:type="dxa"/>
            </w:tcMar>
            <w:vAlign w:val="bottom"/>
          </w:tcPr>
          <w:p>
            <w:pPr>
              <w:pStyle w:val="TableContents"/>
              <w:spacing w:before="0" w:after="283"/>
              <w:jc w:val="left"/>
              <w:rPr/>
            </w:pPr>
            <w:r>
              <w:rPr/>
              <w:t> </w:t>
            </w:r>
          </w:p>
        </w:tc>
      </w:tr>
      <w:tr>
        <w:trPr/>
        <w:tc>
          <w:tcPr>
            <w:tcW w:w="666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Other items</w:t>
            </w:r>
          </w:p>
        </w:tc>
        <w:tc>
          <w:tcPr>
            <w:tcW w:w="11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126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(3,908</w:t>
            </w:r>
          </w:p>
        </w:tc>
        <w:tc>
          <w:tcPr>
            <w:tcW w:w="1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133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(3,908</w:t>
            </w:r>
          </w:p>
        </w:tc>
        <w:tc>
          <w:tcPr>
            <w:tcW w:w="20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64"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Change in enacted tax rates</w:t>
            </w:r>
          </w:p>
        </w:tc>
        <w:tc>
          <w:tcPr>
            <w:tcW w:w="11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126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2"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133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6" w:type="dxa"/>
            <w:tcBorders/>
            <w:shd w:fill="auto" w:val="clear"/>
            <w:tcMar>
              <w:top w:w="0" w:type="dxa"/>
            </w:tcMar>
            <w:vAlign w:val="bottom"/>
          </w:tcPr>
          <w:p>
            <w:pPr>
              <w:pStyle w:val="TableContents"/>
              <w:spacing w:before="0" w:after="283"/>
              <w:jc w:val="left"/>
              <w:rPr/>
            </w:pPr>
            <w:r>
              <w:rPr/>
              <w:t> </w:t>
            </w:r>
          </w:p>
        </w:tc>
      </w:tr>
      <w:tr>
        <w:trPr/>
        <w:tc>
          <w:tcPr>
            <w:tcW w:w="6664"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Change in valuation allowance</w:t>
            </w:r>
          </w:p>
        </w:tc>
        <w:tc>
          <w:tcPr>
            <w:tcW w:w="116" w:type="dxa"/>
            <w:tcBorders/>
            <w:shd w:fill="auto" w:val="clear"/>
            <w:tcMar>
              <w:top w:w="0" w:type="dxa"/>
            </w:tcMar>
            <w:vAlign w:val="bottom"/>
          </w:tcPr>
          <w:p>
            <w:pPr>
              <w:pStyle w:val="TableContents"/>
              <w:spacing w:before="0" w:after="283"/>
              <w:jc w:val="right"/>
              <w:rPr/>
            </w:pPr>
            <w:r>
              <w:rPr/>
              <w:t> </w:t>
            </w:r>
          </w:p>
        </w:tc>
        <w:tc>
          <w:tcPr>
            <w:tcW w:w="15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6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1,384,074</w:t>
            </w:r>
          </w:p>
        </w:tc>
        <w:tc>
          <w:tcPr>
            <w:tcW w:w="192"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jc w:val="right"/>
              <w:rPr/>
            </w:pPr>
            <w:r>
              <w:rPr/>
              <w:t> </w:t>
            </w:r>
          </w:p>
        </w:tc>
        <w:tc>
          <w:tcPr>
            <w:tcW w:w="15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33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1,188,069</w:t>
            </w:r>
          </w:p>
        </w:tc>
        <w:tc>
          <w:tcPr>
            <w:tcW w:w="206" w:type="dxa"/>
            <w:tcBorders/>
            <w:shd w:fill="auto" w:val="clear"/>
            <w:tcMar>
              <w:top w:w="0" w:type="dxa"/>
            </w:tcMar>
            <w:vAlign w:val="bottom"/>
          </w:tcPr>
          <w:p>
            <w:pPr>
              <w:pStyle w:val="TableContents"/>
              <w:spacing w:before="0" w:after="283"/>
              <w:jc w:val="left"/>
              <w:rPr/>
            </w:pPr>
            <w:r>
              <w:rPr/>
              <w:t> </w:t>
            </w:r>
          </w:p>
        </w:tc>
      </w:tr>
      <w:tr>
        <w:trPr/>
        <w:tc>
          <w:tcPr>
            <w:tcW w:w="6664"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 recovery</w:t>
            </w:r>
          </w:p>
        </w:tc>
        <w:tc>
          <w:tcPr>
            <w:tcW w:w="116" w:type="dxa"/>
            <w:tcBorders/>
            <w:shd w:fill="auto" w:val="clear"/>
            <w:tcMar>
              <w:top w:w="0" w:type="dxa"/>
            </w:tcMar>
            <w:vAlign w:val="bottom"/>
          </w:tcPr>
          <w:p>
            <w:pPr>
              <w:pStyle w:val="TableContents"/>
              <w:spacing w:before="0" w:after="283"/>
              <w:jc w:val="right"/>
              <w:rPr/>
            </w:pPr>
            <w:r>
              <w:rPr/>
              <w:t> </w:t>
            </w:r>
          </w:p>
        </w:tc>
        <w:tc>
          <w:tcPr>
            <w:tcW w:w="15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2"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jc w:val="right"/>
              <w:rPr/>
            </w:pPr>
            <w:r>
              <w:rPr/>
              <w:t> </w:t>
            </w:r>
          </w:p>
        </w:tc>
        <w:tc>
          <w:tcPr>
            <w:tcW w:w="15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3"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6"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Company’s potential estimated deferred tax assets are as follows:</w:t>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7352"/>
        <w:gridCol w:w="108"/>
        <w:gridCol w:w="125"/>
        <w:gridCol w:w="1076"/>
        <w:gridCol w:w="113"/>
        <w:gridCol w:w="108"/>
        <w:gridCol w:w="125"/>
        <w:gridCol w:w="1076"/>
        <w:gridCol w:w="122"/>
      </w:tblGrid>
      <w:tr>
        <w:trPr/>
        <w:tc>
          <w:tcPr>
            <w:tcW w:w="7352" w:type="dxa"/>
            <w:tcBorders>
              <w:top w:val="single" w:sz="12" w:space="0" w:color="000000"/>
            </w:tcBorders>
            <w:shd w:fill="auto" w:val="clear"/>
            <w:vAlign w:val="bottom"/>
          </w:tcPr>
          <w:p>
            <w:pPr>
              <w:pStyle w:val="TableContents"/>
              <w:spacing w:before="0" w:after="283"/>
              <w:rPr/>
            </w:pPr>
            <w:r>
              <w:rPr/>
              <w:t xml:space="preserve">  </w:t>
            </w:r>
          </w:p>
        </w:tc>
        <w:tc>
          <w:tcPr>
            <w:tcW w:w="108" w:type="dxa"/>
            <w:tcBorders>
              <w:top w:val="single" w:sz="12" w:space="0" w:color="000000"/>
            </w:tcBorders>
            <w:shd w:fill="auto" w:val="clear"/>
            <w:vAlign w:val="bottom"/>
          </w:tcPr>
          <w:p>
            <w:pPr>
              <w:pStyle w:val="TableContents"/>
              <w:spacing w:before="0" w:after="283"/>
              <w:rPr/>
            </w:pPr>
            <w:r>
              <w:rPr/>
              <w:t> </w:t>
            </w:r>
          </w:p>
        </w:tc>
        <w:tc>
          <w:tcPr>
            <w:tcW w:w="1201"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tc>
        <w:tc>
          <w:tcPr>
            <w:tcW w:w="113" w:type="dxa"/>
            <w:tcBorders>
              <w:top w:val="single" w:sz="12" w:space="0" w:color="000000"/>
            </w:tcBorders>
            <w:shd w:fill="auto" w:val="clear"/>
            <w:vAlign w:val="bottom"/>
          </w:tcPr>
          <w:p>
            <w:pPr>
              <w:pStyle w:val="TableContents"/>
              <w:spacing w:before="0" w:after="283"/>
              <w:jc w:val="left"/>
              <w:rPr/>
            </w:pPr>
            <w:r>
              <w:rPr/>
              <w:t> </w:t>
            </w:r>
          </w:p>
        </w:tc>
        <w:tc>
          <w:tcPr>
            <w:tcW w:w="108" w:type="dxa"/>
            <w:tcBorders>
              <w:top w:val="single" w:sz="12" w:space="0" w:color="000000"/>
            </w:tcBorders>
            <w:shd w:fill="auto" w:val="clear"/>
            <w:vAlign w:val="bottom"/>
          </w:tcPr>
          <w:p>
            <w:pPr>
              <w:pStyle w:val="TableContents"/>
              <w:spacing w:before="0" w:after="283"/>
              <w:rPr/>
            </w:pPr>
            <w:r>
              <w:rPr/>
              <w:t> </w:t>
            </w:r>
          </w:p>
        </w:tc>
        <w:tc>
          <w:tcPr>
            <w:tcW w:w="1201"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tc>
        <w:tc>
          <w:tcPr>
            <w:tcW w:w="122" w:type="dxa"/>
            <w:tcBorders>
              <w:top w:val="single" w:sz="12" w:space="0" w:color="000000"/>
            </w:tcBorders>
            <w:shd w:fill="auto" w:val="clear"/>
            <w:vAlign w:val="bottom"/>
          </w:tcPr>
          <w:p>
            <w:pPr>
              <w:pStyle w:val="TableContents"/>
              <w:spacing w:before="0" w:after="283"/>
              <w:jc w:val="left"/>
              <w:rPr/>
            </w:pPr>
            <w:r>
              <w:rPr/>
              <w:t> </w:t>
            </w:r>
          </w:p>
        </w:tc>
      </w:tr>
      <w:tr>
        <w:trPr/>
        <w:tc>
          <w:tcPr>
            <w:tcW w:w="7352"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2010</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22" w:type="dxa"/>
            <w:tcBorders/>
            <w:shd w:fill="auto" w:val="clear"/>
            <w:tcMar>
              <w:top w:w="0" w:type="dxa"/>
            </w:tcMar>
            <w:vAlign w:val="bottom"/>
          </w:tcPr>
          <w:p>
            <w:pPr>
              <w:pStyle w:val="TableContents"/>
              <w:spacing w:before="0" w:after="283"/>
              <w:jc w:val="left"/>
              <w:rPr/>
            </w:pPr>
            <w:r>
              <w:rPr/>
              <w:t> </w:t>
            </w:r>
          </w:p>
        </w:tc>
      </w:tr>
      <w:tr>
        <w:trPr/>
        <w:tc>
          <w:tcPr>
            <w:tcW w:w="7352" w:type="dxa"/>
            <w:tcBorders/>
            <w:shd w:fill="auto" w:val="clear"/>
            <w:tcMar>
              <w:top w:w="0" w:type="dxa"/>
            </w:tcMar>
            <w:vAlign w:val="bottom"/>
          </w:tcPr>
          <w:p>
            <w:pPr>
              <w:pStyle w:val="TableContents"/>
              <w:spacing w:before="0" w:after="283"/>
              <w:rPr/>
            </w:pPr>
            <w:r>
              <w:rPr/>
              <w:t xml:space="preserve">  </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735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tax assets:</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735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Stock option expense</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2,730,750</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2,333,683</w:t>
            </w:r>
          </w:p>
        </w:tc>
        <w:tc>
          <w:tcPr>
            <w:tcW w:w="122" w:type="dxa"/>
            <w:tcBorders/>
            <w:shd w:fill="auto" w:val="clear"/>
            <w:tcMar>
              <w:top w:w="0" w:type="dxa"/>
            </w:tcMar>
            <w:vAlign w:val="bottom"/>
          </w:tcPr>
          <w:p>
            <w:pPr>
              <w:pStyle w:val="TableContents"/>
              <w:spacing w:before="0" w:after="283"/>
              <w:jc w:val="left"/>
              <w:rPr/>
            </w:pPr>
            <w:r>
              <w:rPr/>
              <w:t> </w:t>
            </w:r>
          </w:p>
        </w:tc>
      </w:tr>
      <w:tr>
        <w:trPr/>
        <w:tc>
          <w:tcPr>
            <w:tcW w:w="735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carry-forwards and tax pools</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5,019,895</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3,966,692</w:t>
            </w:r>
          </w:p>
        </w:tc>
        <w:tc>
          <w:tcPr>
            <w:tcW w:w="122" w:type="dxa"/>
            <w:tcBorders/>
            <w:shd w:fill="auto" w:val="clear"/>
            <w:tcMar>
              <w:top w:w="0" w:type="dxa"/>
            </w:tcMar>
            <w:vAlign w:val="bottom"/>
          </w:tcPr>
          <w:p>
            <w:pPr>
              <w:pStyle w:val="TableContents"/>
              <w:spacing w:before="0" w:after="283"/>
              <w:jc w:val="left"/>
              <w:rPr/>
            </w:pPr>
            <w:r>
              <w:rPr/>
              <w:t> </w:t>
            </w:r>
          </w:p>
        </w:tc>
      </w:tr>
      <w:tr>
        <w:trPr/>
        <w:tc>
          <w:tcPr>
            <w:tcW w:w="735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Valuation allowance</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(7,750,645</w:t>
            </w:r>
          </w:p>
        </w:tc>
        <w:tc>
          <w:tcPr>
            <w:tcW w:w="11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(6,300,375</w:t>
            </w:r>
          </w:p>
        </w:tc>
        <w:tc>
          <w:tcPr>
            <w:tcW w:w="12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52"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deferred income tax assets</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the criteria for recognizing future income tax assets have not been met due to the uncertainty of realization, a valuation allowance of 100% has been recorded for the current and prior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filed income tax returns for several years for the US entities within the consolidated group of companies. Canadian corporate tax returns to the end of 2007 have been filed. Both taxing authorities prescribe penalties for failing to file certain tax returns and supplemental disclosures. Upon filing and/or review there could be penalties and interest assessed. Such penalties vary by jurisdiction and by assessing practices and authorities. As the Company has incurred losses since inception anticipated risk for exposure to penalties for income tax liability is determined to be low. However, certain jurisdictions may assess penalties for failing to file returns and other disclosures and for failing to file other supplementary information associated with foreign ownership, debt and equity positions. Inherent uncertainties arise over tax positions taken, or expected to be taken, with respect to transfer pricing, inter-company charges and allocations, financing charges, fees, related party transactions, tax credits, tax based incentives and stock based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has considered the likelihood and significance of possible penalties associated with its current and intended filing positions and has determined, based on their assessment, that such penalties, if any, would not be expected to be material (Note 11).</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10:                  SUPPLEMENTAL CASH FLOW INFORMATION AND NON-CASH INVESTING AND FINANCING ACTIVITIES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2010, the prepaid portion of the fair value of shares issued pursuant to consulting services agreements was $nil (December 31, 2009 - $214,501).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2010, $100,000 of accounts payable was settled by the issuance of 750,000 share purchase warrants, exercisable at $0.50 per share for a 5 year period (Note 8).</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2010, $90,412 of accounts payable was settled by the issuance of 361,648 restricted common shares at a deemed price of $0.25 per share (Note 8).</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a consulting services arrangement entered into January 19, 2010, the Company issued 600,000 share purchase warrants with an exercise price of $0.50 per share and 600,000 share purchase warrants with an exercise price of $0.60 per share exercisable for a three year period (Note 8).</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See Notes 5 and 8 for additional disclosure on non-cash transactions.</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1" w:name="PGBRK49"/>
      <w:bookmarkStart w:id="532" w:name="PGBRK49"/>
      <w:bookmarkEnd w:id="5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3" w:name="FTR49"/>
      <w:bookmarkStart w:id="534" w:name="FTR49"/>
      <w:bookmarkEnd w:id="5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5" w:name="GLFTR49"/>
      <w:bookmarkEnd w:id="5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36" w:name="PN49"/>
      <w:bookmarkEnd w:id="536"/>
      <w:r>
        <w:rPr>
          <w:rFonts w:ascii="Times New Roman" w:hAnsi="Times New Roman"/>
          <w:sz w:val="20"/>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7" w:name="HDR49"/>
      <w:bookmarkStart w:id="538" w:name="HDR49"/>
      <w:bookmarkEnd w:id="5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39" w:name="GLHDR49"/>
      <w:bookmarkEnd w:id="5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7177"/>
        <w:gridCol w:w="133"/>
        <w:gridCol w:w="327"/>
        <w:gridCol w:w="887"/>
        <w:gridCol w:w="158"/>
        <w:gridCol w:w="158"/>
        <w:gridCol w:w="324"/>
        <w:gridCol w:w="890"/>
        <w:gridCol w:w="151"/>
      </w:tblGrid>
      <w:tr>
        <w:trPr/>
        <w:tc>
          <w:tcPr>
            <w:tcW w:w="7177" w:type="dxa"/>
            <w:tcBorders>
              <w:top w:val="single" w:sz="12" w:space="0" w:color="000000"/>
            </w:tcBorders>
            <w:shd w:fill="auto" w:val="clear"/>
            <w:vAlign w:val="bottom"/>
          </w:tcPr>
          <w:p>
            <w:pPr>
              <w:pStyle w:val="TableContents"/>
              <w:spacing w:before="0" w:after="283"/>
              <w:rPr/>
            </w:pPr>
            <w:r>
              <w:rPr/>
              <w:t> </w:t>
            </w:r>
          </w:p>
        </w:tc>
        <w:tc>
          <w:tcPr>
            <w:tcW w:w="133" w:type="dxa"/>
            <w:tcBorders>
              <w:top w:val="single" w:sz="12" w:space="0" w:color="000000"/>
            </w:tcBorders>
            <w:shd w:fill="auto" w:val="clear"/>
            <w:vAlign w:val="bottom"/>
          </w:tcPr>
          <w:p>
            <w:pPr>
              <w:pStyle w:val="TableContents"/>
              <w:spacing w:before="0" w:after="283"/>
              <w:rPr/>
            </w:pPr>
            <w:r>
              <w:rPr/>
              <w:t> </w:t>
            </w:r>
          </w:p>
        </w:tc>
        <w:tc>
          <w:tcPr>
            <w:tcW w:w="2744"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 December 31,</w:t>
            </w:r>
          </w:p>
        </w:tc>
        <w:tc>
          <w:tcPr>
            <w:tcW w:w="151" w:type="dxa"/>
            <w:tcBorders>
              <w:top w:val="single" w:sz="12" w:space="0" w:color="000000"/>
            </w:tcBorders>
            <w:shd w:fill="auto" w:val="clear"/>
            <w:vAlign w:val="bottom"/>
          </w:tcPr>
          <w:p>
            <w:pPr>
              <w:pStyle w:val="TableContents"/>
              <w:spacing w:before="0" w:after="283"/>
              <w:jc w:val="left"/>
              <w:rPr/>
            </w:pPr>
            <w:r>
              <w:rPr/>
              <w:t> </w:t>
            </w:r>
          </w:p>
        </w:tc>
      </w:tr>
      <w:tr>
        <w:trPr/>
        <w:tc>
          <w:tcPr>
            <w:tcW w:w="7177"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33" w:type="dxa"/>
            <w:tcBorders/>
            <w:shd w:fill="auto" w:val="clear"/>
            <w:tcMar>
              <w:top w:w="0" w:type="dxa"/>
            </w:tcMar>
            <w:vAlign w:val="bottom"/>
          </w:tcPr>
          <w:p>
            <w:pPr>
              <w:pStyle w:val="TableContents"/>
              <w:spacing w:before="0" w:after="283"/>
              <w:jc w:val="right"/>
              <w:rPr/>
            </w:pPr>
            <w:r>
              <w:rPr/>
              <w:t> </w:t>
            </w:r>
          </w:p>
        </w:tc>
        <w:tc>
          <w:tcPr>
            <w:tcW w:w="121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2010</w:t>
            </w:r>
          </w:p>
        </w:tc>
        <w:tc>
          <w:tcPr>
            <w:tcW w:w="158" w:type="dxa"/>
            <w:tcBorders/>
            <w:shd w:fill="auto" w:val="clear"/>
            <w:tcMar>
              <w:top w:w="0" w:type="dxa"/>
            </w:tcMar>
            <w:vAlign w:val="bottom"/>
          </w:tcPr>
          <w:p>
            <w:pPr>
              <w:pStyle w:val="TableContents"/>
              <w:spacing w:before="0" w:after="283"/>
              <w:jc w:val="left"/>
              <w:rPr/>
            </w:pPr>
            <w:r>
              <w:rPr/>
              <w:t> </w:t>
            </w:r>
          </w:p>
        </w:tc>
        <w:tc>
          <w:tcPr>
            <w:tcW w:w="158" w:type="dxa"/>
            <w:tcBorders/>
            <w:shd w:fill="auto" w:val="clear"/>
            <w:tcMar>
              <w:top w:w="0" w:type="dxa"/>
            </w:tcMar>
            <w:vAlign w:val="bottom"/>
          </w:tcPr>
          <w:p>
            <w:pPr>
              <w:pStyle w:val="TableContents"/>
              <w:spacing w:before="0" w:after="283"/>
              <w:jc w:val="right"/>
              <w:rPr/>
            </w:pPr>
            <w:r>
              <w:rPr/>
              <w:t> </w:t>
            </w:r>
          </w:p>
        </w:tc>
        <w:tc>
          <w:tcPr>
            <w:tcW w:w="121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2009</w:t>
            </w:r>
          </w:p>
        </w:tc>
        <w:tc>
          <w:tcPr>
            <w:tcW w:w="151" w:type="dxa"/>
            <w:tcBorders/>
            <w:shd w:fill="auto" w:val="clear"/>
            <w:tcMar>
              <w:top w:w="0" w:type="dxa"/>
            </w:tcMar>
            <w:vAlign w:val="bottom"/>
          </w:tcPr>
          <w:p>
            <w:pPr>
              <w:pStyle w:val="TableContents"/>
              <w:spacing w:before="0" w:after="283"/>
              <w:jc w:val="left"/>
              <w:rPr/>
            </w:pPr>
            <w:r>
              <w:rPr/>
              <w:t> </w:t>
            </w:r>
          </w:p>
        </w:tc>
      </w:tr>
      <w:tr>
        <w:trPr/>
        <w:tc>
          <w:tcPr>
            <w:tcW w:w="7177" w:type="dxa"/>
            <w:tcBorders/>
            <w:shd w:fill="auto" w:val="clear"/>
            <w:tcMar>
              <w:top w:w="0" w:type="dxa"/>
            </w:tcMar>
            <w:vAlign w:val="bottom"/>
          </w:tcPr>
          <w:p>
            <w:pPr>
              <w:pStyle w:val="TableContents"/>
              <w:spacing w:before="0" w:after="283"/>
              <w:rPr/>
            </w:pPr>
            <w:r>
              <w:rPr/>
              <w:t xml:space="preserve">  </w:t>
            </w:r>
          </w:p>
        </w:tc>
        <w:tc>
          <w:tcPr>
            <w:tcW w:w="133" w:type="dxa"/>
            <w:tcBorders/>
            <w:shd w:fill="auto" w:val="clear"/>
            <w:tcMar>
              <w:top w:w="0" w:type="dxa"/>
            </w:tcMar>
            <w:vAlign w:val="bottom"/>
          </w:tcPr>
          <w:p>
            <w:pPr>
              <w:pStyle w:val="TableContents"/>
              <w:spacing w:before="0" w:after="283"/>
              <w:rPr/>
            </w:pPr>
            <w:r>
              <w:rPr/>
              <w:t> </w:t>
            </w:r>
          </w:p>
        </w:tc>
        <w:tc>
          <w:tcPr>
            <w:tcW w:w="1214" w:type="dxa"/>
            <w:gridSpan w:val="2"/>
            <w:tcBorders/>
            <w:shd w:fill="auto" w:val="clear"/>
            <w:tcMar>
              <w:top w:w="0" w:type="dxa"/>
            </w:tcMar>
            <w:vAlign w:val="bottom"/>
          </w:tcPr>
          <w:p>
            <w:pPr>
              <w:pStyle w:val="TableContents"/>
              <w:spacing w:before="0" w:after="283"/>
              <w:rPr/>
            </w:pPr>
            <w:r>
              <w:rPr/>
              <w:t> </w:t>
            </w:r>
          </w:p>
        </w:tc>
        <w:tc>
          <w:tcPr>
            <w:tcW w:w="158" w:type="dxa"/>
            <w:tcBorders/>
            <w:shd w:fill="auto" w:val="clear"/>
            <w:tcMar>
              <w:top w:w="0" w:type="dxa"/>
            </w:tcMar>
            <w:vAlign w:val="bottom"/>
          </w:tcPr>
          <w:p>
            <w:pPr>
              <w:pStyle w:val="TableContents"/>
              <w:spacing w:before="0" w:after="283"/>
              <w:jc w:val="left"/>
              <w:rPr/>
            </w:pPr>
            <w:r>
              <w:rPr/>
              <w:t> </w:t>
            </w:r>
          </w:p>
        </w:tc>
        <w:tc>
          <w:tcPr>
            <w:tcW w:w="158" w:type="dxa"/>
            <w:tcBorders/>
            <w:shd w:fill="auto" w:val="clear"/>
            <w:tcMar>
              <w:top w:w="0" w:type="dxa"/>
            </w:tcMar>
            <w:vAlign w:val="bottom"/>
          </w:tcPr>
          <w:p>
            <w:pPr>
              <w:pStyle w:val="TableContents"/>
              <w:spacing w:before="0" w:after="283"/>
              <w:rPr/>
            </w:pPr>
            <w:r>
              <w:rPr/>
              <w:t> </w:t>
            </w:r>
          </w:p>
        </w:tc>
        <w:tc>
          <w:tcPr>
            <w:tcW w:w="1214" w:type="dxa"/>
            <w:gridSpan w:val="2"/>
            <w:tcBorders/>
            <w:shd w:fill="auto" w:val="clear"/>
            <w:tcMar>
              <w:top w:w="0" w:type="dxa"/>
            </w:tcMar>
            <w:vAlign w:val="bottom"/>
          </w:tcPr>
          <w:p>
            <w:pPr>
              <w:pStyle w:val="TableContents"/>
              <w:spacing w:before="0" w:after="283"/>
              <w:rPr/>
            </w:pPr>
            <w:r>
              <w:rPr/>
              <w:t> </w:t>
            </w:r>
          </w:p>
        </w:tc>
        <w:tc>
          <w:tcPr>
            <w:tcW w:w="151" w:type="dxa"/>
            <w:tcBorders/>
            <w:shd w:fill="auto" w:val="clear"/>
            <w:tcMar>
              <w:top w:w="0" w:type="dxa"/>
            </w:tcMar>
            <w:vAlign w:val="bottom"/>
          </w:tcPr>
          <w:p>
            <w:pPr>
              <w:pStyle w:val="TableContents"/>
              <w:spacing w:before="0" w:after="283"/>
              <w:jc w:val="left"/>
              <w:rPr/>
            </w:pPr>
            <w:r>
              <w:rPr/>
              <w:t> </w:t>
            </w:r>
          </w:p>
        </w:tc>
      </w:tr>
      <w:tr>
        <w:trPr/>
        <w:tc>
          <w:tcPr>
            <w:tcW w:w="717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paid</w:t>
            </w:r>
          </w:p>
        </w:tc>
        <w:tc>
          <w:tcPr>
            <w:tcW w:w="133" w:type="dxa"/>
            <w:tcBorders/>
            <w:shd w:fill="auto" w:val="clear"/>
            <w:tcMar>
              <w:top w:w="0" w:type="dxa"/>
            </w:tcMar>
            <w:vAlign w:val="bottom"/>
          </w:tcPr>
          <w:p>
            <w:pPr>
              <w:pStyle w:val="TableContents"/>
              <w:spacing w:before="0" w:after="283"/>
              <w:jc w:val="right"/>
              <w:rPr/>
            </w:pPr>
            <w:r>
              <w:rPr/>
              <w:t> </w:t>
            </w:r>
          </w:p>
        </w:tc>
        <w:tc>
          <w:tcPr>
            <w:tcW w:w="32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8" w:type="dxa"/>
            <w:tcBorders/>
            <w:shd w:fill="auto" w:val="clear"/>
            <w:tcMar>
              <w:top w:w="0" w:type="dxa"/>
            </w:tcMar>
            <w:vAlign w:val="bottom"/>
          </w:tcPr>
          <w:p>
            <w:pPr>
              <w:pStyle w:val="TableContents"/>
              <w:spacing w:before="0" w:after="283"/>
              <w:jc w:val="left"/>
              <w:rPr/>
            </w:pPr>
            <w:r>
              <w:rPr/>
              <w:t> </w:t>
            </w:r>
          </w:p>
        </w:tc>
        <w:tc>
          <w:tcPr>
            <w:tcW w:w="158" w:type="dxa"/>
            <w:tcBorders/>
            <w:shd w:fill="auto" w:val="clear"/>
            <w:tcMar>
              <w:top w:w="0" w:type="dxa"/>
            </w:tcMar>
            <w:vAlign w:val="bottom"/>
          </w:tcPr>
          <w:p>
            <w:pPr>
              <w:pStyle w:val="TableContents"/>
              <w:spacing w:before="0" w:after="283"/>
              <w:jc w:val="right"/>
              <w:rPr/>
            </w:pPr>
            <w:r>
              <w:rPr/>
              <w:t> </w:t>
            </w:r>
          </w:p>
        </w:tc>
        <w:tc>
          <w:tcPr>
            <w:tcW w:w="32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1" w:type="dxa"/>
            <w:tcBorders/>
            <w:shd w:fill="auto" w:val="clear"/>
            <w:tcMar>
              <w:top w:w="0" w:type="dxa"/>
            </w:tcMar>
            <w:vAlign w:val="bottom"/>
          </w:tcPr>
          <w:p>
            <w:pPr>
              <w:pStyle w:val="TableContents"/>
              <w:spacing w:before="0" w:after="283"/>
              <w:jc w:val="left"/>
              <w:rPr/>
            </w:pPr>
            <w:r>
              <w:rPr/>
              <w:t> </w:t>
            </w:r>
          </w:p>
        </w:tc>
      </w:tr>
      <w:tr>
        <w:trPr/>
        <w:tc>
          <w:tcPr>
            <w:tcW w:w="7177"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 paid</w:t>
            </w:r>
          </w:p>
        </w:tc>
        <w:tc>
          <w:tcPr>
            <w:tcW w:w="133" w:type="dxa"/>
            <w:tcBorders/>
            <w:shd w:fill="auto" w:val="clear"/>
            <w:tcMar>
              <w:top w:w="0" w:type="dxa"/>
            </w:tcMar>
            <w:vAlign w:val="bottom"/>
          </w:tcPr>
          <w:p>
            <w:pPr>
              <w:pStyle w:val="TableContents"/>
              <w:spacing w:before="0" w:after="283"/>
              <w:jc w:val="right"/>
              <w:rPr/>
            </w:pPr>
            <w:r>
              <w:rPr/>
              <w:t> </w:t>
            </w:r>
          </w:p>
        </w:tc>
        <w:tc>
          <w:tcPr>
            <w:tcW w:w="327"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8" w:type="dxa"/>
            <w:tcBorders/>
            <w:shd w:fill="auto" w:val="clear"/>
            <w:tcMar>
              <w:top w:w="0" w:type="dxa"/>
            </w:tcMar>
            <w:vAlign w:val="bottom"/>
          </w:tcPr>
          <w:p>
            <w:pPr>
              <w:pStyle w:val="TableContents"/>
              <w:spacing w:before="0" w:after="283"/>
              <w:jc w:val="left"/>
              <w:rPr/>
            </w:pPr>
            <w:r>
              <w:rPr/>
              <w:t> </w:t>
            </w:r>
          </w:p>
        </w:tc>
        <w:tc>
          <w:tcPr>
            <w:tcW w:w="158" w:type="dxa"/>
            <w:tcBorders/>
            <w:shd w:fill="auto" w:val="clear"/>
            <w:tcMar>
              <w:top w:w="0" w:type="dxa"/>
            </w:tcMar>
            <w:vAlign w:val="bottom"/>
          </w:tcPr>
          <w:p>
            <w:pPr>
              <w:pStyle w:val="TableContents"/>
              <w:spacing w:before="0" w:after="283"/>
              <w:jc w:val="right"/>
              <w:rPr/>
            </w:pPr>
            <w:r>
              <w:rPr/>
              <w:t> </w:t>
            </w:r>
          </w:p>
        </w:tc>
        <w:tc>
          <w:tcPr>
            <w:tcW w:w="324"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1"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t>NOTE 11:                      CONTINGENCIES AND COMMITMENTS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Contingencies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Tax Filings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filed income tax returns for several years in certain operating jurisdictions (Note 9), and may be subject to possible compliance penalties and interest. Management is currently not able to make a reliably measurable provision for possible liability for penalties and interest, if any, at this time, and the Company may be liable for such amounts upon assessment. Penalties and interest, if assessed in the future, will be recorded in the period such amounts are determinable.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Dormant Payables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2010 the company has approximately $150,000 in dormant payables included in current liabilities. Management is not aware of any interest or penalties associated with these payables. The Company is carrying the payables at its fair value and no interest has been accrued. Ultimate settlement of these payables is uncertain.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Commitments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Combined Research and Operating Obligations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May 25, 2010, the Company entered into a research and license Option Agreement with Mayo Clinic for the development and possible commercial use of a cancer vaccine. Subject to the approval and guidance of the United States Food and Drug Administration (“FDA”) Mayo Clinic plans to conduct a Phase I human clinical trial (“Phase I Trial”) to test and develop the Company’s technology.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agreed that, during the period of the option and upon approval of FDA to conduct Phase I Trials, will pay all the costs incurred by Mayo, not to exceed a total of $841,000. Both Parties agree that within 30 days after Mayo Clinic informs the Company in writing about the receipt of FDA approval, the parties shall enter into an a formal research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Management Services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Subsequent to year end, the Company approved an employment agreement with Dr. Wilson with an initial term of 2 years, which may be automatically extended for successive one-year terms. This employment agreement provides for annual compensation of $180,000 and the grant of an option to acquire 2,000,000 shares of the Company’s common stock, 50% of which vested on March 16, 2011, while the remainder will vest monthly over a period of two years (41,667 per month). The option price is the market price on March 16, 2011 and shall be exercisable for at least five years.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has obligations under various agreements through December 31, 2013. The aggregate minimum annual payments for the years ending December 31 are as follows:</w:t>
      </w:r>
    </w:p>
    <w:p>
      <w:pPr>
        <w:pStyle w:val="TextBody"/>
        <w:spacing w:before="0" w:after="0"/>
        <w:ind w:left="0" w:right="0" w:hanging="0"/>
        <w:jc w:val="both"/>
        <w:rPr/>
      </w:pPr>
      <w:r>
        <w:rPr/>
        <w:t> </w:t>
      </w:r>
    </w:p>
    <w:tbl>
      <w:tblPr>
        <w:tblW w:w="1500" w:type="pct"/>
        <w:jc w:val="left"/>
        <w:tblInd w:w="0" w:type="dxa"/>
        <w:tblCellMar>
          <w:top w:w="0" w:type="dxa"/>
          <w:left w:w="0" w:type="dxa"/>
          <w:bottom w:w="0" w:type="dxa"/>
          <w:right w:w="0" w:type="dxa"/>
        </w:tblCellMar>
      </w:tblPr>
      <w:tblGrid>
        <w:gridCol w:w="1895"/>
        <w:gridCol w:w="69"/>
        <w:gridCol w:w="125"/>
        <w:gridCol w:w="887"/>
        <w:gridCol w:w="85"/>
      </w:tblGrid>
      <w:tr>
        <w:trPr/>
        <w:tc>
          <w:tcPr>
            <w:tcW w:w="189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2011</w:t>
            </w:r>
          </w:p>
        </w:tc>
        <w:tc>
          <w:tcPr>
            <w:tcW w:w="69"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696,591</w:t>
            </w:r>
          </w:p>
        </w:tc>
        <w:tc>
          <w:tcPr>
            <w:tcW w:w="85" w:type="dxa"/>
            <w:tcBorders/>
            <w:shd w:fill="auto" w:val="clear"/>
            <w:vAlign w:val="bottom"/>
          </w:tcPr>
          <w:p>
            <w:pPr>
              <w:pStyle w:val="TableContents"/>
              <w:spacing w:before="0" w:after="283"/>
              <w:jc w:val="left"/>
              <w:rPr/>
            </w:pPr>
            <w:r>
              <w:rPr/>
              <w:t> </w:t>
            </w:r>
          </w:p>
        </w:tc>
      </w:tr>
      <w:tr>
        <w:trPr/>
        <w:tc>
          <w:tcPr>
            <w:tcW w:w="189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2012</w:t>
            </w:r>
          </w:p>
        </w:tc>
        <w:tc>
          <w:tcPr>
            <w:tcW w:w="69"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8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625,500</w:t>
            </w:r>
          </w:p>
        </w:tc>
        <w:tc>
          <w:tcPr>
            <w:tcW w:w="85" w:type="dxa"/>
            <w:tcBorders/>
            <w:shd w:fill="auto" w:val="clear"/>
            <w:vAlign w:val="bottom"/>
          </w:tcPr>
          <w:p>
            <w:pPr>
              <w:pStyle w:val="TableContents"/>
              <w:spacing w:before="0" w:after="283"/>
              <w:jc w:val="left"/>
              <w:rPr/>
            </w:pPr>
            <w:r>
              <w:rPr/>
              <w:t> </w:t>
            </w:r>
          </w:p>
        </w:tc>
      </w:tr>
      <w:tr>
        <w:trPr/>
        <w:tc>
          <w:tcPr>
            <w:tcW w:w="189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2013</w:t>
            </w:r>
          </w:p>
        </w:tc>
        <w:tc>
          <w:tcPr>
            <w:tcW w:w="69" w:type="dxa"/>
            <w:tcBorders/>
            <w:shd w:fill="auto" w:val="clear"/>
            <w:vAlign w:val="bottom"/>
          </w:tcPr>
          <w:p>
            <w:pPr>
              <w:pStyle w:val="TableContents"/>
              <w:spacing w:before="0" w:after="283"/>
              <w:jc w:val="lef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8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85" w:type="dxa"/>
            <w:tcBorders/>
            <w:shd w:fill="auto" w:val="clear"/>
            <w:vAlign w:val="bottom"/>
          </w:tcPr>
          <w:p>
            <w:pPr>
              <w:pStyle w:val="TableContents"/>
              <w:spacing w:before="0" w:after="283"/>
              <w:jc w:val="left"/>
              <w:rPr/>
            </w:pPr>
            <w:r>
              <w:rPr/>
              <w:t> </w:t>
            </w:r>
          </w:p>
        </w:tc>
      </w:tr>
      <w:tr>
        <w:trPr/>
        <w:tc>
          <w:tcPr>
            <w:tcW w:w="1895" w:type="dxa"/>
            <w:tcBorders/>
            <w:shd w:fill="auto" w:val="clear"/>
            <w:vAlign w:val="bottom"/>
          </w:tcPr>
          <w:p>
            <w:pPr>
              <w:pStyle w:val="TableContents"/>
              <w:spacing w:before="0" w:after="283"/>
              <w:rPr/>
            </w:pPr>
            <w:r>
              <w:rPr/>
              <w:t xml:space="preserve">  </w:t>
            </w:r>
          </w:p>
        </w:tc>
        <w:tc>
          <w:tcPr>
            <w:tcW w:w="69" w:type="dxa"/>
            <w:tcBorders/>
            <w:shd w:fill="auto" w:val="clear"/>
            <w:vAlign w:val="bottom"/>
          </w:tcPr>
          <w:p>
            <w:pPr>
              <w:pStyle w:val="TableContents"/>
              <w:spacing w:before="0" w:after="283"/>
              <w:jc w:val="lef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87"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1,347,091</w:t>
            </w:r>
          </w:p>
        </w:tc>
        <w:tc>
          <w:tcPr>
            <w:tcW w:w="85" w:type="dxa"/>
            <w:tcBorders/>
            <w:shd w:fill="auto" w:val="clear"/>
            <w:vAlign w:val="bottom"/>
          </w:tcPr>
          <w:p>
            <w:pPr>
              <w:pStyle w:val="TableContents"/>
              <w:spacing w:before="0" w:after="283"/>
              <w:jc w:val="left"/>
              <w:rPr/>
            </w:pPr>
            <w:r>
              <w:rPr/>
              <w:t> </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0" w:name="PGBRK50"/>
      <w:bookmarkStart w:id="541" w:name="PGBRK50"/>
      <w:bookmarkEnd w:id="5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2" w:name="FTR50"/>
      <w:bookmarkStart w:id="543" w:name="FTR50"/>
      <w:bookmarkEnd w:id="5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44" w:name="GLFTR50"/>
      <w:bookmarkEnd w:id="5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5" w:name="PN50"/>
      <w:bookmarkEnd w:id="545"/>
      <w:r>
        <w:rPr>
          <w:rFonts w:ascii="Times New Roman" w:hAnsi="Times New Roman"/>
          <w:sz w:val="20"/>
        </w:rPr>
        <w:t>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6" w:name="HDR50"/>
      <w:bookmarkStart w:id="547" w:name="HDR50"/>
      <w:bookmarkEnd w:id="5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8" w:name="GLHDR50"/>
      <w:bookmarkEnd w:id="5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12:                  SUBSEQUENT EVENTS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February 2011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24, 2011, the Company entered into a securities purchase agreement with accredited investors to place $1,159,413 of Secured Convertible Notes (the “February 2011 Notes”) which mature February 24, 2014. $25,000 of the February 2011 Notes was issued to a family member of an officer and director of the Company. The February 2011 Notes bear interest at the rate of 10% per annum, which in the case of a default increases to 20% per annum. Interest is due and payable at the end of each three month period, starting three months from their issuance.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One year after the issuance of the February 2011 Notes, the Company may elect to prepay a portion of the principle. If the Company makes such an election, the holders may elect to receive such prepayment in cash or in shares of the Company’s common stock or in a combination thereof. One year after the issuance of the February 2011 Notes, a note holder may elect convert a portion or all of such 2011 Note at $0.15 per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Consideration received for the February 2011 Notes consisted of $919,413 in cash and rolling in $240,000 of consideration from the 2010 Notes (See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February 2011 Notes, the Company issued 2,318,826 warrants, exercisable into common stock at $0.25 with five year terms. The Company may force the exercise of the warrants at any time that the average VWAP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also entered into a Security Agreement to secure payment and performance of its obligations under the 2011 Notes pursuant to which the Company granted the investors a security interest in all of its assets not otherwise encumbered.</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Settlement arrangements for the 2010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February 2011, the Company negotiated an early settlement of $640,000 of the outstanding 2010 Secured Convertible Notes (“the 2010 Notes”). Pursuant to the settlement agreement, the Company paid $480,000 in cash, issued $240,000 in February 2011 Notes and retired 4,000,000 Series A Warrants, 3,200,000 Series B Warrants and 4,000,000 Series C Warrants. Under the agreement, those holders released the Company from the remaining obligations under the securities purchase agreement entered into during fiscal year 2010, the 2010 security agreement and other documents related to the issuance of the 2010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the Company entered into an exchange agreement to settle $83,333 of the 2010 Notes and retire 625,000 Series A Warrants, 500,000 Series B Warrants and 625,000 Series C Warrants of the Company by issuing to the 2010 Note holder 641,023 shares of Common Stock in accordance with the terms thereof and a warrant, to purchase up to 250,000 shares of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has also entered into an agreement to early settle the remaining $233,333 of the 2010 Notes in exchange for 2,048,578 common shares, a warrant to purchase 1,000,000 shares of common stock and a new April 2011 Note for $25,000. On closing the company expects to retire the outstanding 4,900,000 warrants related to the 2010 Note. The transaction has not closed as at the date of the financial statements, as it’s contingent upon the Company closing a security exchange agreement with the note holder.</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April 2011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April 12, 2011 the Company sold Convertible Notes (the “April 2011 Notes”) to accredited investors with a final maturity date of April 12, 2014 and a face amount of $165,000. The April Notes bear interest at the rate of 10% per year which, in the case of a default, increases to 20% per annum. The principal is due on the third anniversary of the April 2011 Notes and interest is due on the April 2011 Notes every three months starting three months from their issuance. One year after the issuance of the April Notes, the Company may elect to prepay a portion of all of the April Notes. If the Company makes such an election, the holders of the April 2011 Notes may elect to receive such prepayment in cash, in shares of our common stock or in a combination thereof. One year after the issuance of the April 2011 Notes, a holder of an April 2011 Note may elect to convert a portion or all of such April 211Note at $0.15 per share.</w:t>
      </w:r>
    </w:p>
    <w:p>
      <w:pPr>
        <w:pStyle w:val="TextBody"/>
        <w:spacing w:before="0" w:after="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entered into a Security Agreement to secure payment and performance of our obligations under the April 2011 Notes pursuant to which the Company granted the investors a security interest in all of its assets.</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April Unit Financing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April 14, 2011 the Company issued 27,000 Units for an aggregate of $81,000 where each “Unit” was issued at a per-Unit price of $3.00 and consists of 20 shares of common stock and 6 warrants to purchase 6 shares of the Company’s common stock at an exercise price of $0.38 for a term of 24 months. The Units do not provide purchasers with registration rights.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has evaluated subsequent events from the balance sheet date, December 31, 2010, through April 15, 2011 the date these financial statements were issued. Management has determined that there are no additional events that would require disclosure in these financial statements.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9" w:name="PGBRK51"/>
      <w:bookmarkStart w:id="550" w:name="PGBRK51"/>
      <w:bookmarkEnd w:id="5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1" w:name="FTR51"/>
      <w:bookmarkStart w:id="552" w:name="FTR51"/>
      <w:bookmarkEnd w:id="5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3" w:name="GLFTR51"/>
      <w:bookmarkEnd w:id="5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54" w:name="PN51"/>
      <w:bookmarkEnd w:id="554"/>
      <w:r>
        <w:rPr>
          <w:rFonts w:ascii="Times New Roman" w:hAnsi="Times New Roman"/>
          <w:sz w:val="20"/>
        </w:rPr>
        <w:t>46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5" w:name="HDR51"/>
      <w:bookmarkStart w:id="556" w:name="HDR51"/>
      <w:bookmarkEnd w:id="5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57" w:name="GLHDR51"/>
      <w:bookmarkEnd w:id="5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58" w:name="hangingindent37"/>
      <w:bookmarkStart w:id="559" w:name="hangingindent37"/>
      <w:bookmarkEnd w:id="559"/>
    </w:p>
    <w:tbl>
      <w:tblPr>
        <w:tblW w:w="5000" w:type="pct"/>
        <w:jc w:val="center"/>
        <w:tblInd w:w="0" w:type="dxa"/>
        <w:tblCellMar>
          <w:top w:w="0" w:type="dxa"/>
          <w:left w:w="0" w:type="dxa"/>
          <w:bottom w:w="0" w:type="dxa"/>
          <w:right w:w="0" w:type="dxa"/>
        </w:tblCellMar>
      </w:tblPr>
      <w:tblGrid>
        <w:gridCol w:w="615"/>
        <w:gridCol w:w="9590"/>
      </w:tblGrid>
      <w:tr>
        <w:trPr/>
        <w:tc>
          <w:tcPr>
            <w:tcW w:w="615"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9.</w:t>
            </w:r>
          </w:p>
        </w:tc>
        <w:tc>
          <w:tcPr>
            <w:tcW w:w="959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CHANGES IN AND DISAGREEMENTS WITH ACCOUNTANTS ON ACCOUNTING AND FINANCIAL DISCLOSURE</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had no disagreements with our principal independent accountants.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60" w:name="hangingindent38"/>
      <w:bookmarkStart w:id="561" w:name="hangingindent38"/>
      <w:bookmarkEnd w:id="561"/>
    </w:p>
    <w:tbl>
      <w:tblPr>
        <w:tblW w:w="5000" w:type="pct"/>
        <w:jc w:val="center"/>
        <w:tblInd w:w="0" w:type="dxa"/>
        <w:tblCellMar>
          <w:top w:w="0" w:type="dxa"/>
          <w:left w:w="0" w:type="dxa"/>
          <w:bottom w:w="0" w:type="dxa"/>
          <w:right w:w="0" w:type="dxa"/>
        </w:tblCellMar>
      </w:tblPr>
      <w:tblGrid>
        <w:gridCol w:w="668"/>
        <w:gridCol w:w="9537"/>
      </w:tblGrid>
      <w:tr>
        <w:trPr/>
        <w:tc>
          <w:tcPr>
            <w:tcW w:w="668"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9A.</w:t>
            </w:r>
          </w:p>
        </w:tc>
        <w:tc>
          <w:tcPr>
            <w:tcW w:w="953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CONTROLS AND PROCEDURES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Evaluation of Disclosure Controls and Procedures</w:t>
      </w:r>
    </w:p>
    <w:p>
      <w:pPr>
        <w:pStyle w:val="TextBody"/>
        <w:spacing w:before="0" w:after="0"/>
        <w:ind w:left="0" w:right="0" w:hanging="0"/>
        <w:jc w:val="both"/>
        <w:rPr>
          <w:rFonts w:ascii="Times New Roman" w:hAnsi="Times New Roman"/>
          <w:sz w:val="20"/>
        </w:rPr>
      </w:pPr>
      <w:r>
        <w:rPr>
          <w:rFonts w:ascii="Times New Roman" w:hAnsi="Times New Roman"/>
          <w:sz w:val="20"/>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Principal Executive Officer and Principal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Management’s Report on Internal Control Over Financial Reporting</w:t>
      </w:r>
    </w:p>
    <w:p>
      <w:pPr>
        <w:pStyle w:val="TextBody"/>
        <w:spacing w:before="0" w:after="0"/>
        <w:ind w:left="0" w:right="0" w:hanging="0"/>
        <w:jc w:val="both"/>
        <w:rPr>
          <w:rFonts w:ascii="Times New Roman" w:hAnsi="Times New Roman"/>
          <w:sz w:val="20"/>
        </w:rPr>
      </w:pPr>
      <w:r>
        <w:rPr>
          <w:rFonts w:ascii="Times New Roman" w:hAnsi="Times New Roman"/>
          <w:sz w:val="20"/>
        </w:rPr>
        <w:t>The management of the Company is responsible for establishing and maintaining adequate internal control over financial reporting, as required by Sarbanes-Oxley (SOX) Section 404 A. The Company's internal control over financial reporting is a process designed under the supervision of the Company's Principal Executive Officer and Principal Financial Officer to provide reasonable assurance regarding the reliability of financial reporting and the preparation of the Company's financial statements for external purposes in accordance with United States generally accepted accounting principles (“US GAAP”).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2010, management assessed the effectiveness of the Company's internal control over financial reporting based on the criteria for effective internal control over financial reporting established in Internal Control -Integrated Framework issued by the Committee of Sponsoring Organizations of the Treadway Commission ("COSO") and SEC guidance on conducting such assessments. Based on that evaluation, they concluded that, as at December 31, 2010 such internal controls and procedures were not effective to detect the inappropriate application of US GAAP rules as more fully described below.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matters involving internal controls and procedures that the Company’s management considered to be material weaknesses under the standards of the Public Company Accounting Oversight Board were: (1) inadequate entity level controls due to an ineffective audit committee resulting from the presence of only one of independent members on the current audit committee and the presence of only one outside director on our board of directors; (2) inadequate segregation of duties consistent with control objectives; (3) insufficient written policies and procedures for accounting and financial reporting with respect to the requirements and application of US GAAP and SEC disclosure requirements; (4) ineffective controls over period end financial disclosure and reporting processes; (5) incorrect classification of fair value of warrants to additional paid-in capital instead of as a derivative liability on the balance sheet.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none of the material weaknesses set forth above had a material adverse effect on the Company's financial results for the fiscal year ended December 31, 2010 but management is concerned that the material weakness in entity level controls set forth in item (1) results in ineffective oversight in the establishment and monitoring of required internal controls and procedures, it could result in a material misstatement in our financial statements in future periods.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2" w:name="PGBRK52"/>
      <w:bookmarkStart w:id="563" w:name="PGBRK52"/>
      <w:bookmarkEnd w:id="5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4" w:name="FTR52"/>
      <w:bookmarkStart w:id="565" w:name="FTR52"/>
      <w:bookmarkEnd w:id="5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66" w:name="GLFTR52"/>
      <w:bookmarkEnd w:id="5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7" w:name="PN52"/>
      <w:bookmarkEnd w:id="567"/>
      <w:r>
        <w:rPr>
          <w:rFonts w:ascii="Times New Roman" w:hAnsi="Times New Roman"/>
          <w:sz w:val="20"/>
        </w:rPr>
        <w:t>47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8" w:name="HDR52"/>
      <w:bookmarkStart w:id="569" w:name="HDR52"/>
      <w:bookmarkEnd w:id="5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0" w:name="GLHDR52"/>
      <w:bookmarkEnd w:id="5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committed to improving our financial organization. As part of this commitment, we will continue to enhance our internal control over financial reporting by: i) expanding our personnel, ii) improving segregated duties consistent with control objectives, iii) appointing more outside directors to our board of directors who shall be appointed to our audit committee resulting in a fully functioning audit committee who will undertake the oversight in the establishment and monitoring of required internal controls and procedures such as reviewing and approving estimates and assumptions made by management; and iv) preparing and implementing sufficient written policies and checklists which will set forth procedures for accounting and financial reporting with respect to the requirements and application of US GAAP and SEC disclosure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appointment of one or more outside directors, who shall be appointed to a fully functioning audit committee, will remedy the ineffective audit committee. To this end, Ms. Lynn DePippo was appointed to our audit Committee in the first quarter of 2011.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 (ii) ineffective controls over period end financial close and reporting processes. Further, management believes that the hiring of additional personnel will result in improved segregation of duties and provide more checks and balances within the financial reporting department.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annual report does not include an attestation report of the Company’s registered public accounting firm regarding internal controls over financial reporting. Management’s report was not subject to attestation by the Company’s registered public accounting firm pursuant to the temporary rules of the SEC that permit the Company to provide only management’s report in this annual report.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hanging="0"/>
        <w:jc w:val="both"/>
        <w:rPr>
          <w:rFonts w:ascii="Times New Roman" w:hAnsi="Times New Roman"/>
          <w:sz w:val="20"/>
        </w:rPr>
      </w:pPr>
      <w:r>
        <w:rPr>
          <w:rFonts w:ascii="Times New Roman" w:hAnsi="Times New Roman"/>
          <w:sz w:val="20"/>
        </w:rPr>
        <w:t>There have been no changes in our internal control over financial reporting during our fourth fiscal quarter of our fiscal year ended December 31, 2010 that have materially affected, or are reasonably likely to materially affect, our internal control over financial reporting.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71" w:name="hangingindent39"/>
      <w:bookmarkStart w:id="572" w:name="hangingindent39"/>
      <w:bookmarkEnd w:id="572"/>
    </w:p>
    <w:tbl>
      <w:tblPr>
        <w:tblW w:w="5000" w:type="pct"/>
        <w:jc w:val="center"/>
        <w:tblInd w:w="0" w:type="dxa"/>
        <w:tblCellMar>
          <w:top w:w="0" w:type="dxa"/>
          <w:left w:w="0" w:type="dxa"/>
          <w:bottom w:w="0" w:type="dxa"/>
          <w:right w:w="0" w:type="dxa"/>
        </w:tblCellMar>
      </w:tblPr>
      <w:tblGrid>
        <w:gridCol w:w="2908"/>
        <w:gridCol w:w="7297"/>
      </w:tblGrid>
      <w:tr>
        <w:trPr/>
        <w:tc>
          <w:tcPr>
            <w:tcW w:w="2908"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9B.</w:t>
            </w:r>
          </w:p>
        </w:tc>
        <w:tc>
          <w:tcPr>
            <w:tcW w:w="72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OTHER INFORMATION</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PART III</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73" w:name="hangingindent40"/>
      <w:bookmarkStart w:id="574" w:name="hangingindent40"/>
      <w:bookmarkEnd w:id="574"/>
    </w:p>
    <w:tbl>
      <w:tblPr>
        <w:tblW w:w="5000" w:type="pct"/>
        <w:jc w:val="center"/>
        <w:tblInd w:w="0" w:type="dxa"/>
        <w:tblCellMar>
          <w:top w:w="0" w:type="dxa"/>
          <w:left w:w="0" w:type="dxa"/>
          <w:bottom w:w="0" w:type="dxa"/>
          <w:right w:w="0" w:type="dxa"/>
        </w:tblCellMar>
      </w:tblPr>
      <w:tblGrid>
        <w:gridCol w:w="1162"/>
        <w:gridCol w:w="9043"/>
      </w:tblGrid>
      <w:tr>
        <w:trPr/>
        <w:tc>
          <w:tcPr>
            <w:tcW w:w="1162"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10.</w:t>
            </w:r>
          </w:p>
        </w:tc>
        <w:tc>
          <w:tcPr>
            <w:tcW w:w="904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DIRECTORS, EXECUTIVE OFFICERS AND CORPORATE GOVERNANCE</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directors and executive officers and their respective ages as of the date of this annual report are as follows:</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3572"/>
        <w:gridCol w:w="2295"/>
        <w:gridCol w:w="4338"/>
      </w:tblGrid>
      <w:tr>
        <w:trPr/>
        <w:tc>
          <w:tcPr>
            <w:tcW w:w="3572" w:type="dxa"/>
            <w:tcBorders>
              <w:top w:val="single" w:sz="12"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w:t>
            </w:r>
          </w:p>
        </w:tc>
        <w:tc>
          <w:tcPr>
            <w:tcW w:w="2295"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Age</w:t>
            </w:r>
          </w:p>
        </w:tc>
        <w:tc>
          <w:tcPr>
            <w:tcW w:w="4338" w:type="dxa"/>
            <w:tcBorders>
              <w:top w:val="single" w:sz="12"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Position with the Company</w:t>
            </w:r>
          </w:p>
        </w:tc>
      </w:tr>
      <w:tr>
        <w:trPr/>
        <w:tc>
          <w:tcPr>
            <w:tcW w:w="3572"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tc>
        <w:tc>
          <w:tcPr>
            <w:tcW w:w="2295"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64</w:t>
            </w:r>
          </w:p>
        </w:tc>
        <w:tc>
          <w:tcPr>
            <w:tcW w:w="433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Chairman, Chief Executive Officer, Principal Executive Officer and a Director</w:t>
            </w:r>
          </w:p>
        </w:tc>
      </w:tr>
      <w:tr>
        <w:trPr/>
        <w:tc>
          <w:tcPr>
            <w:tcW w:w="3572"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tc>
        <w:tc>
          <w:tcPr>
            <w:tcW w:w="2295"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38</w:t>
            </w:r>
          </w:p>
        </w:tc>
        <w:tc>
          <w:tcPr>
            <w:tcW w:w="433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President, Chief Financial Officer, Principal Accounting Officer and a Director</w:t>
            </w:r>
          </w:p>
        </w:tc>
      </w:tr>
      <w:tr>
        <w:trPr/>
        <w:tc>
          <w:tcPr>
            <w:tcW w:w="357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Lynn M. DePippo</w:t>
            </w:r>
          </w:p>
        </w:tc>
        <w:tc>
          <w:tcPr>
            <w:tcW w:w="2295"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38</w:t>
            </w:r>
          </w:p>
        </w:tc>
        <w:tc>
          <w:tcPr>
            <w:tcW w:w="433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describes the business experience of each of our directors and executive officers, including other directorships held in reporting companies: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5" w:name="PGBRK53"/>
      <w:bookmarkStart w:id="576" w:name="PGBRK53"/>
      <w:bookmarkEnd w:id="5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7" w:name="FTR53"/>
      <w:bookmarkStart w:id="578" w:name="FTR53"/>
      <w:bookmarkEnd w:id="5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9" w:name="GLFTR53"/>
      <w:bookmarkEnd w:id="5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0" w:name="PN53"/>
      <w:bookmarkEnd w:id="580"/>
      <w:r>
        <w:rPr>
          <w:rFonts w:ascii="Times New Roman" w:hAnsi="Times New Roman"/>
          <w:sz w:val="20"/>
        </w:rPr>
        <w:t>48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1" w:name="HDR53"/>
      <w:bookmarkStart w:id="582" w:name="HDR53"/>
      <w:bookmarkEnd w:id="5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83" w:name="GLHDR53"/>
      <w:bookmarkEnd w:id="5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Glynn Wilson, Ph.D., Chief Executive Officer and Chairman</w:t>
      </w:r>
    </w:p>
    <w:p>
      <w:pPr>
        <w:pStyle w:val="TextBody"/>
        <w:spacing w:before="0" w:after="0"/>
        <w:ind w:left="0" w:right="0" w:hanging="0"/>
        <w:jc w:val="both"/>
        <w:rPr>
          <w:rFonts w:ascii="Times New Roman" w:hAnsi="Times New Roman"/>
          <w:sz w:val="20"/>
        </w:rPr>
      </w:pPr>
      <w:r>
        <w:rPr>
          <w:rFonts w:ascii="Times New Roman" w:hAnsi="Times New Roman"/>
          <w:sz w:val="20"/>
        </w:rPr>
        <w:t>Dr. Wilson brings an extensive background of success in corporate management and product development with tenures in both major multinational pharmaceutical companies and start-up pharmaceutical/biotech organizations. Dr. Wilson's former positions include Head of Drug Delivery at SmithKline Beecham Pharmaceuticals, Research Area Head in Advanced Drug Delivery at Ciba-Geigy Pharmaceuticals, and President and co-founder of Auriga Pharmaceuticals. As Executive Vice President of R&amp;D at Tacora Corporation he was responsible for merging the Company with Access Pharmaceuticals. He is a recognized leader in the development of drug delivery systems and has been involved in taking lead products &amp; technologies from concept to commercialization. Glynn has a Ph.D. in Biochemistry and conducted medical research at The Rockefeller University, New York. He has been on the Board of TapImmune for 4 years.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Denis D Corin, President, Chief Financial Officer and Director</w:t>
      </w:r>
    </w:p>
    <w:p>
      <w:pPr>
        <w:pStyle w:val="TextBody"/>
        <w:spacing w:before="0" w:after="0"/>
        <w:ind w:left="0" w:right="0" w:hanging="0"/>
        <w:jc w:val="both"/>
        <w:rPr>
          <w:rFonts w:ascii="Times New Roman" w:hAnsi="Times New Roman"/>
          <w:sz w:val="20"/>
        </w:rPr>
      </w:pPr>
      <w:r>
        <w:rPr>
          <w:rFonts w:ascii="Times New Roman" w:hAnsi="Times New Roman"/>
          <w:sz w:val="20"/>
        </w:rPr>
        <w:t>Denis Corin served as TapImmune’s President and CEO from November 2006 to July 2009. Mr. Corin has worked in large pharmaceutical (Novartis), diagnostic instrumentation companies (Beckman Coulter) as well as the small cap biotech arena (MIV Therapeutics). He holds a double major Bachelors degree in Economics and Marketing from the University of Natal, South Africa.</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Lynn M. DePippo, Director</w:t>
      </w:r>
    </w:p>
    <w:p>
      <w:pPr>
        <w:pStyle w:val="TextBody"/>
        <w:spacing w:before="0" w:after="0"/>
        <w:ind w:left="0" w:right="0" w:hanging="0"/>
        <w:jc w:val="both"/>
        <w:rPr>
          <w:rFonts w:ascii="Times New Roman" w:hAnsi="Times New Roman"/>
          <w:sz w:val="20"/>
        </w:rPr>
      </w:pPr>
      <w:r>
        <w:rPr>
          <w:rFonts w:ascii="Times New Roman" w:hAnsi="Times New Roman"/>
          <w:sz w:val="20"/>
        </w:rPr>
        <w:t>Ms. DePippo Founded Sherbrook Capital Management in 2000. She is the managing partner of that firm and conducts all aspects of healthcare equity research for institutional investors, private equity and wealthy individual clients, including healthcare portfolio overviews. Previous appointments include Portfolio Manager Small Cap. Equities at Citibank, Senior Investment Analyst at The Kaufmann Fund, and Healthcare Services Analyst at Kidder Peabody and Company.</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Term of Office</w:t>
      </w:r>
    </w:p>
    <w:p>
      <w:pPr>
        <w:pStyle w:val="TextBody"/>
        <w:spacing w:before="0" w:after="0"/>
        <w:ind w:left="0" w:right="0" w:hanging="0"/>
        <w:jc w:val="both"/>
        <w:rPr>
          <w:rFonts w:ascii="Times New Roman" w:hAnsi="Times New Roman"/>
          <w:sz w:val="20"/>
        </w:rPr>
      </w:pPr>
      <w:r>
        <w:rPr>
          <w:rFonts w:ascii="Times New Roman" w:hAnsi="Times New Roman"/>
          <w:sz w:val="20"/>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Significant Employees</w:t>
      </w:r>
    </w:p>
    <w:p>
      <w:pPr>
        <w:pStyle w:val="TextBody"/>
        <w:spacing w:before="0" w:after="0"/>
        <w:ind w:left="0" w:right="0" w:hanging="0"/>
        <w:jc w:val="both"/>
        <w:rPr>
          <w:rFonts w:ascii="Times New Roman" w:hAnsi="Times New Roman"/>
          <w:sz w:val="20"/>
        </w:rPr>
      </w:pPr>
      <w:r>
        <w:rPr>
          <w:rFonts w:ascii="Times New Roman" w:hAnsi="Times New Roman"/>
          <w:sz w:val="20"/>
        </w:rPr>
        <w:t>We have no significant employees other than our executive officers.</w:t>
      </w:r>
      <w:bookmarkStart w:id="584" w:name="directors"/>
      <w:bookmarkEnd w:id="584"/>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Audit Committee</w:t>
      </w:r>
    </w:p>
    <w:p>
      <w:pPr>
        <w:pStyle w:val="TextBody"/>
        <w:spacing w:before="0" w:after="0"/>
        <w:ind w:left="0" w:right="0" w:hanging="0"/>
        <w:jc w:val="both"/>
        <w:rPr>
          <w:rFonts w:ascii="Times New Roman" w:hAnsi="Times New Roman"/>
          <w:sz w:val="20"/>
        </w:rPr>
      </w:pPr>
      <w:r>
        <w:rPr>
          <w:rFonts w:ascii="Times New Roman" w:hAnsi="Times New Roman"/>
          <w:sz w:val="20"/>
        </w:rPr>
        <w:t>Our Board of Directors has established an Audit Committee which functions pursuant to a written charter adopted by our Board of Directors in March 2004. The members of our Audit Committee as of December 31, 2010 were Mr. Corin and Dr. Wilson. Ms. Lynn DePippo was appointed to the Audit Committee in the first quarter of 2011.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Board of Directors has determined that our Audit Committee does not have a member that qualifies as an “audit committee financial expert” as defined in Item 407(d)(5)(ii) of Regulation S-K. Our Board of Directors believes that it is capable of analyzing and evaluating our financial statements and understanding internal controls and procedures for financial reporting and that retaining an independent director who would qualify as an “audit committee financial expert” would be overly costly and burdensome at this time.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Compensation Committee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Mr. Corin, Dr. Wilson and Ms. Lynn DePippo serve on our compensation committee, which is led by Ms. DePippo.</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Involvement in Certain Legal Proceedings</w:t>
      </w:r>
    </w:p>
    <w:p>
      <w:pPr>
        <w:pStyle w:val="TextBody"/>
        <w:spacing w:before="0" w:after="0"/>
        <w:ind w:left="0" w:right="0" w:hanging="0"/>
        <w:jc w:val="both"/>
        <w:rPr>
          <w:rFonts w:ascii="Times New Roman" w:hAnsi="Times New Roman"/>
          <w:sz w:val="20"/>
        </w:rPr>
      </w:pPr>
      <w:r>
        <w:rPr>
          <w:rFonts w:ascii="Times New Roman" w:hAnsi="Times New Roman"/>
          <w:sz w:val="20"/>
        </w:rPr>
        <w:t>None of our directors, executive officers or control persons has been involved in any of the following events during the past five years: (i) any bankruptcy petition filed by or against any business of which such person was a general partner or executive officer either at the time of the bankruptcy or within two years prior to that time; (ii) any conviction in a criminal proceeding or being subject to a pending criminal proceeding (excluding traffic violations and other minor offences); (iii) being subject to any order, judgment or decree, not subsequently reversed, suspended or vacated, of any court of competent jurisdiction, permanently or temporarily enjoining, barring, suspending or otherwise limiting his involvement in any type of business, securities or banking activities; or (iv) being found by a court of competent jurisdiction (in a civil action), the SEC or the Commodity Futures Trading Commission to have violated a federal or state securities or commodities law, and the judgment has not been reversed, suspended or vacated.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5" w:name="PGBRK54"/>
      <w:bookmarkStart w:id="586" w:name="PGBRK54"/>
      <w:bookmarkEnd w:id="5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7" w:name="FTR54"/>
      <w:bookmarkStart w:id="588" w:name="FTR54"/>
      <w:bookmarkEnd w:id="5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89" w:name="GLFTR54"/>
      <w:bookmarkEnd w:id="5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90" w:name="PN54"/>
      <w:bookmarkEnd w:id="590"/>
      <w:r>
        <w:rPr>
          <w:rFonts w:ascii="Times New Roman" w:hAnsi="Times New Roman"/>
          <w:sz w:val="20"/>
        </w:rPr>
        <w:t>49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1" w:name="HDR54"/>
      <w:bookmarkStart w:id="592" w:name="HDR54"/>
      <w:bookmarkEnd w:id="5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3" w:name="GLHDR54"/>
      <w:bookmarkEnd w:id="5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Code of Conduct</w:t>
      </w:r>
    </w:p>
    <w:p>
      <w:pPr>
        <w:pStyle w:val="TextBody"/>
        <w:spacing w:before="0" w:after="0"/>
        <w:ind w:left="0" w:right="0" w:hanging="0"/>
        <w:jc w:val="both"/>
        <w:rPr>
          <w:rFonts w:ascii="Times New Roman" w:hAnsi="Times New Roman"/>
          <w:sz w:val="20"/>
        </w:rPr>
      </w:pPr>
      <w:r>
        <w:rPr>
          <w:rFonts w:ascii="Times New Roman" w:hAnsi="Times New Roman"/>
          <w:sz w:val="20"/>
        </w:rPr>
        <w:t>We have adopted a Code of Conduct policy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of Conduct can be viewed on our website at the following URL: http://www.tapimmune.com/investors/corporate_info/</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Compliance with Section 16(a) of the Exchange Act</w:t>
      </w:r>
    </w:p>
    <w:p>
      <w:pPr>
        <w:pStyle w:val="TextBody"/>
        <w:spacing w:before="0" w:after="0"/>
        <w:ind w:left="0" w:right="0" w:hanging="0"/>
        <w:jc w:val="both"/>
        <w:rPr>
          <w:rFonts w:ascii="Times New Roman" w:hAnsi="Times New Roman"/>
          <w:sz w:val="20"/>
        </w:rPr>
      </w:pPr>
      <w:r>
        <w:rPr>
          <w:rFonts w:ascii="Times New Roman" w:hAnsi="Times New Roman"/>
          <w:sz w:val="20"/>
        </w:rPr>
        <w:t>Section 16(a) of the Exchange Act requires our directors and officers, and the persons who beneficially own more than 10% of our common stock, to file reports of ownership and changes in ownership with the SEC. Copies of all filed reports are required to be furnished to us pursuant to Rule 16a-3 promulgated under the Exchange Act. Based solely on the reports received by us and on the representations of the reporting persons, we believe that these persons have complied with all applicable filing requirements during the year ended December 31, 2010.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11.                      EXECUTIVE COMPENSATION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Compensation Discussion and Analysis</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the compensation paid to our executive officers for their services as executive officers during our fiscal years ended December 31, 2010 and December 31, 2009: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Summary Compensation Table</w:t>
      </w:r>
    </w:p>
    <w:tbl>
      <w:tblPr>
        <w:tblW w:w="5000" w:type="pct"/>
        <w:jc w:val="left"/>
        <w:tblInd w:w="0" w:type="dxa"/>
        <w:tblCellMar>
          <w:top w:w="28" w:type="dxa"/>
          <w:left w:w="0" w:type="dxa"/>
          <w:bottom w:w="28" w:type="dxa"/>
          <w:right w:w="0" w:type="dxa"/>
        </w:tblCellMar>
      </w:tblPr>
      <w:tblGrid>
        <w:gridCol w:w="2408"/>
        <w:gridCol w:w="761"/>
        <w:gridCol w:w="1045"/>
        <w:gridCol w:w="1112"/>
        <w:gridCol w:w="1144"/>
        <w:gridCol w:w="1259"/>
        <w:gridCol w:w="1314"/>
        <w:gridCol w:w="1162"/>
      </w:tblGrid>
      <w:tr>
        <w:trPr/>
        <w:tc>
          <w:tcPr>
            <w:tcW w:w="2408" w:type="dxa"/>
            <w:tcBorders>
              <w:top w:val="single" w:sz="12"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 and Principal</w:t>
            </w:r>
          </w:p>
          <w:p>
            <w:pPr>
              <w:pStyle w:val="TableContents"/>
              <w:spacing w:before="0" w:after="0"/>
              <w:ind w:left="0" w:right="0" w:hanging="0"/>
              <w:jc w:val="left"/>
              <w:rPr>
                <w:rFonts w:ascii="times new roman" w:hAnsi="times new roman"/>
                <w:b/>
                <w:sz w:val="20"/>
              </w:rPr>
            </w:pPr>
            <w:r>
              <w:rPr>
                <w:rFonts w:ascii="times new roman" w:hAnsi="times new roman"/>
                <w:b/>
                <w:sz w:val="20"/>
              </w:rPr>
              <w:t>Position</w:t>
            </w:r>
          </w:p>
        </w:tc>
        <w:tc>
          <w:tcPr>
            <w:tcW w:w="76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w:t>
            </w:r>
          </w:p>
        </w:tc>
        <w:tc>
          <w:tcPr>
            <w:tcW w:w="1045"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Salary</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12"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Bonus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44"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259"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314"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All Other</w:t>
            </w:r>
          </w:p>
          <w:p>
            <w:pPr>
              <w:pStyle w:val="TableContents"/>
              <w:spacing w:before="0" w:after="0"/>
              <w:ind w:left="0" w:right="0" w:hanging="0"/>
              <w:jc w:val="center"/>
              <w:rPr>
                <w:rFonts w:ascii="times new roman" w:hAnsi="times new roman"/>
                <w:b/>
                <w:sz w:val="20"/>
              </w:rPr>
            </w:pPr>
            <w:r>
              <w:rPr>
                <w:rFonts w:ascii="times new roman" w:hAnsi="times new roman"/>
                <w:b/>
                <w:sz w:val="20"/>
              </w:rPr>
              <w:t>Compen-sation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62"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r>
      <w:tr>
        <w:trPr/>
        <w:tc>
          <w:tcPr>
            <w:tcW w:w="240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p>
            <w:pPr>
              <w:pStyle w:val="TableContents"/>
              <w:spacing w:before="0" w:after="0"/>
              <w:ind w:left="0" w:right="0" w:hanging="0"/>
              <w:jc w:val="left"/>
              <w:rPr>
                <w:rFonts w:ascii="times new roman" w:hAnsi="times new roman"/>
                <w:i/>
                <w:sz w:val="20"/>
              </w:rPr>
            </w:pPr>
            <w:r>
              <w:rPr>
                <w:rFonts w:ascii="times new roman" w:hAnsi="times new roman"/>
                <w:i/>
                <w:sz w:val="20"/>
              </w:rPr>
              <w:t>Chairman, CEO and Principal Executive Officer</w:t>
            </w:r>
          </w:p>
        </w:tc>
        <w:tc>
          <w:tcPr>
            <w:tcW w:w="76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45"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144,000</w:t>
            </w:r>
          </w:p>
          <w:p>
            <w:pPr>
              <w:pStyle w:val="TableContents"/>
              <w:spacing w:before="0" w:after="0"/>
              <w:ind w:left="0" w:right="0" w:hanging="0"/>
              <w:jc w:val="center"/>
              <w:rPr>
                <w:rFonts w:ascii="times new roman" w:hAnsi="times new roman"/>
                <w:sz w:val="20"/>
              </w:rPr>
            </w:pPr>
            <w:r>
              <w:rPr>
                <w:rFonts w:ascii="times new roman" w:hAnsi="times new roman"/>
                <w:sz w:val="20"/>
              </w:rPr>
              <w:t>84,000</w:t>
            </w:r>
          </w:p>
        </w:tc>
        <w:tc>
          <w:tcPr>
            <w:tcW w:w="1112"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44"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259"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640,000</w:t>
            </w:r>
          </w:p>
          <w:p>
            <w:pPr>
              <w:pStyle w:val="TableContents"/>
              <w:spacing w:before="0" w:after="0"/>
              <w:ind w:left="0" w:right="0" w:hanging="0"/>
              <w:jc w:val="center"/>
              <w:rPr>
                <w:rFonts w:ascii="times new roman" w:hAnsi="times new roman"/>
                <w:sz w:val="20"/>
              </w:rPr>
            </w:pPr>
            <w:r>
              <w:rPr>
                <w:rFonts w:ascii="times new roman" w:hAnsi="times new roman"/>
                <w:sz w:val="20"/>
              </w:rPr>
              <w:t>896,800</w:t>
            </w:r>
          </w:p>
        </w:tc>
        <w:tc>
          <w:tcPr>
            <w:tcW w:w="1314"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62"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784,000</w:t>
            </w:r>
          </w:p>
          <w:p>
            <w:pPr>
              <w:pStyle w:val="TableContents"/>
              <w:spacing w:before="0" w:after="0"/>
              <w:ind w:left="0" w:right="0" w:hanging="0"/>
              <w:jc w:val="center"/>
              <w:rPr>
                <w:rFonts w:ascii="times new roman" w:hAnsi="times new roman"/>
                <w:sz w:val="20"/>
              </w:rPr>
            </w:pPr>
            <w:r>
              <w:rPr>
                <w:rFonts w:ascii="times new roman" w:hAnsi="times new roman"/>
                <w:sz w:val="20"/>
              </w:rPr>
              <w:t>980,800</w:t>
            </w:r>
          </w:p>
        </w:tc>
      </w:tr>
      <w:tr>
        <w:trPr/>
        <w:tc>
          <w:tcPr>
            <w:tcW w:w="2408" w:type="dxa"/>
            <w:tcBorders/>
            <w:shd w:fill="auto" w:val="clear"/>
            <w:tcMar>
              <w:top w:w="0" w:type="dxa"/>
              <w:bottom w:w="0" w:type="dxa"/>
            </w:tcMar>
            <w:vAlign w:val="bottom"/>
          </w:tcPr>
          <w:p>
            <w:pPr>
              <w:pStyle w:val="TableContents"/>
              <w:spacing w:before="0" w:after="283"/>
              <w:rPr/>
            </w:pPr>
            <w:r>
              <w:rPr/>
              <w:t xml:space="preserve">  </w:t>
            </w:r>
          </w:p>
        </w:tc>
        <w:tc>
          <w:tcPr>
            <w:tcW w:w="761" w:type="dxa"/>
            <w:tcBorders/>
            <w:shd w:fill="auto" w:val="clear"/>
            <w:tcMar>
              <w:top w:w="0" w:type="dxa"/>
              <w:bottom w:w="0" w:type="dxa"/>
            </w:tcMar>
            <w:vAlign w:val="center"/>
          </w:tcPr>
          <w:p>
            <w:pPr>
              <w:pStyle w:val="TableContents"/>
              <w:spacing w:before="0" w:after="283"/>
              <w:rPr/>
            </w:pPr>
            <w:r>
              <w:rPr/>
              <w:t xml:space="preserve">  </w:t>
            </w:r>
          </w:p>
        </w:tc>
        <w:tc>
          <w:tcPr>
            <w:tcW w:w="1045" w:type="dxa"/>
            <w:tcBorders/>
            <w:shd w:fill="auto" w:val="clear"/>
            <w:tcMar>
              <w:top w:w="0" w:type="dxa"/>
              <w:bottom w:w="0" w:type="dxa"/>
            </w:tcMar>
            <w:vAlign w:val="center"/>
          </w:tcPr>
          <w:p>
            <w:pPr>
              <w:pStyle w:val="TableContents"/>
              <w:spacing w:before="0" w:after="283"/>
              <w:rPr/>
            </w:pPr>
            <w:r>
              <w:rPr/>
              <w:t xml:space="preserve">  </w:t>
            </w:r>
          </w:p>
        </w:tc>
        <w:tc>
          <w:tcPr>
            <w:tcW w:w="1112" w:type="dxa"/>
            <w:tcBorders/>
            <w:shd w:fill="auto" w:val="clear"/>
            <w:tcMar>
              <w:top w:w="0" w:type="dxa"/>
              <w:bottom w:w="0" w:type="dxa"/>
            </w:tcMar>
            <w:vAlign w:val="center"/>
          </w:tcPr>
          <w:p>
            <w:pPr>
              <w:pStyle w:val="TableContents"/>
              <w:spacing w:before="0" w:after="283"/>
              <w:rPr/>
            </w:pPr>
            <w:r>
              <w:rPr/>
              <w:t xml:space="preserve">  </w:t>
            </w:r>
          </w:p>
        </w:tc>
        <w:tc>
          <w:tcPr>
            <w:tcW w:w="1144" w:type="dxa"/>
            <w:tcBorders/>
            <w:shd w:fill="auto" w:val="clear"/>
            <w:tcMar>
              <w:top w:w="0" w:type="dxa"/>
              <w:bottom w:w="0" w:type="dxa"/>
            </w:tcMar>
            <w:vAlign w:val="center"/>
          </w:tcPr>
          <w:p>
            <w:pPr>
              <w:pStyle w:val="TableContents"/>
              <w:spacing w:before="0" w:after="283"/>
              <w:rPr/>
            </w:pPr>
            <w:r>
              <w:rPr/>
              <w:t xml:space="preserve">  </w:t>
            </w:r>
          </w:p>
        </w:tc>
        <w:tc>
          <w:tcPr>
            <w:tcW w:w="1259" w:type="dxa"/>
            <w:tcBorders/>
            <w:shd w:fill="auto" w:val="clear"/>
            <w:tcMar>
              <w:top w:w="0" w:type="dxa"/>
              <w:bottom w:w="0" w:type="dxa"/>
            </w:tcMar>
            <w:vAlign w:val="center"/>
          </w:tcPr>
          <w:p>
            <w:pPr>
              <w:pStyle w:val="TableContents"/>
              <w:spacing w:before="0" w:after="283"/>
              <w:rPr/>
            </w:pPr>
            <w:r>
              <w:rPr/>
              <w:t xml:space="preserve">  </w:t>
            </w:r>
          </w:p>
        </w:tc>
        <w:tc>
          <w:tcPr>
            <w:tcW w:w="1314" w:type="dxa"/>
            <w:tcBorders/>
            <w:shd w:fill="auto" w:val="clear"/>
            <w:tcMar>
              <w:top w:w="0" w:type="dxa"/>
              <w:bottom w:w="0" w:type="dxa"/>
            </w:tcMar>
            <w:vAlign w:val="center"/>
          </w:tcPr>
          <w:p>
            <w:pPr>
              <w:pStyle w:val="TableContents"/>
              <w:spacing w:before="0" w:after="283"/>
              <w:rPr/>
            </w:pPr>
            <w:r>
              <w:rPr/>
              <w:t xml:space="preserve">  </w:t>
            </w:r>
          </w:p>
        </w:tc>
        <w:tc>
          <w:tcPr>
            <w:tcW w:w="1162" w:type="dxa"/>
            <w:tcBorders/>
            <w:shd w:fill="auto" w:val="clear"/>
            <w:tcMar>
              <w:top w:w="0" w:type="dxa"/>
              <w:bottom w:w="0" w:type="dxa"/>
            </w:tcMar>
            <w:vAlign w:val="center"/>
          </w:tcPr>
          <w:p>
            <w:pPr>
              <w:pStyle w:val="TableContents"/>
              <w:spacing w:before="0" w:after="283"/>
              <w:rPr/>
            </w:pPr>
            <w:r>
              <w:rPr/>
              <w:t xml:space="preserve">  </w:t>
            </w:r>
          </w:p>
        </w:tc>
      </w:tr>
      <w:tr>
        <w:trPr/>
        <w:tc>
          <w:tcPr>
            <w:tcW w:w="240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p>
            <w:pPr>
              <w:pStyle w:val="TableContents"/>
              <w:spacing w:before="0" w:after="0"/>
              <w:ind w:left="0" w:right="0" w:hanging="0"/>
              <w:jc w:val="left"/>
              <w:rPr>
                <w:rFonts w:ascii="times new roman" w:hAnsi="times new roman"/>
                <w:i/>
                <w:sz w:val="20"/>
              </w:rPr>
            </w:pPr>
            <w:r>
              <w:rPr>
                <w:rFonts w:ascii="times new roman" w:hAnsi="times new roman"/>
                <w:i/>
                <w:sz w:val="20"/>
              </w:rPr>
              <w:t>CFO, Acting Principal Accounting Officer and a director</w:t>
            </w:r>
          </w:p>
        </w:tc>
        <w:tc>
          <w:tcPr>
            <w:tcW w:w="76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45"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161,017</w:t>
            </w:r>
          </w:p>
          <w:p>
            <w:pPr>
              <w:pStyle w:val="TableContents"/>
              <w:spacing w:before="0" w:after="0"/>
              <w:ind w:left="0" w:right="0" w:hanging="0"/>
              <w:jc w:val="center"/>
              <w:rPr>
                <w:rFonts w:ascii="times new roman" w:hAnsi="times new roman"/>
                <w:sz w:val="20"/>
              </w:rPr>
            </w:pPr>
            <w:r>
              <w:rPr>
                <w:rFonts w:ascii="times new roman" w:hAnsi="times new roman"/>
                <w:sz w:val="20"/>
              </w:rPr>
              <w:t>138,600</w:t>
            </w:r>
          </w:p>
        </w:tc>
        <w:tc>
          <w:tcPr>
            <w:tcW w:w="1112"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44"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259"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440,000</w:t>
            </w:r>
          </w:p>
          <w:p>
            <w:pPr>
              <w:pStyle w:val="TableContents"/>
              <w:spacing w:before="0" w:after="0"/>
              <w:ind w:left="0" w:right="0" w:hanging="0"/>
              <w:jc w:val="center"/>
              <w:rPr>
                <w:rFonts w:ascii="times new roman" w:hAnsi="times new roman"/>
                <w:sz w:val="20"/>
              </w:rPr>
            </w:pPr>
            <w:r>
              <w:rPr>
                <w:rFonts w:ascii="times new roman" w:hAnsi="times new roman"/>
                <w:sz w:val="20"/>
              </w:rPr>
              <w:t>617,600</w:t>
            </w:r>
          </w:p>
        </w:tc>
        <w:tc>
          <w:tcPr>
            <w:tcW w:w="1314"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62"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601,017</w:t>
            </w:r>
          </w:p>
          <w:p>
            <w:pPr>
              <w:pStyle w:val="TableContents"/>
              <w:spacing w:before="0" w:after="0"/>
              <w:ind w:left="0" w:right="0" w:hanging="0"/>
              <w:jc w:val="center"/>
              <w:rPr>
                <w:rFonts w:ascii="times new roman" w:hAnsi="times new roman"/>
                <w:sz w:val="20"/>
              </w:rPr>
            </w:pPr>
            <w:r>
              <w:rPr>
                <w:rFonts w:ascii="times new roman" w:hAnsi="times new roman"/>
                <w:sz w:val="20"/>
              </w:rPr>
              <w:t>756,200</w:t>
            </w:r>
          </w:p>
        </w:tc>
      </w:tr>
      <w:tr>
        <w:trPr/>
        <w:tc>
          <w:tcPr>
            <w:tcW w:w="2408" w:type="dxa"/>
            <w:tcBorders>
              <w:bottom w:val="double" w:sz="8" w:space="0" w:color="000000"/>
            </w:tcBorders>
            <w:shd w:fill="auto" w:val="clear"/>
            <w:tcMar>
              <w:top w:w="0" w:type="dxa"/>
            </w:tcM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Tracy Moore</w:t>
            </w:r>
          </w:p>
          <w:p>
            <w:pPr>
              <w:pStyle w:val="TableContents"/>
              <w:spacing w:before="0" w:after="0"/>
              <w:ind w:left="0" w:right="0" w:hanging="0"/>
              <w:jc w:val="left"/>
              <w:rPr>
                <w:rFonts w:ascii="times new roman" w:hAnsi="times new roman"/>
                <w:sz w:val="20"/>
              </w:rPr>
            </w:pPr>
            <w:r>
              <w:rPr>
                <w:rFonts w:ascii="times new roman" w:hAnsi="times new roman"/>
                <w:i/>
                <w:sz w:val="20"/>
              </w:rPr>
              <w:t>Former Secretary, former Treasurer, former CFO,</w:t>
            </w:r>
            <w:r>
              <w:rPr>
                <w:rFonts w:ascii="times new roman" w:hAnsi="times new roman"/>
                <w:sz w:val="20"/>
              </w:rPr>
              <w:t xml:space="preserve"> </w:t>
            </w:r>
            <w:r>
              <w:rPr>
                <w:rFonts w:ascii="times new roman" w:hAnsi="times new roman"/>
                <w:i/>
                <w:sz w:val="20"/>
              </w:rPr>
              <w:t>Acting Principal Accounting Officer and a former director</w:t>
            </w:r>
          </w:p>
        </w:tc>
        <w:tc>
          <w:tcPr>
            <w:tcW w:w="761"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45"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46,160</w:t>
            </w:r>
          </w:p>
          <w:p>
            <w:pPr>
              <w:pStyle w:val="TableContents"/>
              <w:spacing w:before="0" w:after="0"/>
              <w:ind w:left="0" w:right="0" w:hanging="0"/>
              <w:jc w:val="center"/>
              <w:rPr>
                <w:rFonts w:ascii="times new roman" w:hAnsi="times new roman"/>
                <w:sz w:val="20"/>
              </w:rPr>
            </w:pPr>
            <w:r>
              <w:rPr>
                <w:rFonts w:ascii="times new roman" w:hAnsi="times new roman"/>
                <w:sz w:val="20"/>
              </w:rPr>
              <w:t>30,000</w:t>
            </w:r>
          </w:p>
        </w:tc>
        <w:tc>
          <w:tcPr>
            <w:tcW w:w="1112"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44"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259"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480,000</w:t>
            </w:r>
          </w:p>
        </w:tc>
        <w:tc>
          <w:tcPr>
            <w:tcW w:w="1314"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62"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46,160</w:t>
            </w:r>
          </w:p>
          <w:p>
            <w:pPr>
              <w:pStyle w:val="TableContents"/>
              <w:spacing w:before="0" w:after="0"/>
              <w:ind w:left="0" w:right="0" w:hanging="0"/>
              <w:jc w:val="center"/>
              <w:rPr>
                <w:rFonts w:ascii="times new roman" w:hAnsi="times new roman"/>
                <w:sz w:val="20"/>
              </w:rPr>
            </w:pPr>
            <w:r>
              <w:rPr>
                <w:rFonts w:ascii="times new roman" w:hAnsi="times new roman"/>
                <w:sz w:val="20"/>
              </w:rPr>
              <w:t>510,000</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amounts represent fees paid or accrued by us to the executive officers during the past year pursuant to various employment and consulting services agreements, as between us and the executive officers, which are described below. Our executive officer are also reimbursed for any out-of-pocket expenses incurred in connection with corporate duties. We presently have no pension, health, annuity, insurance, profit sharing or similar benefit plans.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information as at December 31, 2010 relating to outstanding equity awards for each Named Executive Officer:</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4" w:name="PGBRK55"/>
      <w:bookmarkStart w:id="595" w:name="PGBRK55"/>
      <w:bookmarkEnd w:id="5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6" w:name="FTR55"/>
      <w:bookmarkStart w:id="597" w:name="FTR55"/>
      <w:bookmarkEnd w:id="5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8" w:name="GLFTR55"/>
      <w:bookmarkEnd w:id="5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99" w:name="PN55"/>
      <w:bookmarkEnd w:id="599"/>
      <w:r>
        <w:rPr>
          <w:rFonts w:ascii="Times New Roman" w:hAnsi="Times New Roman"/>
          <w:sz w:val="20"/>
        </w:rPr>
        <w:t>50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0" w:name="HDR55"/>
      <w:bookmarkStart w:id="601" w:name="HDR55"/>
      <w:bookmarkEnd w:id="6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02" w:name="GLHDR55"/>
      <w:bookmarkEnd w:id="6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Outstanding Equity Awards at Year End Table</w:t>
      </w:r>
    </w:p>
    <w:tbl>
      <w:tblPr>
        <w:tblW w:w="5000" w:type="pct"/>
        <w:jc w:val="left"/>
        <w:tblInd w:w="0" w:type="dxa"/>
        <w:tblCellMar>
          <w:top w:w="28" w:type="dxa"/>
          <w:left w:w="0" w:type="dxa"/>
          <w:bottom w:w="28" w:type="dxa"/>
          <w:right w:w="0" w:type="dxa"/>
        </w:tblCellMar>
      </w:tblPr>
      <w:tblGrid>
        <w:gridCol w:w="3317"/>
        <w:gridCol w:w="1531"/>
        <w:gridCol w:w="1531"/>
        <w:gridCol w:w="1530"/>
        <w:gridCol w:w="1148"/>
        <w:gridCol w:w="1148"/>
      </w:tblGrid>
      <w:tr>
        <w:trPr/>
        <w:tc>
          <w:tcPr>
            <w:tcW w:w="3317"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w:t>
            </w:r>
          </w:p>
        </w:tc>
        <w:tc>
          <w:tcPr>
            <w:tcW w:w="153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spacing w:before="0" w:after="0"/>
              <w:ind w:left="0" w:right="0" w:hanging="0"/>
              <w:jc w:val="center"/>
              <w:rPr>
                <w:rFonts w:ascii="times new roman" w:hAnsi="times new roman"/>
                <w:b/>
                <w:sz w:val="20"/>
              </w:rPr>
            </w:pPr>
            <w:r>
              <w:rPr>
                <w:rFonts w:ascii="times new roman" w:hAnsi="times new roman"/>
                <w:b/>
                <w:sz w:val="20"/>
              </w:rPr>
              <w:t>Securities</w:t>
            </w:r>
          </w:p>
          <w:p>
            <w:pPr>
              <w:pStyle w:val="TableContents"/>
              <w:spacing w:before="0" w:after="0"/>
              <w:ind w:left="0" w:right="0" w:hanging="0"/>
              <w:jc w:val="center"/>
              <w:rPr>
                <w:rFonts w:ascii="times new roman" w:hAnsi="times new roman"/>
                <w:b/>
                <w:sz w:val="20"/>
              </w:rPr>
            </w:pPr>
            <w:r>
              <w:rPr>
                <w:rFonts w:ascii="times new roman" w:hAnsi="times new roman"/>
                <w:b/>
                <w:sz w:val="20"/>
              </w:rPr>
              <w:t>Underlying</w:t>
            </w:r>
          </w:p>
          <w:p>
            <w:pPr>
              <w:pStyle w:val="TableContents"/>
              <w:spacing w:before="0" w:after="0"/>
              <w:ind w:left="0" w:right="0" w:hanging="0"/>
              <w:jc w:val="center"/>
              <w:rPr>
                <w:rFonts w:ascii="times new roman" w:hAnsi="times new roman"/>
                <w:b/>
                <w:sz w:val="20"/>
              </w:rPr>
            </w:pPr>
            <w:r>
              <w:rPr>
                <w:rFonts w:ascii="times new roman" w:hAnsi="times new roman"/>
                <w:b/>
                <w:sz w:val="20"/>
              </w:rPr>
              <w:t>Unexercised</w:t>
            </w:r>
          </w:p>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p>
            <w:pPr>
              <w:pStyle w:val="TableContents"/>
              <w:spacing w:before="0" w:after="0"/>
              <w:ind w:left="0" w:right="0" w:hanging="0"/>
              <w:jc w:val="center"/>
              <w:rPr>
                <w:rFonts w:ascii="times new roman" w:hAnsi="times new roman"/>
                <w:b/>
                <w:sz w:val="20"/>
              </w:rPr>
            </w:pPr>
            <w:r>
              <w:rPr>
                <w:rFonts w:ascii="times new roman" w:hAnsi="times new roman"/>
                <w:b/>
                <w:sz w:val="20"/>
              </w:rPr>
              <w:t>(exercisable)</w:t>
            </w:r>
          </w:p>
        </w:tc>
        <w:tc>
          <w:tcPr>
            <w:tcW w:w="153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spacing w:before="0" w:after="0"/>
              <w:ind w:left="0" w:right="0" w:hanging="0"/>
              <w:jc w:val="center"/>
              <w:rPr>
                <w:rFonts w:ascii="times new roman" w:hAnsi="times new roman"/>
                <w:b/>
                <w:sz w:val="20"/>
              </w:rPr>
            </w:pPr>
            <w:r>
              <w:rPr>
                <w:rFonts w:ascii="times new roman" w:hAnsi="times new roman"/>
                <w:b/>
                <w:sz w:val="20"/>
              </w:rPr>
              <w:t>Securities</w:t>
            </w:r>
          </w:p>
          <w:p>
            <w:pPr>
              <w:pStyle w:val="TableContents"/>
              <w:spacing w:before="0" w:after="0"/>
              <w:ind w:left="0" w:right="0" w:hanging="0"/>
              <w:jc w:val="center"/>
              <w:rPr>
                <w:rFonts w:ascii="times new roman" w:hAnsi="times new roman"/>
                <w:b/>
                <w:sz w:val="20"/>
              </w:rPr>
            </w:pPr>
            <w:r>
              <w:rPr>
                <w:rFonts w:ascii="times new roman" w:hAnsi="times new roman"/>
                <w:b/>
                <w:sz w:val="20"/>
              </w:rPr>
              <w:t>Underlying</w:t>
            </w:r>
          </w:p>
          <w:p>
            <w:pPr>
              <w:pStyle w:val="TableContents"/>
              <w:spacing w:before="0" w:after="0"/>
              <w:ind w:left="0" w:right="0" w:hanging="0"/>
              <w:jc w:val="center"/>
              <w:rPr>
                <w:rFonts w:ascii="times new roman" w:hAnsi="times new roman"/>
                <w:b/>
                <w:sz w:val="20"/>
              </w:rPr>
            </w:pPr>
            <w:r>
              <w:rPr>
                <w:rFonts w:ascii="times new roman" w:hAnsi="times new roman"/>
                <w:b/>
                <w:sz w:val="20"/>
              </w:rPr>
              <w:t>Unexercised</w:t>
            </w:r>
          </w:p>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p>
            <w:pPr>
              <w:pStyle w:val="TableContents"/>
              <w:spacing w:before="0" w:after="0"/>
              <w:ind w:left="0" w:right="0" w:hanging="0"/>
              <w:jc w:val="center"/>
              <w:rPr>
                <w:rFonts w:ascii="times new roman" w:hAnsi="times new roman"/>
                <w:b/>
                <w:sz w:val="20"/>
              </w:rPr>
            </w:pPr>
            <w:r>
              <w:rPr>
                <w:rFonts w:ascii="times new roman" w:hAnsi="times new roman"/>
                <w:b/>
                <w:sz w:val="20"/>
              </w:rPr>
              <w:t>(unexercisable)</w:t>
            </w:r>
          </w:p>
        </w:tc>
        <w:tc>
          <w:tcPr>
            <w:tcW w:w="1530"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spacing w:before="0" w:after="0"/>
              <w:ind w:left="0" w:right="0" w:hanging="0"/>
              <w:jc w:val="center"/>
              <w:rPr>
                <w:rFonts w:ascii="times new roman" w:hAnsi="times new roman"/>
                <w:b/>
                <w:sz w:val="20"/>
              </w:rPr>
            </w:pPr>
            <w:r>
              <w:rPr>
                <w:rFonts w:ascii="times new roman" w:hAnsi="times new roman"/>
                <w:b/>
                <w:sz w:val="20"/>
              </w:rPr>
              <w:t>Securities</w:t>
            </w:r>
          </w:p>
          <w:p>
            <w:pPr>
              <w:pStyle w:val="TableContents"/>
              <w:spacing w:before="0" w:after="0"/>
              <w:ind w:left="0" w:right="0" w:hanging="0"/>
              <w:jc w:val="center"/>
              <w:rPr>
                <w:rFonts w:ascii="times new roman" w:hAnsi="times new roman"/>
                <w:b/>
                <w:sz w:val="20"/>
              </w:rPr>
            </w:pPr>
            <w:r>
              <w:rPr>
                <w:rFonts w:ascii="times new roman" w:hAnsi="times new roman"/>
                <w:b/>
                <w:sz w:val="20"/>
              </w:rPr>
              <w:t>Underlying</w:t>
            </w:r>
          </w:p>
          <w:p>
            <w:pPr>
              <w:pStyle w:val="TableContents"/>
              <w:spacing w:before="0" w:after="0"/>
              <w:ind w:left="0" w:right="0" w:hanging="0"/>
              <w:jc w:val="center"/>
              <w:rPr>
                <w:rFonts w:ascii="times new roman" w:hAnsi="times new roman"/>
                <w:b/>
                <w:sz w:val="20"/>
              </w:rPr>
            </w:pPr>
            <w:r>
              <w:rPr>
                <w:rFonts w:ascii="times new roman" w:hAnsi="times new roman"/>
                <w:b/>
                <w:sz w:val="20"/>
              </w:rPr>
              <w:t>Unexercised</w:t>
            </w:r>
          </w:p>
          <w:p>
            <w:pPr>
              <w:pStyle w:val="TableContents"/>
              <w:spacing w:before="0" w:after="0"/>
              <w:ind w:left="0" w:right="0" w:hanging="0"/>
              <w:jc w:val="center"/>
              <w:rPr>
                <w:rFonts w:ascii="times new roman" w:hAnsi="times new roman"/>
                <w:b/>
                <w:sz w:val="20"/>
              </w:rPr>
            </w:pPr>
            <w:r>
              <w:rPr>
                <w:rFonts w:ascii="times new roman" w:hAnsi="times new roman"/>
                <w:b/>
                <w:sz w:val="20"/>
              </w:rPr>
              <w:t>Unearned</w:t>
            </w:r>
          </w:p>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tc>
        <w:tc>
          <w:tcPr>
            <w:tcW w:w="1148"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Exercise</w:t>
            </w:r>
          </w:p>
          <w:p>
            <w:pPr>
              <w:pStyle w:val="TableContents"/>
              <w:spacing w:before="0" w:after="0"/>
              <w:ind w:left="0" w:right="0" w:hanging="0"/>
              <w:jc w:val="center"/>
              <w:rPr>
                <w:rFonts w:ascii="times new roman" w:hAnsi="times new roman"/>
                <w:b/>
                <w:sz w:val="20"/>
              </w:rPr>
            </w:pPr>
            <w:r>
              <w:rPr>
                <w:rFonts w:ascii="times new roman" w:hAnsi="times new roman"/>
                <w:b/>
                <w:sz w:val="20"/>
              </w:rPr>
              <w:t>Price</w:t>
            </w:r>
          </w:p>
        </w:tc>
        <w:tc>
          <w:tcPr>
            <w:tcW w:w="1148"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Expiration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Date</w:t>
            </w:r>
          </w:p>
        </w:tc>
      </w:tr>
      <w:tr>
        <w:trPr/>
        <w:tc>
          <w:tcPr>
            <w:tcW w:w="331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p>
            <w:pPr>
              <w:pStyle w:val="TableContents"/>
              <w:spacing w:before="0" w:after="0"/>
              <w:ind w:left="0" w:right="0" w:hanging="0"/>
              <w:jc w:val="left"/>
              <w:rPr>
                <w:rFonts w:ascii="times new roman" w:hAnsi="times new roman"/>
                <w:i/>
                <w:sz w:val="20"/>
              </w:rPr>
            </w:pPr>
            <w:r>
              <w:rPr>
                <w:rFonts w:ascii="times new roman" w:hAnsi="times new roman"/>
                <w:i/>
                <w:sz w:val="20"/>
              </w:rPr>
              <w:t>Chairman, CEO and Principal Executive Officer</w:t>
            </w:r>
          </w:p>
        </w:tc>
        <w:tc>
          <w:tcPr>
            <w:tcW w:w="153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40,000</w:t>
            </w:r>
          </w:p>
          <w:p>
            <w:pPr>
              <w:pStyle w:val="TableContents"/>
              <w:spacing w:before="0" w:after="0"/>
              <w:ind w:left="0" w:right="0" w:hanging="0"/>
              <w:jc w:val="center"/>
              <w:rPr>
                <w:rFonts w:ascii="times new roman" w:hAnsi="times new roman"/>
                <w:sz w:val="20"/>
              </w:rPr>
            </w:pPr>
            <w:r>
              <w:rPr>
                <w:rFonts w:ascii="times new roman" w:hAnsi="times new roman"/>
                <w:sz w:val="20"/>
              </w:rPr>
              <w:t>1,600,000(3)</w:t>
            </w:r>
          </w:p>
        </w:tc>
        <w:tc>
          <w:tcPr>
            <w:tcW w:w="153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530"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48"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$0.97(5)(6)</w:t>
            </w:r>
          </w:p>
          <w:p>
            <w:pPr>
              <w:pStyle w:val="TableContents"/>
              <w:spacing w:before="0" w:after="0"/>
              <w:ind w:left="0" w:right="0" w:hanging="0"/>
              <w:jc w:val="center"/>
              <w:rPr>
                <w:rFonts w:ascii="times new roman" w:hAnsi="times new roman"/>
                <w:sz w:val="20"/>
              </w:rPr>
            </w:pPr>
            <w:r>
              <w:rPr>
                <w:rFonts w:ascii="times new roman" w:hAnsi="times new roman"/>
                <w:sz w:val="20"/>
              </w:rPr>
              <w:t>$0.97(6)</w:t>
            </w:r>
          </w:p>
        </w:tc>
        <w:tc>
          <w:tcPr>
            <w:tcW w:w="1148"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07/06/17</w:t>
            </w:r>
          </w:p>
          <w:p>
            <w:pPr>
              <w:pStyle w:val="TableContents"/>
              <w:spacing w:before="0" w:after="0"/>
              <w:ind w:left="0" w:right="0" w:hanging="0"/>
              <w:jc w:val="center"/>
              <w:rPr>
                <w:rFonts w:ascii="times new roman" w:hAnsi="times new roman"/>
                <w:sz w:val="20"/>
              </w:rPr>
            </w:pPr>
            <w:r>
              <w:rPr>
                <w:rFonts w:ascii="times new roman" w:hAnsi="times new roman"/>
                <w:sz w:val="20"/>
              </w:rPr>
              <w:t>10/14/19</w:t>
            </w:r>
          </w:p>
        </w:tc>
      </w:tr>
      <w:tr>
        <w:trPr/>
        <w:tc>
          <w:tcPr>
            <w:tcW w:w="331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p>
            <w:pPr>
              <w:pStyle w:val="TableContents"/>
              <w:spacing w:before="0" w:after="0"/>
              <w:ind w:left="0" w:right="0" w:hanging="0"/>
              <w:jc w:val="left"/>
              <w:rPr>
                <w:rFonts w:ascii="times new roman" w:hAnsi="times new roman"/>
                <w:i/>
                <w:sz w:val="20"/>
              </w:rPr>
            </w:pPr>
            <w:r>
              <w:rPr>
                <w:rFonts w:ascii="times new roman" w:hAnsi="times new roman"/>
                <w:i/>
                <w:sz w:val="20"/>
              </w:rPr>
              <w:t>President, CFO, Acting Principal Accounting Officer and a director</w:t>
            </w:r>
          </w:p>
        </w:tc>
        <w:tc>
          <w:tcPr>
            <w:tcW w:w="153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80,000</w:t>
            </w:r>
          </w:p>
          <w:p>
            <w:pPr>
              <w:pStyle w:val="TableContents"/>
              <w:spacing w:before="0" w:after="0"/>
              <w:ind w:left="0" w:right="0" w:hanging="0"/>
              <w:jc w:val="center"/>
              <w:rPr>
                <w:rFonts w:ascii="times new roman" w:hAnsi="times new roman"/>
                <w:sz w:val="20"/>
              </w:rPr>
            </w:pPr>
            <w:r>
              <w:rPr>
                <w:rFonts w:ascii="times new roman" w:hAnsi="times new roman"/>
                <w:sz w:val="20"/>
              </w:rPr>
              <w:t>1,100,000(3)</w:t>
            </w:r>
          </w:p>
        </w:tc>
        <w:tc>
          <w:tcPr>
            <w:tcW w:w="153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530"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48"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$0.97(5)(6)</w:t>
            </w:r>
          </w:p>
          <w:p>
            <w:pPr>
              <w:pStyle w:val="TableContents"/>
              <w:spacing w:before="0" w:after="0"/>
              <w:ind w:left="0" w:right="0" w:hanging="0"/>
              <w:jc w:val="center"/>
              <w:rPr>
                <w:rFonts w:ascii="times new roman" w:hAnsi="times new roman"/>
                <w:sz w:val="20"/>
              </w:rPr>
            </w:pPr>
            <w:r>
              <w:rPr>
                <w:rFonts w:ascii="times new roman" w:hAnsi="times new roman"/>
                <w:sz w:val="20"/>
              </w:rPr>
              <w:t>$0.97(6)</w:t>
            </w:r>
          </w:p>
        </w:tc>
        <w:tc>
          <w:tcPr>
            <w:tcW w:w="1148"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07/06/17</w:t>
            </w:r>
          </w:p>
          <w:p>
            <w:pPr>
              <w:pStyle w:val="TableContents"/>
              <w:spacing w:before="0" w:after="0"/>
              <w:ind w:left="0" w:right="0" w:hanging="0"/>
              <w:jc w:val="center"/>
              <w:rPr>
                <w:rFonts w:ascii="times new roman" w:hAnsi="times new roman"/>
                <w:sz w:val="20"/>
              </w:rPr>
            </w:pPr>
            <w:r>
              <w:rPr>
                <w:rFonts w:ascii="times new roman" w:hAnsi="times new roman"/>
                <w:sz w:val="20"/>
              </w:rPr>
              <w:t>10/14/19</w:t>
            </w:r>
          </w:p>
        </w:tc>
      </w:tr>
      <w:tr>
        <w:trPr/>
        <w:tc>
          <w:tcPr>
            <w:tcW w:w="3317" w:type="dxa"/>
            <w:tcBorders>
              <w:bottom w:val="double" w:sz="8" w:space="0" w:color="000000"/>
            </w:tcBorders>
            <w:shd w:fill="auto" w:val="clear"/>
            <w:tcMar>
              <w:top w:w="0" w:type="dxa"/>
            </w:tcM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Tracy A. Moore2</w:t>
            </w:r>
          </w:p>
          <w:p>
            <w:pPr>
              <w:pStyle w:val="TableContents"/>
              <w:spacing w:before="0" w:after="0"/>
              <w:ind w:left="0" w:right="0" w:hanging="0"/>
              <w:jc w:val="left"/>
              <w:rPr>
                <w:rFonts w:ascii="times new roman" w:hAnsi="times new roman"/>
                <w:i/>
                <w:sz w:val="20"/>
              </w:rPr>
            </w:pPr>
            <w:r>
              <w:rPr>
                <w:rFonts w:ascii="times new roman" w:hAnsi="times new roman"/>
                <w:i/>
                <w:sz w:val="20"/>
              </w:rPr>
              <w:t>Secretary, Treasurer, CFO, Acting Principal Accounting Officer and a director</w:t>
            </w:r>
          </w:p>
          <w:p>
            <w:pPr>
              <w:pStyle w:val="TableContents"/>
              <w:spacing w:before="0" w:after="0"/>
              <w:ind w:left="0" w:right="0" w:hanging="0"/>
              <w:jc w:val="left"/>
              <w:rPr/>
            </w:pPr>
            <w:r>
              <w:rPr/>
              <w:t> </w:t>
            </w:r>
          </w:p>
        </w:tc>
        <w:tc>
          <w:tcPr>
            <w:tcW w:w="1531"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500,000(3)(4)</w:t>
            </w:r>
          </w:p>
        </w:tc>
        <w:tc>
          <w:tcPr>
            <w:tcW w:w="1531"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500,000(4)</w:t>
            </w:r>
          </w:p>
        </w:tc>
        <w:tc>
          <w:tcPr>
            <w:tcW w:w="1530"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48"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$0.97</w:t>
            </w:r>
          </w:p>
        </w:tc>
        <w:tc>
          <w:tcPr>
            <w:tcW w:w="1148"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10/14/19</w:t>
            </w:r>
          </w:p>
        </w:tc>
      </w:tr>
    </w:tbl>
    <w:p>
      <w:pPr>
        <w:pStyle w:val="Normal"/>
        <w:spacing w:before="0" w:after="0"/>
        <w:rPr>
          <w:sz w:val="4"/>
          <w:szCs w:val="4"/>
        </w:rPr>
      </w:pPr>
      <w:r>
        <w:rPr>
          <w:sz w:val="4"/>
          <w:szCs w:val="4"/>
        </w:rPr>
      </w:r>
      <w:bookmarkStart w:id="603" w:name="hangingindent41"/>
      <w:bookmarkStart w:id="604" w:name="hangingindent41"/>
      <w:bookmarkEnd w:id="604"/>
    </w:p>
    <w:tbl>
      <w:tblPr>
        <w:tblW w:w="5000" w:type="pct"/>
        <w:jc w:val="center"/>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Mr. Corin was appointed Secretary, Treasurer, CFO and Acting Principal Accounting Officer on July 16, 2010 when Tracy A. Moore resigned these positions effective on that date.</w:t>
            </w:r>
          </w:p>
        </w:tc>
      </w:tr>
    </w:tbl>
    <w:p>
      <w:pPr>
        <w:pStyle w:val="Normal"/>
        <w:spacing w:before="0" w:after="0"/>
        <w:rPr>
          <w:sz w:val="4"/>
          <w:szCs w:val="4"/>
        </w:rPr>
      </w:pPr>
      <w:r>
        <w:rPr>
          <w:sz w:val="4"/>
          <w:szCs w:val="4"/>
        </w:rPr>
      </w:r>
      <w:bookmarkStart w:id="605" w:name="hangingindent42"/>
      <w:bookmarkStart w:id="606" w:name="hangingindent42"/>
      <w:bookmarkEnd w:id="606"/>
    </w:p>
    <w:tbl>
      <w:tblPr>
        <w:tblW w:w="5000" w:type="pct"/>
        <w:jc w:val="center"/>
        <w:tblInd w:w="0" w:type="dxa"/>
        <w:tblCellMar>
          <w:top w:w="0" w:type="dxa"/>
          <w:left w:w="0" w:type="dxa"/>
          <w:bottom w:w="0" w:type="dxa"/>
          <w:right w:w="0" w:type="dxa"/>
        </w:tblCellMar>
      </w:tblPr>
      <w:tblGrid>
        <w:gridCol w:w="232"/>
        <w:gridCol w:w="9973"/>
      </w:tblGrid>
      <w:tr>
        <w:trPr/>
        <w:tc>
          <w:tcPr>
            <w:tcW w:w="23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Mr. Moore resigned as a member of our Board of Directors, Secretary, Treasurer, CFO and Acting Principal Accounting Officer effective July 16, 2010.</w:t>
            </w:r>
          </w:p>
        </w:tc>
      </w:tr>
    </w:tbl>
    <w:p>
      <w:pPr>
        <w:pStyle w:val="Normal"/>
        <w:spacing w:before="0" w:after="0"/>
        <w:rPr>
          <w:sz w:val="4"/>
          <w:szCs w:val="4"/>
        </w:rPr>
      </w:pPr>
      <w:r>
        <w:rPr>
          <w:sz w:val="4"/>
          <w:szCs w:val="4"/>
        </w:rPr>
      </w:r>
      <w:bookmarkStart w:id="607" w:name="hangingindent43"/>
      <w:bookmarkStart w:id="608" w:name="hangingindent43"/>
      <w:bookmarkEnd w:id="608"/>
    </w:p>
    <w:tbl>
      <w:tblPr>
        <w:tblW w:w="5000" w:type="pct"/>
        <w:jc w:val="center"/>
        <w:tblInd w:w="0" w:type="dxa"/>
        <w:tblCellMar>
          <w:top w:w="0" w:type="dxa"/>
          <w:left w:w="0" w:type="dxa"/>
          <w:bottom w:w="0" w:type="dxa"/>
          <w:right w:w="0" w:type="dxa"/>
        </w:tblCellMar>
      </w:tblPr>
      <w:tblGrid>
        <w:gridCol w:w="226"/>
        <w:gridCol w:w="9979"/>
      </w:tblGrid>
      <w:tr>
        <w:trPr/>
        <w:tc>
          <w:tcPr>
            <w:tcW w:w="22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plan under which these shares were issued was approved by the Board of Directors and the shareholders in 2009 but did not come into effect until February 22, 2010</w:t>
            </w:r>
          </w:p>
        </w:tc>
      </w:tr>
    </w:tbl>
    <w:p>
      <w:pPr>
        <w:pStyle w:val="Normal"/>
        <w:spacing w:before="0" w:after="0"/>
        <w:rPr>
          <w:sz w:val="4"/>
          <w:szCs w:val="4"/>
        </w:rPr>
      </w:pPr>
      <w:r>
        <w:rPr>
          <w:sz w:val="4"/>
          <w:szCs w:val="4"/>
        </w:rPr>
      </w:r>
      <w:bookmarkStart w:id="609" w:name="hangingindent44"/>
      <w:bookmarkStart w:id="610" w:name="hangingindent44"/>
      <w:bookmarkEnd w:id="610"/>
    </w:p>
    <w:tbl>
      <w:tblPr>
        <w:tblW w:w="5000" w:type="pct"/>
        <w:jc w:val="center"/>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6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These options were cancelled effective February 16, 2011</w:t>
            </w:r>
          </w:p>
        </w:tc>
      </w:tr>
    </w:tbl>
    <w:p>
      <w:pPr>
        <w:pStyle w:val="Normal"/>
        <w:spacing w:before="0" w:after="0"/>
        <w:rPr>
          <w:sz w:val="4"/>
          <w:szCs w:val="4"/>
        </w:rPr>
      </w:pPr>
      <w:r>
        <w:rPr>
          <w:sz w:val="4"/>
          <w:szCs w:val="4"/>
        </w:rPr>
      </w:r>
      <w:bookmarkStart w:id="611" w:name="hangingindent45"/>
      <w:bookmarkStart w:id="612" w:name="hangingindent45"/>
      <w:bookmarkEnd w:id="612"/>
    </w:p>
    <w:tbl>
      <w:tblPr>
        <w:tblW w:w="5000" w:type="pct"/>
        <w:jc w:val="center"/>
        <w:tblInd w:w="0" w:type="dxa"/>
        <w:tblCellMar>
          <w:top w:w="0" w:type="dxa"/>
          <w:left w:w="0" w:type="dxa"/>
          <w:bottom w:w="0" w:type="dxa"/>
          <w:right w:w="0" w:type="dxa"/>
        </w:tblCellMar>
      </w:tblPr>
      <w:tblGrid>
        <w:gridCol w:w="389"/>
        <w:gridCol w:w="9816"/>
      </w:tblGrid>
      <w:tr>
        <w:trPr/>
        <w:tc>
          <w:tcPr>
            <w:tcW w:w="38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81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Effective February 22, 2010, the option exercise price was reduced to $0.97.</w:t>
            </w:r>
          </w:p>
        </w:tc>
      </w:tr>
    </w:tbl>
    <w:p>
      <w:pPr>
        <w:pStyle w:val="Normal"/>
        <w:spacing w:before="0" w:after="0"/>
        <w:rPr>
          <w:sz w:val="4"/>
          <w:szCs w:val="4"/>
        </w:rPr>
      </w:pPr>
      <w:r>
        <w:rPr>
          <w:sz w:val="4"/>
          <w:szCs w:val="4"/>
        </w:rPr>
      </w:r>
      <w:bookmarkStart w:id="613" w:name="hangingindent46"/>
      <w:bookmarkStart w:id="614" w:name="hangingindent46"/>
      <w:bookmarkEnd w:id="614"/>
    </w:p>
    <w:tbl>
      <w:tblPr>
        <w:tblW w:w="5000" w:type="pct"/>
        <w:jc w:val="center"/>
        <w:tblInd w:w="0" w:type="dxa"/>
        <w:tblCellMar>
          <w:top w:w="0" w:type="dxa"/>
          <w:left w:w="0" w:type="dxa"/>
          <w:bottom w:w="0" w:type="dxa"/>
          <w:right w:w="0" w:type="dxa"/>
        </w:tblCellMar>
      </w:tblPr>
      <w:tblGrid>
        <w:gridCol w:w="389"/>
        <w:gridCol w:w="9816"/>
      </w:tblGrid>
      <w:tr>
        <w:trPr/>
        <w:tc>
          <w:tcPr>
            <w:tcW w:w="38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(6)</w:t>
            </w:r>
          </w:p>
        </w:tc>
        <w:tc>
          <w:tcPr>
            <w:tcW w:w="981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Effective February 16, 2011, the option exercise price was reduced to $0.17.</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information relating to compensation paid to our directors for their services as directors in the fiscal year ended December 31, 2010, and excludes compensation paid to our directors for their services as executive officers: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Director Compensation Table</w:t>
      </w:r>
    </w:p>
    <w:tbl>
      <w:tblPr>
        <w:tblW w:w="5000" w:type="pct"/>
        <w:jc w:val="left"/>
        <w:tblInd w:w="0" w:type="dxa"/>
        <w:tblCellMar>
          <w:top w:w="28" w:type="dxa"/>
          <w:left w:w="0" w:type="dxa"/>
          <w:bottom w:w="28" w:type="dxa"/>
          <w:right w:w="0" w:type="dxa"/>
        </w:tblCellMar>
      </w:tblPr>
      <w:tblGrid>
        <w:gridCol w:w="2196"/>
        <w:gridCol w:w="904"/>
        <w:gridCol w:w="1421"/>
        <w:gridCol w:w="1421"/>
        <w:gridCol w:w="1421"/>
        <w:gridCol w:w="1421"/>
        <w:gridCol w:w="1421"/>
      </w:tblGrid>
      <w:tr>
        <w:trPr/>
        <w:tc>
          <w:tcPr>
            <w:tcW w:w="2196"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w:t>
            </w:r>
          </w:p>
        </w:tc>
        <w:tc>
          <w:tcPr>
            <w:tcW w:w="904"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4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Fees</w:t>
            </w:r>
          </w:p>
          <w:p>
            <w:pPr>
              <w:pStyle w:val="TableContents"/>
              <w:spacing w:before="0" w:after="0"/>
              <w:ind w:left="0" w:right="0" w:hanging="0"/>
              <w:jc w:val="center"/>
              <w:rPr>
                <w:rFonts w:ascii="times new roman" w:hAnsi="times new roman"/>
                <w:b/>
                <w:sz w:val="20"/>
              </w:rPr>
            </w:pPr>
            <w:r>
              <w:rPr>
                <w:rFonts w:ascii="times new roman" w:hAnsi="times new roman"/>
                <w:b/>
                <w:sz w:val="20"/>
              </w:rPr>
              <w:t>Earned or</w:t>
            </w:r>
          </w:p>
          <w:p>
            <w:pPr>
              <w:pStyle w:val="TableContents"/>
              <w:spacing w:before="0" w:after="0"/>
              <w:ind w:left="0" w:right="0" w:hanging="0"/>
              <w:jc w:val="center"/>
              <w:rPr>
                <w:rFonts w:ascii="times new roman" w:hAnsi="times new roman"/>
                <w:b/>
                <w:sz w:val="20"/>
              </w:rPr>
            </w:pPr>
            <w:r>
              <w:rPr>
                <w:rFonts w:ascii="times new roman" w:hAnsi="times new roman"/>
                <w:b/>
                <w:sz w:val="20"/>
              </w:rPr>
              <w:t>Paid in</w:t>
            </w:r>
          </w:p>
          <w:p>
            <w:pPr>
              <w:pStyle w:val="TableContents"/>
              <w:spacing w:before="0" w:after="0"/>
              <w:ind w:left="0" w:right="0" w:hanging="0"/>
              <w:jc w:val="center"/>
              <w:rPr>
                <w:rFonts w:ascii="times new roman" w:hAnsi="times new roman"/>
                <w:b/>
                <w:sz w:val="20"/>
              </w:rPr>
            </w:pPr>
            <w:r>
              <w:rPr>
                <w:rFonts w:ascii="times new roman" w:hAnsi="times new roman"/>
                <w:b/>
                <w:sz w:val="20"/>
              </w:rPr>
              <w:t>Cash</w:t>
            </w:r>
          </w:p>
        </w:tc>
        <w:tc>
          <w:tcPr>
            <w:tcW w:w="14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4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4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All Other</w:t>
            </w:r>
          </w:p>
          <w:p>
            <w:pPr>
              <w:pStyle w:val="TableContents"/>
              <w:spacing w:before="0" w:after="0"/>
              <w:ind w:left="0" w:right="0" w:hanging="0"/>
              <w:jc w:val="center"/>
              <w:rPr>
                <w:rFonts w:ascii="times new roman" w:hAnsi="times new roman"/>
                <w:b/>
                <w:sz w:val="20"/>
              </w:rPr>
            </w:pPr>
            <w:r>
              <w:rPr>
                <w:rFonts w:ascii="times new roman" w:hAnsi="times new roman"/>
                <w:b/>
                <w:sz w:val="20"/>
              </w:rPr>
              <w:t>Compensation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4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r>
      <w:tr>
        <w:trPr/>
        <w:tc>
          <w:tcPr>
            <w:tcW w:w="2196"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tc>
        <w:tc>
          <w:tcPr>
            <w:tcW w:w="904" w:type="dxa"/>
            <w:tcBorders/>
            <w:shd w:fill="auto" w:val="clear"/>
            <w:tcMar>
              <w:top w:w="0" w:type="dxa"/>
              <w:bottom w:w="0" w:type="dxa"/>
            </w:tcMar>
            <w:vAlign w:val="bottom"/>
          </w:tcPr>
          <w:p>
            <w:pPr>
              <w:pStyle w:val="TableContents"/>
              <w:spacing w:before="0" w:after="283"/>
              <w:rPr/>
            </w:pPr>
            <w:r>
              <w:rPr/>
              <w:t xml:space="preserve">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rPr/>
            </w:pPr>
            <w:r>
              <w:rPr/>
              <w:t> </w:t>
            </w:r>
          </w:p>
        </w:tc>
      </w:tr>
      <w:tr>
        <w:trPr/>
        <w:tc>
          <w:tcPr>
            <w:tcW w:w="2196"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tc>
        <w:tc>
          <w:tcPr>
            <w:tcW w:w="904" w:type="dxa"/>
            <w:tcBorders/>
            <w:shd w:fill="auto" w:val="clear"/>
            <w:tcMar>
              <w:top w:w="0" w:type="dxa"/>
              <w:bottom w:w="0" w:type="dxa"/>
            </w:tcMar>
            <w:vAlign w:val="bottom"/>
          </w:tcPr>
          <w:p>
            <w:pPr>
              <w:pStyle w:val="TableContents"/>
              <w:spacing w:before="0" w:after="283"/>
              <w:rPr/>
            </w:pPr>
            <w:r>
              <w:rPr/>
              <w:t xml:space="preserve">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rPr/>
            </w:pPr>
            <w:r>
              <w:rPr/>
              <w:t> </w:t>
            </w:r>
          </w:p>
        </w:tc>
      </w:tr>
      <w:tr>
        <w:trPr/>
        <w:tc>
          <w:tcPr>
            <w:tcW w:w="2196"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Lynn M. DePippo</w:t>
            </w:r>
          </w:p>
        </w:tc>
        <w:tc>
          <w:tcPr>
            <w:tcW w:w="904" w:type="dxa"/>
            <w:tcBorders/>
            <w:shd w:fill="auto" w:val="clear"/>
            <w:tcMar>
              <w:top w:w="0" w:type="dxa"/>
              <w:bottom w:w="0" w:type="dxa"/>
            </w:tcMar>
            <w:vAlign w:val="bottom"/>
          </w:tcPr>
          <w:p>
            <w:pPr>
              <w:pStyle w:val="TableContents"/>
              <w:spacing w:before="0" w:after="283"/>
              <w:rPr/>
            </w:pPr>
            <w:r>
              <w:rPr/>
              <w:t xml:space="preserve">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50,0001</w:t>
            </w:r>
          </w:p>
          <w:p>
            <w:pPr>
              <w:pStyle w:val="TableContents"/>
              <w:spacing w:before="0" w:after="0"/>
              <w:ind w:left="0" w:right="0" w:hanging="0"/>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7,9172, 3</w:t>
            </w:r>
          </w:p>
          <w:p>
            <w:pPr>
              <w:pStyle w:val="TableContents"/>
              <w:spacing w:before="0" w:after="0"/>
              <w:ind w:left="0" w:right="0" w:hanging="0"/>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rPr/>
            </w:pPr>
            <w:r>
              <w:rPr/>
              <w:t> </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57,917</w:t>
            </w:r>
          </w:p>
          <w:p>
            <w:pPr>
              <w:pStyle w:val="TableContents"/>
              <w:spacing w:before="0" w:after="0"/>
              <w:ind w:left="0" w:right="0" w:hanging="0"/>
              <w:rPr/>
            </w:pPr>
            <w:r>
              <w:rPr/>
              <w:t> </w:t>
            </w:r>
          </w:p>
        </w:tc>
      </w:tr>
      <w:tr>
        <w:trPr/>
        <w:tc>
          <w:tcPr>
            <w:tcW w:w="2196"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Tracy A. Moore</w:t>
            </w:r>
          </w:p>
        </w:tc>
        <w:tc>
          <w:tcPr>
            <w:tcW w:w="904"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42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r>
    </w:tbl>
    <w:p>
      <w:pPr>
        <w:pStyle w:val="TextBody"/>
        <w:spacing w:before="0" w:after="0"/>
        <w:ind w:left="0" w:right="0" w:hanging="0"/>
        <w:jc w:val="left"/>
        <w:rPr>
          <w:rFonts w:ascii="Times New Roman" w:hAnsi="Times New Roman"/>
          <w:sz w:val="20"/>
        </w:rPr>
      </w:pPr>
      <w:r>
        <w:rPr>
          <w:rFonts w:ascii="Times New Roman" w:hAnsi="Times New Roman"/>
          <w:sz w:val="20"/>
        </w:rPr>
        <w:t>(1)             Ms. DePippo earned this bonus upon being appointed as a Director on September 7, 2010. However, such bonus is not tied to any specific event but rather as financing allows.</w:t>
      </w:r>
    </w:p>
    <w:p>
      <w:pPr>
        <w:pStyle w:val="TextBody"/>
        <w:spacing w:before="0" w:after="0"/>
        <w:ind w:left="0" w:right="0" w:hanging="0"/>
        <w:jc w:val="left"/>
        <w:rPr>
          <w:rFonts w:ascii="Times New Roman" w:hAnsi="Times New Roman"/>
          <w:sz w:val="20"/>
        </w:rPr>
      </w:pPr>
      <w:r>
        <w:rPr>
          <w:rFonts w:ascii="Times New Roman" w:hAnsi="Times New Roman"/>
          <w:sz w:val="20"/>
        </w:rPr>
        <w:t>(2)             The grant date fair value of the options is $47,500.</w:t>
      </w:r>
    </w:p>
    <w:p>
      <w:pPr>
        <w:pStyle w:val="TextBody"/>
        <w:spacing w:before="0" w:after="0"/>
        <w:ind w:left="0" w:right="0" w:hanging="0"/>
        <w:jc w:val="left"/>
        <w:rPr>
          <w:rFonts w:ascii="Times New Roman" w:hAnsi="Times New Roman"/>
          <w:sz w:val="20"/>
        </w:rPr>
      </w:pPr>
      <w:r>
        <w:rPr>
          <w:rFonts w:ascii="Times New Roman" w:hAnsi="Times New Roman"/>
          <w:sz w:val="20"/>
        </w:rPr>
        <w:t>(3)             On September 7, 2010, Ms. DePippo was granted options to purchase 250,000 shares of the Company’s common stock at $0.35 per      share under our 2009 Stock Incentive Plan. These options were repriced to $0.17 per share in February 2011. 10,417 of such options vest each month for a total of 24 months.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5" w:name="PGBRK56"/>
      <w:bookmarkStart w:id="616" w:name="PGBRK56"/>
      <w:bookmarkEnd w:id="6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7" w:name="FTR56"/>
      <w:bookmarkStart w:id="618" w:name="FTR56"/>
      <w:bookmarkEnd w:id="6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19" w:name="GLFTR56"/>
      <w:bookmarkEnd w:id="6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20" w:name="PN56"/>
      <w:bookmarkEnd w:id="620"/>
      <w:r>
        <w:rPr>
          <w:rFonts w:ascii="Times New Roman" w:hAnsi="Times New Roman"/>
          <w:sz w:val="20"/>
        </w:rPr>
        <w:t>51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1" w:name="HDR56"/>
      <w:bookmarkStart w:id="622" w:name="HDR56"/>
      <w:bookmarkEnd w:id="6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23" w:name="GLHDR56"/>
      <w:bookmarkEnd w:id="6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Employment, Consulting and Services Agreements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30, 2007, with an effective date of May 1, 2007, our Board of Directors approved an amended executive services agreement with Mr. Corin with a one year term with automatic annual renewal. The amended agreement, provides for an increase in the month consulting fees to $10,000 USD per month through the term of the agreement, with annual increase of 10% and providing for the granting of an aggregate of not less than 1,180,000 stock options to acquire a similar number of our common shares at an exercise price of $0.97 per share for a period of not less than ten years from the date of grant as amended.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March 16, 2011, our Board of Directors approved an employment agreement with Dr. Wilson with an initial term of 2 years, which may be automatically extended for successive one-year terms. This employment agreement provides for annual compensation of $180,000 and the grant of an option to acquire 2,000,000 shares of the Company’s common stock, 50% of which vested on March 16, 2011, while the remainder will vest monthly over a period of two years (41,667 per month). The option price is the market price on March 16, 2011 and shall be exercisable for at least five years.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a compensation committee that is comprised of Dr. Wilson and Mr. Corin. All compensation is recommended and resolved by the compensation committee and board of directors.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24" w:name="hangingindent47"/>
      <w:bookmarkStart w:id="625" w:name="hangingindent47"/>
      <w:bookmarkEnd w:id="625"/>
    </w:p>
    <w:tbl>
      <w:tblPr>
        <w:tblW w:w="5000" w:type="pct"/>
        <w:jc w:val="center"/>
        <w:tblInd w:w="0" w:type="dxa"/>
        <w:tblCellMar>
          <w:top w:w="0" w:type="dxa"/>
          <w:left w:w="0" w:type="dxa"/>
          <w:bottom w:w="0" w:type="dxa"/>
          <w:right w:w="0" w:type="dxa"/>
        </w:tblCellMar>
      </w:tblPr>
      <w:tblGrid>
        <w:gridCol w:w="778"/>
        <w:gridCol w:w="9427"/>
      </w:tblGrid>
      <w:tr>
        <w:trPr/>
        <w:tc>
          <w:tcPr>
            <w:tcW w:w="778"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12.</w:t>
            </w:r>
          </w:p>
        </w:tc>
        <w:tc>
          <w:tcPr>
            <w:tcW w:w="9427"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SECURITY OWNERSHIP OF CERTAIN BENEFICIAL OWNERS AND MANAGEMENT AND RELATED STOCKHOLDER MATTERS</w:t>
            </w:r>
          </w:p>
        </w:tc>
      </w:tr>
    </w:tbl>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as of the date of this Annual Report certain information regarding the ownership of our common stock by (i) each person known by us to be the beneficial owner of more than 5% of our outstanding shares of common stock, (ii) each of our directors, (iii) our Principal Executive Officer and (iv) all of our executive officers and directors as a group. Unless otherwise indicated, the address of each person shown is c/o TapImmune Inc., 2815 Eastlake Avenue East, Suite 300, Seattle, Washington, 98102. Beneficial ownership, for purposes of this table, includes options to purchase common stock that are either currently exercisable or will be exercisable within 60 days of the date of this annual report.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6" w:name="PGBRK57"/>
      <w:bookmarkStart w:id="627" w:name="PGBRK57"/>
      <w:bookmarkEnd w:id="6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8" w:name="FTR57"/>
      <w:bookmarkStart w:id="629" w:name="FTR57"/>
      <w:bookmarkEnd w:id="6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30" w:name="GLFTR57"/>
      <w:bookmarkEnd w:id="6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31" w:name="PN57"/>
      <w:bookmarkEnd w:id="631"/>
      <w:r>
        <w:rPr>
          <w:rFonts w:ascii="Times New Roman" w:hAnsi="Times New Roman"/>
          <w:sz w:val="20"/>
        </w:rPr>
        <w:t>52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2" w:name="HDR57"/>
      <w:bookmarkStart w:id="633" w:name="HDR57"/>
      <w:bookmarkEnd w:id="6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34" w:name="GLHDR57"/>
      <w:bookmarkEnd w:id="6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6833"/>
        <w:gridCol w:w="120"/>
        <w:gridCol w:w="120"/>
        <w:gridCol w:w="1294"/>
        <w:gridCol w:w="246"/>
        <w:gridCol w:w="120"/>
        <w:gridCol w:w="129"/>
        <w:gridCol w:w="1121"/>
        <w:gridCol w:w="222"/>
      </w:tblGrid>
      <w:tr>
        <w:trPr/>
        <w:tc>
          <w:tcPr>
            <w:tcW w:w="6833" w:type="dxa"/>
            <w:tcBorders>
              <w:top w:val="single" w:sz="12"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 and Address of Beneficial Owner</w:t>
            </w:r>
          </w:p>
        </w:tc>
        <w:tc>
          <w:tcPr>
            <w:tcW w:w="120" w:type="dxa"/>
            <w:tcBorders>
              <w:top w:val="single" w:sz="12" w:space="0" w:color="000000"/>
            </w:tcBorders>
            <w:shd w:fill="auto" w:val="clear"/>
            <w:tcMar>
              <w:bottom w:w="0" w:type="dxa"/>
            </w:tcMar>
            <w:vAlign w:val="bottom"/>
          </w:tcPr>
          <w:p>
            <w:pPr>
              <w:pStyle w:val="TableContents"/>
              <w:spacing w:before="0" w:after="283"/>
              <w:rPr/>
            </w:pPr>
            <w:r>
              <w:rPr/>
              <w:t> </w:t>
            </w:r>
          </w:p>
        </w:tc>
        <w:tc>
          <w:tcPr>
            <w:tcW w:w="141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 and</w:t>
            </w:r>
          </w:p>
          <w:p>
            <w:pPr>
              <w:pStyle w:val="TableContents"/>
              <w:spacing w:before="0" w:after="0"/>
              <w:ind w:left="0" w:right="0" w:hanging="0"/>
              <w:jc w:val="center"/>
              <w:rPr>
                <w:rFonts w:ascii="times new roman" w:hAnsi="times new roman"/>
                <w:b/>
                <w:sz w:val="20"/>
              </w:rPr>
            </w:pPr>
            <w:r>
              <w:rPr>
                <w:rFonts w:ascii="times new roman" w:hAnsi="times new roman"/>
                <w:b/>
                <w:sz w:val="20"/>
              </w:rPr>
              <w:t>Nature of</w:t>
            </w:r>
          </w:p>
          <w:p>
            <w:pPr>
              <w:pStyle w:val="TableContents"/>
              <w:spacing w:before="0" w:after="0"/>
              <w:ind w:left="0" w:right="0" w:hanging="0"/>
              <w:jc w:val="center"/>
              <w:rPr>
                <w:rFonts w:ascii="times new roman" w:hAnsi="times new roman"/>
                <w:sz w:val="20"/>
              </w:rPr>
            </w:pPr>
            <w:r>
              <w:rPr>
                <w:rFonts w:ascii="times new roman" w:hAnsi="times new roman"/>
                <w:b/>
                <w:sz w:val="20"/>
              </w:rPr>
              <w:t>Beneficial Owner</w:t>
            </w:r>
            <w:r>
              <w:rPr>
                <w:rFonts w:ascii="times new roman" w:hAnsi="times new roman"/>
                <w:sz w:val="20"/>
              </w:rPr>
              <w:t>(1)</w:t>
            </w:r>
          </w:p>
        </w:tc>
        <w:tc>
          <w:tcPr>
            <w:tcW w:w="246"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20" w:type="dxa"/>
            <w:tcBorders>
              <w:top w:val="single" w:sz="12" w:space="0" w:color="000000"/>
            </w:tcBorders>
            <w:shd w:fill="auto" w:val="clear"/>
            <w:tcMar>
              <w:bottom w:w="0" w:type="dxa"/>
            </w:tcMar>
            <w:vAlign w:val="bottom"/>
          </w:tcPr>
          <w:p>
            <w:pPr>
              <w:pStyle w:val="TableContents"/>
              <w:spacing w:before="0" w:after="283"/>
              <w:rPr/>
            </w:pPr>
            <w:r>
              <w:rPr/>
              <w:t> </w:t>
            </w:r>
          </w:p>
        </w:tc>
        <w:tc>
          <w:tcPr>
            <w:tcW w:w="125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Percent of Class</w:t>
            </w:r>
          </w:p>
        </w:tc>
        <w:tc>
          <w:tcPr>
            <w:tcW w:w="222"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683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Directors and Officers:</w:t>
            </w:r>
          </w:p>
        </w:tc>
        <w:tc>
          <w:tcPr>
            <w:tcW w:w="120" w:type="dxa"/>
            <w:tcBorders/>
            <w:shd w:fill="auto" w:val="clear"/>
            <w:tcMar>
              <w:top w:w="0" w:type="dxa"/>
              <w:bottom w:w="0" w:type="dxa"/>
            </w:tcMar>
            <w:vAlign w:val="bottom"/>
          </w:tcPr>
          <w:p>
            <w:pPr>
              <w:pStyle w:val="TableContents"/>
              <w:spacing w:before="0" w:after="283"/>
              <w:rPr/>
            </w:pPr>
            <w:r>
              <w:rPr/>
              <w:t> </w:t>
            </w:r>
          </w:p>
        </w:tc>
        <w:tc>
          <w:tcPr>
            <w:tcW w:w="1414" w:type="dxa"/>
            <w:gridSpan w:val="2"/>
            <w:tcBorders/>
            <w:shd w:fill="auto" w:val="clear"/>
            <w:tcMar>
              <w:top w:w="0" w:type="dxa"/>
              <w:bottom w:w="0" w:type="dxa"/>
            </w:tcMar>
            <w:vAlign w:val="bottom"/>
          </w:tcPr>
          <w:p>
            <w:pPr>
              <w:pStyle w:val="TableContents"/>
              <w:spacing w:before="0" w:after="283"/>
              <w:rPr/>
            </w:pPr>
            <w:r>
              <w:rPr/>
              <w:t> </w:t>
            </w:r>
          </w:p>
        </w:tc>
        <w:tc>
          <w:tcPr>
            <w:tcW w:w="246"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rPr/>
            </w:pPr>
            <w:r>
              <w:rPr/>
              <w:t> </w:t>
            </w:r>
          </w:p>
        </w:tc>
        <w:tc>
          <w:tcPr>
            <w:tcW w:w="1250" w:type="dxa"/>
            <w:gridSpan w:val="2"/>
            <w:tcBorders/>
            <w:shd w:fill="auto" w:val="clear"/>
            <w:tcMar>
              <w:top w:w="0" w:type="dxa"/>
              <w:bottom w:w="0" w:type="dxa"/>
            </w:tcMar>
            <w:vAlign w:val="bottom"/>
          </w:tcPr>
          <w:p>
            <w:pPr>
              <w:pStyle w:val="TableContents"/>
              <w:spacing w:before="0" w:after="283"/>
              <w:rPr/>
            </w:pPr>
            <w:r>
              <w:rPr/>
              <w:t> </w:t>
            </w:r>
          </w:p>
        </w:tc>
        <w:tc>
          <w:tcPr>
            <w:tcW w:w="222" w:type="dxa"/>
            <w:tcBorders/>
            <w:shd w:fill="auto" w:val="clear"/>
            <w:tcMar>
              <w:top w:w="0" w:type="dxa"/>
              <w:bottom w:w="0" w:type="dxa"/>
            </w:tcMar>
            <w:vAlign w:val="bottom"/>
          </w:tcPr>
          <w:p>
            <w:pPr>
              <w:pStyle w:val="TableContents"/>
              <w:spacing w:before="0" w:after="283"/>
              <w:jc w:val="left"/>
              <w:rPr/>
            </w:pPr>
            <w:r>
              <w:rPr/>
              <w:t> </w:t>
            </w:r>
          </w:p>
        </w:tc>
      </w:tr>
      <w:tr>
        <w:trPr/>
        <w:tc>
          <w:tcPr>
            <w:tcW w:w="683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p>
            <w:pPr>
              <w:pStyle w:val="TableContents"/>
              <w:spacing w:before="0" w:after="0"/>
              <w:ind w:left="0" w:right="0" w:hanging="0"/>
              <w:jc w:val="left"/>
              <w:rPr>
                <w:rFonts w:ascii="times new roman" w:hAnsi="times new roman"/>
                <w:sz w:val="20"/>
              </w:rPr>
            </w:pPr>
            <w:r>
              <w:rPr>
                <w:rFonts w:ascii="times new roman" w:hAnsi="times new roman"/>
                <w:sz w:val="20"/>
              </w:rPr>
              <w:t>2815 Eastlake Avenue East, Suite 300, Seattle, Washington</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3,930,393</w:t>
            </w:r>
          </w:p>
        </w:tc>
        <w:tc>
          <w:tcPr>
            <w:tcW w:w="24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(2)</w:t>
            </w:r>
          </w:p>
        </w:tc>
        <w:tc>
          <w:tcPr>
            <w:tcW w:w="120" w:type="dxa"/>
            <w:tcBorders/>
            <w:shd w:fill="auto" w:val="clear"/>
            <w:tcMar>
              <w:top w:w="0" w:type="dxa"/>
              <w:bottom w:w="0" w:type="dxa"/>
            </w:tcMar>
            <w:vAlign w:val="bottom"/>
          </w:tcPr>
          <w:p>
            <w:pPr>
              <w:pStyle w:val="TableContents"/>
              <w:spacing w:before="0" w:after="283"/>
              <w:rPr/>
            </w:pPr>
            <w:r>
              <w:rPr/>
              <w:t> </w:t>
            </w:r>
          </w:p>
        </w:tc>
        <w:tc>
          <w:tcPr>
            <w:tcW w:w="129" w:type="dxa"/>
            <w:tcBorders/>
            <w:shd w:fill="auto" w:val="clear"/>
            <w:tcMar>
              <w:top w:w="0" w:type="dxa"/>
              <w:bottom w:w="0" w:type="dxa"/>
            </w:tcMar>
            <w:vAlign w:val="bottom"/>
          </w:tcPr>
          <w:p>
            <w:pPr>
              <w:pStyle w:val="TableContents"/>
              <w:spacing w:before="0" w:after="283"/>
              <w:jc w:val="left"/>
              <w:rPr/>
            </w:pPr>
            <w:r>
              <w:rPr/>
              <w:t> </w:t>
            </w:r>
          </w:p>
        </w:tc>
        <w:tc>
          <w:tcPr>
            <w:tcW w:w="112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8.65</w:t>
            </w:r>
          </w:p>
        </w:tc>
        <w:tc>
          <w:tcPr>
            <w:tcW w:w="22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833" w:type="dxa"/>
            <w:tcBorders/>
            <w:shd w:fill="auto" w:val="clear"/>
            <w:tcMar>
              <w:top w:w="0" w:type="dxa"/>
              <w:bottom w:w="0" w:type="dxa"/>
            </w:tcMar>
            <w:vAlign w:val="bottom"/>
          </w:tcPr>
          <w:p>
            <w:pPr>
              <w:pStyle w:val="TableContents"/>
              <w:spacing w:before="0" w:after="283"/>
              <w:rPr/>
            </w:pPr>
            <w:r>
              <w:rPr/>
              <w:t xml:space="preserve">  </w:t>
            </w:r>
          </w:p>
        </w:tc>
        <w:tc>
          <w:tcPr>
            <w:tcW w:w="120" w:type="dxa"/>
            <w:tcBorders/>
            <w:shd w:fill="auto" w:val="clear"/>
            <w:tcMar>
              <w:top w:w="0" w:type="dxa"/>
              <w:bottom w:w="0" w:type="dxa"/>
            </w:tcMar>
            <w:vAlign w:val="bottom"/>
          </w:tcPr>
          <w:p>
            <w:pPr>
              <w:pStyle w:val="TableContents"/>
              <w:spacing w:before="0" w:after="283"/>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94" w:type="dxa"/>
            <w:tcBorders/>
            <w:shd w:fill="auto" w:val="clear"/>
            <w:tcMar>
              <w:top w:w="0" w:type="dxa"/>
              <w:bottom w:w="0" w:type="dxa"/>
            </w:tcMar>
            <w:vAlign w:val="bottom"/>
          </w:tcPr>
          <w:p>
            <w:pPr>
              <w:pStyle w:val="TableContents"/>
              <w:spacing w:before="0" w:after="283"/>
              <w:jc w:val="right"/>
              <w:rPr/>
            </w:pPr>
            <w:r>
              <w:rPr/>
              <w:t> </w:t>
            </w:r>
          </w:p>
        </w:tc>
        <w:tc>
          <w:tcPr>
            <w:tcW w:w="246"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rPr/>
            </w:pPr>
            <w:r>
              <w:rPr/>
              <w:t> </w:t>
            </w:r>
          </w:p>
        </w:tc>
        <w:tc>
          <w:tcPr>
            <w:tcW w:w="129" w:type="dxa"/>
            <w:tcBorders/>
            <w:shd w:fill="auto" w:val="clear"/>
            <w:tcMar>
              <w:top w:w="0" w:type="dxa"/>
              <w:bottom w:w="0" w:type="dxa"/>
            </w:tcMar>
            <w:vAlign w:val="bottom"/>
          </w:tcPr>
          <w:p>
            <w:pPr>
              <w:pStyle w:val="TableContents"/>
              <w:spacing w:before="0" w:after="283"/>
              <w:jc w:val="left"/>
              <w:rPr/>
            </w:pPr>
            <w:r>
              <w:rPr/>
              <w:t> </w:t>
            </w:r>
          </w:p>
        </w:tc>
        <w:tc>
          <w:tcPr>
            <w:tcW w:w="1121" w:type="dxa"/>
            <w:tcBorders/>
            <w:shd w:fill="auto" w:val="clear"/>
            <w:tcMar>
              <w:top w:w="0" w:type="dxa"/>
              <w:bottom w:w="0" w:type="dxa"/>
            </w:tcMar>
            <w:vAlign w:val="bottom"/>
          </w:tcPr>
          <w:p>
            <w:pPr>
              <w:pStyle w:val="TableContents"/>
              <w:spacing w:before="0" w:after="283"/>
              <w:jc w:val="right"/>
              <w:rPr/>
            </w:pPr>
            <w:r>
              <w:rPr/>
              <w:t> </w:t>
            </w:r>
          </w:p>
        </w:tc>
        <w:tc>
          <w:tcPr>
            <w:tcW w:w="222" w:type="dxa"/>
            <w:tcBorders/>
            <w:shd w:fill="auto" w:val="clear"/>
            <w:tcMar>
              <w:top w:w="0" w:type="dxa"/>
              <w:bottom w:w="0" w:type="dxa"/>
            </w:tcMar>
            <w:vAlign w:val="bottom"/>
          </w:tcPr>
          <w:p>
            <w:pPr>
              <w:pStyle w:val="TableContents"/>
              <w:spacing w:before="0" w:after="283"/>
              <w:jc w:val="left"/>
              <w:rPr/>
            </w:pPr>
            <w:r>
              <w:rPr/>
              <w:t> </w:t>
            </w:r>
          </w:p>
        </w:tc>
      </w:tr>
      <w:tr>
        <w:trPr/>
        <w:tc>
          <w:tcPr>
            <w:tcW w:w="683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p>
            <w:pPr>
              <w:pStyle w:val="TableContents"/>
              <w:spacing w:before="0" w:after="0"/>
              <w:ind w:left="0" w:right="0" w:hanging="0"/>
              <w:jc w:val="left"/>
              <w:rPr>
                <w:rFonts w:ascii="times new roman" w:hAnsi="times new roman"/>
                <w:sz w:val="20"/>
              </w:rPr>
            </w:pPr>
            <w:r>
              <w:rPr>
                <w:rFonts w:ascii="times new roman" w:hAnsi="times new roman"/>
                <w:sz w:val="20"/>
              </w:rPr>
              <w:t>2815 Eastlake Avenue East, Suite 300, Seattle, Washington</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3,722,426</w:t>
            </w:r>
          </w:p>
        </w:tc>
        <w:tc>
          <w:tcPr>
            <w:tcW w:w="24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120" w:type="dxa"/>
            <w:tcBorders/>
            <w:shd w:fill="auto" w:val="clear"/>
            <w:tcMar>
              <w:top w:w="0" w:type="dxa"/>
              <w:bottom w:w="0" w:type="dxa"/>
            </w:tcMar>
            <w:vAlign w:val="bottom"/>
          </w:tcPr>
          <w:p>
            <w:pPr>
              <w:pStyle w:val="TableContents"/>
              <w:spacing w:before="0" w:after="283"/>
              <w:rPr/>
            </w:pPr>
            <w:r>
              <w:rPr/>
              <w:t> </w:t>
            </w:r>
          </w:p>
        </w:tc>
        <w:tc>
          <w:tcPr>
            <w:tcW w:w="129" w:type="dxa"/>
            <w:tcBorders/>
            <w:shd w:fill="auto" w:val="clear"/>
            <w:tcMar>
              <w:top w:w="0" w:type="dxa"/>
              <w:bottom w:w="0" w:type="dxa"/>
            </w:tcMar>
            <w:vAlign w:val="bottom"/>
          </w:tcPr>
          <w:p>
            <w:pPr>
              <w:pStyle w:val="TableContents"/>
              <w:spacing w:before="0" w:after="283"/>
              <w:jc w:val="left"/>
              <w:rPr/>
            </w:pPr>
            <w:r>
              <w:rPr/>
              <w:t> </w:t>
            </w:r>
          </w:p>
        </w:tc>
        <w:tc>
          <w:tcPr>
            <w:tcW w:w="112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8.19</w:t>
            </w:r>
          </w:p>
        </w:tc>
        <w:tc>
          <w:tcPr>
            <w:tcW w:w="22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833" w:type="dxa"/>
            <w:tcBorders/>
            <w:shd w:fill="auto" w:val="clear"/>
            <w:tcMar>
              <w:top w:w="0" w:type="dxa"/>
              <w:bottom w:w="0" w:type="dxa"/>
            </w:tcMar>
            <w:vAlign w:val="bottom"/>
          </w:tcPr>
          <w:p>
            <w:pPr>
              <w:pStyle w:val="TableContents"/>
              <w:spacing w:before="0" w:after="283"/>
              <w:rPr/>
            </w:pPr>
            <w:r>
              <w:rPr/>
              <w:t xml:space="preserve">  </w:t>
            </w:r>
          </w:p>
        </w:tc>
        <w:tc>
          <w:tcPr>
            <w:tcW w:w="120" w:type="dxa"/>
            <w:tcBorders/>
            <w:shd w:fill="auto" w:val="clear"/>
            <w:tcMar>
              <w:top w:w="0" w:type="dxa"/>
              <w:bottom w:w="0" w:type="dxa"/>
            </w:tcMar>
            <w:vAlign w:val="bottom"/>
          </w:tcPr>
          <w:p>
            <w:pPr>
              <w:pStyle w:val="TableContents"/>
              <w:spacing w:before="0" w:after="283"/>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94" w:type="dxa"/>
            <w:tcBorders/>
            <w:shd w:fill="auto" w:val="clear"/>
            <w:tcMar>
              <w:top w:w="0" w:type="dxa"/>
              <w:bottom w:w="0" w:type="dxa"/>
            </w:tcMar>
            <w:vAlign w:val="bottom"/>
          </w:tcPr>
          <w:p>
            <w:pPr>
              <w:pStyle w:val="TableContents"/>
              <w:spacing w:before="0" w:after="283"/>
              <w:jc w:val="right"/>
              <w:rPr/>
            </w:pPr>
            <w:r>
              <w:rPr/>
              <w:t> </w:t>
            </w:r>
          </w:p>
        </w:tc>
        <w:tc>
          <w:tcPr>
            <w:tcW w:w="246"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rPr/>
            </w:pPr>
            <w:r>
              <w:rPr/>
              <w:t> </w:t>
            </w:r>
          </w:p>
        </w:tc>
        <w:tc>
          <w:tcPr>
            <w:tcW w:w="129" w:type="dxa"/>
            <w:tcBorders/>
            <w:shd w:fill="auto" w:val="clear"/>
            <w:tcMar>
              <w:top w:w="0" w:type="dxa"/>
              <w:bottom w:w="0" w:type="dxa"/>
            </w:tcMar>
            <w:vAlign w:val="bottom"/>
          </w:tcPr>
          <w:p>
            <w:pPr>
              <w:pStyle w:val="TableContents"/>
              <w:spacing w:before="0" w:after="283"/>
              <w:jc w:val="left"/>
              <w:rPr/>
            </w:pPr>
            <w:r>
              <w:rPr/>
              <w:t> </w:t>
            </w:r>
          </w:p>
        </w:tc>
        <w:tc>
          <w:tcPr>
            <w:tcW w:w="1121" w:type="dxa"/>
            <w:tcBorders/>
            <w:shd w:fill="auto" w:val="clear"/>
            <w:tcMar>
              <w:top w:w="0" w:type="dxa"/>
              <w:bottom w:w="0" w:type="dxa"/>
            </w:tcMar>
            <w:vAlign w:val="bottom"/>
          </w:tcPr>
          <w:p>
            <w:pPr>
              <w:pStyle w:val="TableContents"/>
              <w:spacing w:before="0" w:after="283"/>
              <w:jc w:val="right"/>
              <w:rPr/>
            </w:pPr>
            <w:r>
              <w:rPr/>
              <w:t> </w:t>
            </w:r>
          </w:p>
        </w:tc>
        <w:tc>
          <w:tcPr>
            <w:tcW w:w="222" w:type="dxa"/>
            <w:tcBorders/>
            <w:shd w:fill="auto" w:val="clear"/>
            <w:tcMar>
              <w:top w:w="0" w:type="dxa"/>
              <w:bottom w:w="0" w:type="dxa"/>
            </w:tcMar>
            <w:vAlign w:val="bottom"/>
          </w:tcPr>
          <w:p>
            <w:pPr>
              <w:pStyle w:val="TableContents"/>
              <w:spacing w:before="0" w:after="283"/>
              <w:jc w:val="left"/>
              <w:rPr/>
            </w:pPr>
            <w:r>
              <w:rPr/>
              <w:t> </w:t>
            </w:r>
          </w:p>
        </w:tc>
      </w:tr>
      <w:tr>
        <w:trPr/>
        <w:tc>
          <w:tcPr>
            <w:tcW w:w="6833"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Lynn M. DePippo</w:t>
            </w:r>
          </w:p>
          <w:p>
            <w:pPr>
              <w:pStyle w:val="TableContents"/>
              <w:spacing w:before="0" w:after="0"/>
              <w:ind w:left="0" w:right="0" w:hanging="0"/>
              <w:jc w:val="left"/>
              <w:rPr>
                <w:rFonts w:ascii="times new roman" w:hAnsi="times new roman"/>
                <w:sz w:val="20"/>
              </w:rPr>
            </w:pPr>
            <w:r>
              <w:rPr>
                <w:rFonts w:ascii="times new roman" w:hAnsi="times new roman"/>
                <w:sz w:val="20"/>
              </w:rPr>
              <w:t>2815 Eastlake Avenue East, Suite 300, Seattle, Washington</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0"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9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104,170</w:t>
            </w:r>
          </w:p>
        </w:tc>
        <w:tc>
          <w:tcPr>
            <w:tcW w:w="24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120" w:type="dxa"/>
            <w:tcBorders/>
            <w:shd w:fill="auto" w:val="clear"/>
            <w:tcMar>
              <w:top w:w="0" w:type="dxa"/>
              <w:bottom w:w="0" w:type="dxa"/>
            </w:tcMar>
            <w:vAlign w:val="bottom"/>
          </w:tcPr>
          <w:p>
            <w:pPr>
              <w:pStyle w:val="TableContents"/>
              <w:spacing w:before="0" w:after="283"/>
              <w:rPr/>
            </w:pPr>
            <w:r>
              <w:rPr/>
              <w:t> </w:t>
            </w:r>
          </w:p>
        </w:tc>
        <w:tc>
          <w:tcPr>
            <w:tcW w:w="129"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21"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0.23</w:t>
            </w:r>
          </w:p>
        </w:tc>
        <w:tc>
          <w:tcPr>
            <w:tcW w:w="22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83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executive officers and directors as a group (3 persons)</w:t>
            </w:r>
          </w:p>
        </w:tc>
        <w:tc>
          <w:tcPr>
            <w:tcW w:w="120" w:type="dxa"/>
            <w:tcBorders/>
            <w:shd w:fill="auto" w:val="clear"/>
            <w:tcMar>
              <w:top w:w="0" w:type="dxa"/>
              <w:bottom w:w="0" w:type="dxa"/>
            </w:tcMar>
            <w:vAlign w:val="bottom"/>
          </w:tcPr>
          <w:p>
            <w:pPr>
              <w:pStyle w:val="TableContents"/>
              <w:spacing w:before="0" w:after="283"/>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7,756,989</w:t>
            </w:r>
          </w:p>
        </w:tc>
        <w:tc>
          <w:tcPr>
            <w:tcW w:w="246"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rPr/>
            </w:pPr>
            <w:r>
              <w:rPr/>
              <w:t> </w:t>
            </w:r>
          </w:p>
        </w:tc>
        <w:tc>
          <w:tcPr>
            <w:tcW w:w="129" w:type="dxa"/>
            <w:tcBorders/>
            <w:shd w:fill="auto" w:val="clear"/>
            <w:tcMar>
              <w:top w:w="0" w:type="dxa"/>
              <w:bottom w:w="0" w:type="dxa"/>
            </w:tcMar>
            <w:vAlign w:val="bottom"/>
          </w:tcPr>
          <w:p>
            <w:pPr>
              <w:pStyle w:val="TableContents"/>
              <w:spacing w:before="0" w:after="283"/>
              <w:jc w:val="left"/>
              <w:rPr/>
            </w:pPr>
            <w:r>
              <w:rPr/>
              <w:t> </w:t>
            </w:r>
          </w:p>
        </w:tc>
        <w:tc>
          <w:tcPr>
            <w:tcW w:w="112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17.07</w:t>
            </w:r>
          </w:p>
        </w:tc>
        <w:tc>
          <w:tcPr>
            <w:tcW w:w="22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833" w:type="dxa"/>
            <w:tcBorders/>
            <w:shd w:fill="auto" w:val="clear"/>
            <w:tcMar>
              <w:top w:w="0" w:type="dxa"/>
              <w:bottom w:w="0" w:type="dxa"/>
            </w:tcMar>
            <w:vAlign w:val="bottom"/>
          </w:tcPr>
          <w:p>
            <w:pPr>
              <w:pStyle w:val="TableContents"/>
              <w:spacing w:before="0" w:after="283"/>
              <w:rPr/>
            </w:pPr>
            <w:r>
              <w:rPr/>
              <w:t xml:space="preserve">  </w:t>
            </w:r>
          </w:p>
        </w:tc>
        <w:tc>
          <w:tcPr>
            <w:tcW w:w="120" w:type="dxa"/>
            <w:tcBorders/>
            <w:shd w:fill="auto" w:val="clear"/>
            <w:tcMar>
              <w:top w:w="0" w:type="dxa"/>
              <w:bottom w:w="0" w:type="dxa"/>
            </w:tcMar>
            <w:vAlign w:val="bottom"/>
          </w:tcPr>
          <w:p>
            <w:pPr>
              <w:pStyle w:val="TableContents"/>
              <w:spacing w:before="0" w:after="283"/>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94" w:type="dxa"/>
            <w:tcBorders/>
            <w:shd w:fill="auto" w:val="clear"/>
            <w:tcMar>
              <w:top w:w="0" w:type="dxa"/>
              <w:bottom w:w="0" w:type="dxa"/>
            </w:tcMar>
            <w:vAlign w:val="bottom"/>
          </w:tcPr>
          <w:p>
            <w:pPr>
              <w:pStyle w:val="TableContents"/>
              <w:spacing w:before="0" w:after="283"/>
              <w:jc w:val="right"/>
              <w:rPr/>
            </w:pPr>
            <w:r>
              <w:rPr/>
              <w:t> </w:t>
            </w:r>
          </w:p>
        </w:tc>
        <w:tc>
          <w:tcPr>
            <w:tcW w:w="246"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rPr/>
            </w:pPr>
            <w:r>
              <w:rPr/>
              <w:t> </w:t>
            </w:r>
          </w:p>
        </w:tc>
        <w:tc>
          <w:tcPr>
            <w:tcW w:w="129" w:type="dxa"/>
            <w:tcBorders/>
            <w:shd w:fill="auto" w:val="clear"/>
            <w:tcMar>
              <w:top w:w="0" w:type="dxa"/>
              <w:bottom w:w="0" w:type="dxa"/>
            </w:tcMar>
            <w:vAlign w:val="bottom"/>
          </w:tcPr>
          <w:p>
            <w:pPr>
              <w:pStyle w:val="TableContents"/>
              <w:spacing w:before="0" w:after="283"/>
              <w:jc w:val="left"/>
              <w:rPr/>
            </w:pPr>
            <w:r>
              <w:rPr/>
              <w:t> </w:t>
            </w:r>
          </w:p>
        </w:tc>
        <w:tc>
          <w:tcPr>
            <w:tcW w:w="1121" w:type="dxa"/>
            <w:tcBorders/>
            <w:shd w:fill="auto" w:val="clear"/>
            <w:tcMar>
              <w:top w:w="0" w:type="dxa"/>
              <w:bottom w:w="0" w:type="dxa"/>
            </w:tcMar>
            <w:vAlign w:val="bottom"/>
          </w:tcPr>
          <w:p>
            <w:pPr>
              <w:pStyle w:val="TableContents"/>
              <w:spacing w:before="0" w:after="283"/>
              <w:jc w:val="right"/>
              <w:rPr/>
            </w:pPr>
            <w:r>
              <w:rPr/>
              <w:t> </w:t>
            </w:r>
          </w:p>
        </w:tc>
        <w:tc>
          <w:tcPr>
            <w:tcW w:w="222" w:type="dxa"/>
            <w:tcBorders/>
            <w:shd w:fill="auto" w:val="clear"/>
            <w:tcMar>
              <w:top w:w="0" w:type="dxa"/>
              <w:bottom w:w="0" w:type="dxa"/>
            </w:tcMar>
            <w:vAlign w:val="bottom"/>
          </w:tcPr>
          <w:p>
            <w:pPr>
              <w:pStyle w:val="TableContents"/>
              <w:spacing w:before="0" w:after="283"/>
              <w:jc w:val="left"/>
              <w:rPr/>
            </w:pPr>
            <w:r>
              <w:rPr/>
              <w:t> </w:t>
            </w:r>
          </w:p>
        </w:tc>
      </w:tr>
      <w:tr>
        <w:trPr/>
        <w:tc>
          <w:tcPr>
            <w:tcW w:w="683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Major Stockholders:</w:t>
            </w:r>
          </w:p>
        </w:tc>
        <w:tc>
          <w:tcPr>
            <w:tcW w:w="120" w:type="dxa"/>
            <w:tcBorders/>
            <w:shd w:fill="auto" w:val="clear"/>
            <w:tcMar>
              <w:top w:w="0" w:type="dxa"/>
              <w:bottom w:w="0" w:type="dxa"/>
            </w:tcMar>
            <w:vAlign w:val="bottom"/>
          </w:tcPr>
          <w:p>
            <w:pPr>
              <w:pStyle w:val="TableContents"/>
              <w:spacing w:before="0" w:after="283"/>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94" w:type="dxa"/>
            <w:tcBorders/>
            <w:shd w:fill="auto" w:val="clear"/>
            <w:tcMar>
              <w:top w:w="0" w:type="dxa"/>
              <w:bottom w:w="0" w:type="dxa"/>
            </w:tcMar>
            <w:vAlign w:val="bottom"/>
          </w:tcPr>
          <w:p>
            <w:pPr>
              <w:pStyle w:val="TableContents"/>
              <w:spacing w:before="0" w:after="283"/>
              <w:jc w:val="right"/>
              <w:rPr/>
            </w:pPr>
            <w:r>
              <w:rPr/>
              <w:t> </w:t>
            </w:r>
          </w:p>
        </w:tc>
        <w:tc>
          <w:tcPr>
            <w:tcW w:w="246"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rPr/>
            </w:pPr>
            <w:r>
              <w:rPr/>
              <w:t> </w:t>
            </w:r>
          </w:p>
        </w:tc>
        <w:tc>
          <w:tcPr>
            <w:tcW w:w="129" w:type="dxa"/>
            <w:tcBorders/>
            <w:shd w:fill="auto" w:val="clear"/>
            <w:tcMar>
              <w:top w:w="0" w:type="dxa"/>
              <w:bottom w:w="0" w:type="dxa"/>
            </w:tcMar>
            <w:vAlign w:val="bottom"/>
          </w:tcPr>
          <w:p>
            <w:pPr>
              <w:pStyle w:val="TableContents"/>
              <w:spacing w:before="0" w:after="283"/>
              <w:jc w:val="left"/>
              <w:rPr/>
            </w:pPr>
            <w:r>
              <w:rPr/>
              <w:t> </w:t>
            </w:r>
          </w:p>
        </w:tc>
        <w:tc>
          <w:tcPr>
            <w:tcW w:w="1121" w:type="dxa"/>
            <w:tcBorders/>
            <w:shd w:fill="auto" w:val="clear"/>
            <w:tcMar>
              <w:top w:w="0" w:type="dxa"/>
              <w:bottom w:w="0" w:type="dxa"/>
            </w:tcMar>
            <w:vAlign w:val="bottom"/>
          </w:tcPr>
          <w:p>
            <w:pPr>
              <w:pStyle w:val="TableContents"/>
              <w:spacing w:before="0" w:after="283"/>
              <w:jc w:val="right"/>
              <w:rPr/>
            </w:pPr>
            <w:r>
              <w:rPr/>
              <w:t> </w:t>
            </w:r>
          </w:p>
        </w:tc>
        <w:tc>
          <w:tcPr>
            <w:tcW w:w="222" w:type="dxa"/>
            <w:tcBorders/>
            <w:shd w:fill="auto" w:val="clear"/>
            <w:tcMar>
              <w:top w:w="0" w:type="dxa"/>
              <w:bottom w:w="0" w:type="dxa"/>
            </w:tcMar>
            <w:vAlign w:val="bottom"/>
          </w:tcPr>
          <w:p>
            <w:pPr>
              <w:pStyle w:val="TableContents"/>
              <w:spacing w:before="0" w:after="283"/>
              <w:jc w:val="left"/>
              <w:rPr/>
            </w:pPr>
            <w:r>
              <w:rPr/>
              <w:t> </w:t>
            </w:r>
          </w:p>
        </w:tc>
      </w:tr>
      <w:tr>
        <w:trPr/>
        <w:tc>
          <w:tcPr>
            <w:tcW w:w="683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New Paradigm Capital</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4,101,100</w:t>
            </w:r>
          </w:p>
        </w:tc>
        <w:tc>
          <w:tcPr>
            <w:tcW w:w="246"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rPr/>
            </w:pPr>
            <w:r>
              <w:rPr/>
              <w:t> </w:t>
            </w:r>
          </w:p>
        </w:tc>
        <w:tc>
          <w:tcPr>
            <w:tcW w:w="129" w:type="dxa"/>
            <w:tcBorders/>
            <w:shd w:fill="auto" w:val="clear"/>
            <w:tcMar>
              <w:top w:w="0" w:type="dxa"/>
              <w:bottom w:w="0" w:type="dxa"/>
            </w:tcMar>
            <w:vAlign w:val="bottom"/>
          </w:tcPr>
          <w:p>
            <w:pPr>
              <w:pStyle w:val="TableContents"/>
              <w:spacing w:before="0" w:after="283"/>
              <w:jc w:val="left"/>
              <w:rPr/>
            </w:pPr>
            <w:r>
              <w:rPr/>
              <w:t> </w:t>
            </w:r>
          </w:p>
        </w:tc>
        <w:tc>
          <w:tcPr>
            <w:tcW w:w="112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22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833" w:type="dxa"/>
            <w:tcBorders/>
            <w:shd w:fill="auto" w:val="clear"/>
            <w:tcMar>
              <w:top w:w="0" w:type="dxa"/>
              <w:bottom w:w="0" w:type="dxa"/>
            </w:tcMar>
            <w:vAlign w:val="bottom"/>
          </w:tcPr>
          <w:p>
            <w:pPr>
              <w:pStyle w:val="TableContents"/>
              <w:spacing w:before="0" w:after="283"/>
              <w:rPr/>
            </w:pPr>
            <w:r>
              <w:rPr/>
              <w:t xml:space="preserve">  </w:t>
            </w:r>
          </w:p>
        </w:tc>
        <w:tc>
          <w:tcPr>
            <w:tcW w:w="120" w:type="dxa"/>
            <w:tcBorders/>
            <w:shd w:fill="auto" w:val="clear"/>
            <w:tcMar>
              <w:top w:w="0" w:type="dxa"/>
              <w:bottom w:w="0" w:type="dxa"/>
            </w:tcMar>
            <w:vAlign w:val="bottom"/>
          </w:tcPr>
          <w:p>
            <w:pPr>
              <w:pStyle w:val="TableContents"/>
              <w:spacing w:before="0" w:after="283"/>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94" w:type="dxa"/>
            <w:tcBorders/>
            <w:shd w:fill="auto" w:val="clear"/>
            <w:tcMar>
              <w:top w:w="0" w:type="dxa"/>
              <w:bottom w:w="0" w:type="dxa"/>
            </w:tcMar>
            <w:vAlign w:val="bottom"/>
          </w:tcPr>
          <w:p>
            <w:pPr>
              <w:pStyle w:val="TableContents"/>
              <w:spacing w:before="0" w:after="283"/>
              <w:jc w:val="right"/>
              <w:rPr/>
            </w:pPr>
            <w:r>
              <w:rPr/>
              <w:t> </w:t>
            </w:r>
          </w:p>
        </w:tc>
        <w:tc>
          <w:tcPr>
            <w:tcW w:w="246"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rPr/>
            </w:pPr>
            <w:r>
              <w:rPr/>
              <w:t> </w:t>
            </w:r>
          </w:p>
        </w:tc>
        <w:tc>
          <w:tcPr>
            <w:tcW w:w="129" w:type="dxa"/>
            <w:tcBorders/>
            <w:shd w:fill="auto" w:val="clear"/>
            <w:tcMar>
              <w:top w:w="0" w:type="dxa"/>
              <w:bottom w:w="0" w:type="dxa"/>
            </w:tcMar>
            <w:vAlign w:val="bottom"/>
          </w:tcPr>
          <w:p>
            <w:pPr>
              <w:pStyle w:val="TableContents"/>
              <w:spacing w:before="0" w:after="283"/>
              <w:jc w:val="left"/>
              <w:rPr/>
            </w:pPr>
            <w:r>
              <w:rPr/>
              <w:t> </w:t>
            </w:r>
          </w:p>
        </w:tc>
        <w:tc>
          <w:tcPr>
            <w:tcW w:w="1121" w:type="dxa"/>
            <w:tcBorders/>
            <w:shd w:fill="auto" w:val="clear"/>
            <w:tcMar>
              <w:top w:w="0" w:type="dxa"/>
              <w:bottom w:w="0" w:type="dxa"/>
            </w:tcMar>
            <w:vAlign w:val="bottom"/>
          </w:tcPr>
          <w:p>
            <w:pPr>
              <w:pStyle w:val="TableContents"/>
              <w:spacing w:before="0" w:after="283"/>
              <w:jc w:val="right"/>
              <w:rPr/>
            </w:pPr>
            <w:r>
              <w:rPr/>
              <w:t> </w:t>
            </w:r>
          </w:p>
        </w:tc>
        <w:tc>
          <w:tcPr>
            <w:tcW w:w="222" w:type="dxa"/>
            <w:tcBorders/>
            <w:shd w:fill="auto" w:val="clear"/>
            <w:tcMar>
              <w:top w:w="0" w:type="dxa"/>
              <w:bottom w:w="0" w:type="dxa"/>
            </w:tcMar>
            <w:vAlign w:val="bottom"/>
          </w:tcPr>
          <w:p>
            <w:pPr>
              <w:pStyle w:val="TableContents"/>
              <w:spacing w:before="0" w:after="283"/>
              <w:jc w:val="left"/>
              <w:rPr/>
            </w:pPr>
            <w:r>
              <w:rPr/>
              <w:t> </w:t>
            </w:r>
          </w:p>
        </w:tc>
      </w:tr>
      <w:tr>
        <w:trPr/>
        <w:tc>
          <w:tcPr>
            <w:tcW w:w="6833"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 George Trust Company Ltd.</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0"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9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5,335,640</w:t>
            </w:r>
          </w:p>
        </w:tc>
        <w:tc>
          <w:tcPr>
            <w:tcW w:w="246"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rPr/>
            </w:pPr>
            <w:r>
              <w:rPr/>
              <w:t> </w:t>
            </w:r>
          </w:p>
        </w:tc>
        <w:tc>
          <w:tcPr>
            <w:tcW w:w="129"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21"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22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35" w:name="hangingindent48"/>
      <w:bookmarkStart w:id="636" w:name="hangingindent48"/>
      <w:bookmarkEnd w:id="636"/>
    </w:p>
    <w:tbl>
      <w:tblPr>
        <w:tblW w:w="5000" w:type="pct"/>
        <w:jc w:val="center"/>
        <w:tblInd w:w="0" w:type="dxa"/>
        <w:tblCellMar>
          <w:top w:w="0" w:type="dxa"/>
          <w:left w:w="0" w:type="dxa"/>
          <w:bottom w:w="0" w:type="dxa"/>
          <w:right w:w="0" w:type="dxa"/>
        </w:tblCellMar>
      </w:tblPr>
      <w:tblGrid>
        <w:gridCol w:w="188"/>
        <w:gridCol w:w="10017"/>
      </w:tblGrid>
      <w:tr>
        <w:trPr/>
        <w:tc>
          <w:tcPr>
            <w:tcW w:w="18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1001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Annual Report. As of the date of this Annual Report, there were 45,452,099 shares of common stock issued and outstanding.</w:t>
            </w:r>
          </w:p>
        </w:tc>
      </w:tr>
    </w:tbl>
    <w:p>
      <w:pPr>
        <w:pStyle w:val="Normal"/>
        <w:spacing w:before="0" w:after="0"/>
        <w:rPr>
          <w:sz w:val="4"/>
          <w:szCs w:val="4"/>
        </w:rPr>
      </w:pPr>
      <w:r>
        <w:rPr>
          <w:sz w:val="4"/>
          <w:szCs w:val="4"/>
        </w:rPr>
      </w:r>
      <w:bookmarkStart w:id="637" w:name="hangingindent49"/>
      <w:bookmarkStart w:id="638" w:name="hangingindent49"/>
      <w:bookmarkEnd w:id="638"/>
    </w:p>
    <w:tbl>
      <w:tblPr>
        <w:tblW w:w="5000" w:type="pct"/>
        <w:jc w:val="center"/>
        <w:tblInd w:w="0" w:type="dxa"/>
        <w:tblCellMar>
          <w:top w:w="0" w:type="dxa"/>
          <w:left w:w="0" w:type="dxa"/>
          <w:bottom w:w="0" w:type="dxa"/>
          <w:right w:w="0" w:type="dxa"/>
        </w:tblCellMar>
      </w:tblPr>
      <w:tblGrid>
        <w:gridCol w:w="208"/>
        <w:gridCol w:w="9997"/>
      </w:tblGrid>
      <w:tr>
        <w:trPr/>
        <w:tc>
          <w:tcPr>
            <w:tcW w:w="20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figure includes (i) 1,047,059 shares of common stock; and (ii) 1,800,000 options to acquire an equivalent number of common shares at $0.17 for 10 years and 2,000,000 options to acquire an equivalent number of common shares at $0.19 for 10 years, where 1,083,334 are fully vested.</w:t>
            </w:r>
          </w:p>
        </w:tc>
      </w:tr>
    </w:tbl>
    <w:p>
      <w:pPr>
        <w:pStyle w:val="Normal"/>
        <w:spacing w:before="0" w:after="0"/>
        <w:rPr>
          <w:sz w:val="4"/>
          <w:szCs w:val="4"/>
        </w:rPr>
      </w:pPr>
      <w:r>
        <w:rPr>
          <w:sz w:val="4"/>
          <w:szCs w:val="4"/>
        </w:rPr>
      </w:r>
      <w:bookmarkStart w:id="639" w:name="hangingindent50"/>
      <w:bookmarkStart w:id="640" w:name="hangingindent50"/>
      <w:bookmarkEnd w:id="640"/>
    </w:p>
    <w:tbl>
      <w:tblPr>
        <w:tblW w:w="5000" w:type="pct"/>
        <w:jc w:val="center"/>
        <w:tblInd w:w="0" w:type="dxa"/>
        <w:tblCellMar>
          <w:top w:w="0" w:type="dxa"/>
          <w:left w:w="0" w:type="dxa"/>
          <w:bottom w:w="0" w:type="dxa"/>
          <w:right w:w="0" w:type="dxa"/>
        </w:tblCellMar>
      </w:tblPr>
      <w:tblGrid>
        <w:gridCol w:w="205"/>
        <w:gridCol w:w="10000"/>
      </w:tblGrid>
      <w:tr>
        <w:trPr/>
        <w:tc>
          <w:tcPr>
            <w:tcW w:w="20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0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figure includes: (i) 2,227,868 shares of common stock; (ii) 137,700 shares of common stock held his spouse; (iii) 54,458 common share purchase warrants; (iv) 2,400 common share purchase warrants held by his spouse; and (v) 1,300,000 options to acquire an equivalent number of common shares at $0.17 for 10 years.</w:t>
            </w:r>
          </w:p>
        </w:tc>
      </w:tr>
    </w:tbl>
    <w:p>
      <w:pPr>
        <w:pStyle w:val="Normal"/>
        <w:spacing w:before="0" w:after="0"/>
        <w:rPr>
          <w:sz w:val="4"/>
          <w:szCs w:val="4"/>
        </w:rPr>
      </w:pPr>
      <w:r>
        <w:rPr>
          <w:sz w:val="4"/>
          <w:szCs w:val="4"/>
        </w:rPr>
      </w:r>
      <w:bookmarkStart w:id="641" w:name="hangingindent51"/>
      <w:bookmarkStart w:id="642" w:name="hangingindent51"/>
      <w:bookmarkEnd w:id="642"/>
    </w:p>
    <w:tbl>
      <w:tblPr>
        <w:tblW w:w="5000" w:type="pct"/>
        <w:jc w:val="center"/>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figure represents options to purchase 250,000 shares of common stock at $0.35 per share with 10,417 options vesting per month for 24 months, which were repriced to $0.17 per share in February 2011.</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are no arrangements or understanding among the parties set out above or their respective associates or affiliates concerning election of directors or any other matters which may require shareholder approval.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description of the Company’s equity compensation plan is provided in Part II, Item 5 of this Form 10-K</w:t>
      </w:r>
      <w:r>
        <w:rPr>
          <w:rFonts w:ascii="Times New Roman" w:hAnsi="Times New Roman"/>
          <w:color w:val="0000FF"/>
          <w:sz w:val="20"/>
          <w:u w:val="single"/>
        </w:rPr>
        <w:t xml:space="preserve">/A </w:t>
      </w:r>
      <w:r>
        <w:rPr>
          <w:rFonts w:ascii="Times New Roman" w:hAnsi="Times New Roman"/>
          <w:sz w:val="20"/>
        </w:rPr>
        <w:t>and is hereby incorporated by reference into this Item 12.</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Changes in Control</w:t>
      </w:r>
    </w:p>
    <w:p>
      <w:pPr>
        <w:pStyle w:val="TextBody"/>
        <w:spacing w:before="0" w:after="0"/>
        <w:ind w:left="0" w:right="0" w:hanging="0"/>
        <w:jc w:val="both"/>
        <w:rPr>
          <w:rFonts w:ascii="Times New Roman" w:hAnsi="Times New Roman"/>
          <w:sz w:val="20"/>
        </w:rPr>
      </w:pPr>
      <w:r>
        <w:rPr>
          <w:rFonts w:ascii="Times New Roman" w:hAnsi="Times New Roman"/>
          <w:sz w:val="20"/>
        </w:rPr>
        <w:t>We are unaware of any contract, or other arrangement or provision, the operation of which may at a subsequent date result in a change of control of our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3" w:name="PGBRK58"/>
      <w:bookmarkStart w:id="644" w:name="PGBRK58"/>
      <w:bookmarkEnd w:id="6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5" w:name="FTR58"/>
      <w:bookmarkStart w:id="646" w:name="FTR58"/>
      <w:bookmarkEnd w:id="6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7" w:name="GLFTR58"/>
      <w:bookmarkEnd w:id="6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48" w:name="PN58"/>
      <w:bookmarkEnd w:id="648"/>
      <w:r>
        <w:rPr>
          <w:rFonts w:ascii="Times New Roman" w:hAnsi="Times New Roman"/>
          <w:sz w:val="20"/>
        </w:rPr>
        <w:t>53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9" w:name="HDR58"/>
      <w:bookmarkStart w:id="650" w:name="HDR58"/>
      <w:bookmarkEnd w:id="6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51" w:name="GLHDR58"/>
      <w:bookmarkEnd w:id="6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52" w:name="hangingindent52"/>
      <w:bookmarkStart w:id="653" w:name="hangingindent52"/>
      <w:bookmarkEnd w:id="653"/>
    </w:p>
    <w:tbl>
      <w:tblPr>
        <w:tblW w:w="5000" w:type="pct"/>
        <w:jc w:val="center"/>
        <w:tblInd w:w="0" w:type="dxa"/>
        <w:tblCellMar>
          <w:top w:w="0" w:type="dxa"/>
          <w:left w:w="0" w:type="dxa"/>
          <w:bottom w:w="0" w:type="dxa"/>
          <w:right w:w="0" w:type="dxa"/>
        </w:tblCellMar>
      </w:tblPr>
      <w:tblGrid>
        <w:gridCol w:w="907"/>
        <w:gridCol w:w="9298"/>
      </w:tblGrid>
      <w:tr>
        <w:trPr/>
        <w:tc>
          <w:tcPr>
            <w:tcW w:w="907"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13.</w:t>
            </w:r>
          </w:p>
        </w:tc>
        <w:tc>
          <w:tcPr>
            <w:tcW w:w="92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CERTAIN RELATIONSHIPS AND RELATED TRANSACTIONS AND DIRECTOR INDEPENDENCE</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Except as described below, none of the following parties has had any material interest, direct or indirect, in any transaction with us during our last fiscal year or in any presently proposed transaction that has or will materially affect us: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54" w:name="hangingindent53"/>
      <w:bookmarkStart w:id="655" w:name="hangingindent53"/>
      <w:bookmarkEnd w:id="655"/>
    </w:p>
    <w:tbl>
      <w:tblPr>
        <w:tblW w:w="5000" w:type="pct"/>
        <w:jc w:val="center"/>
        <w:tblInd w:w="0" w:type="dxa"/>
        <w:tblCellMar>
          <w:top w:w="0" w:type="dxa"/>
          <w:left w:w="0" w:type="dxa"/>
          <w:bottom w:w="0" w:type="dxa"/>
          <w:right w:w="0" w:type="dxa"/>
        </w:tblCellMar>
      </w:tblPr>
      <w:tblGrid>
        <w:gridCol w:w="437"/>
        <w:gridCol w:w="619"/>
        <w:gridCol w:w="9149"/>
      </w:tblGrid>
      <w:tr>
        <w:trPr/>
        <w:tc>
          <w:tcPr>
            <w:tcW w:w="437" w:type="dxa"/>
            <w:tcBorders/>
            <w:shd w:fill="auto" w:val="clear"/>
          </w:tcPr>
          <w:p>
            <w:pPr>
              <w:pStyle w:val="TableContents"/>
              <w:spacing w:before="0" w:after="0"/>
              <w:rPr/>
            </w:pPr>
            <w:r>
              <w:rPr/>
              <w:t xml:space="preserve">  </w:t>
            </w:r>
          </w:p>
        </w:tc>
        <w:tc>
          <w:tcPr>
            <w:tcW w:w="61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14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of our directors or officers;</w:t>
            </w:r>
          </w:p>
        </w:tc>
      </w:tr>
    </w:tbl>
    <w:p>
      <w:pPr>
        <w:pStyle w:val="Normal"/>
        <w:spacing w:before="0" w:after="0"/>
        <w:rPr>
          <w:sz w:val="4"/>
          <w:szCs w:val="4"/>
        </w:rPr>
      </w:pPr>
      <w:r>
        <w:rPr>
          <w:sz w:val="4"/>
          <w:szCs w:val="4"/>
        </w:rPr>
      </w:r>
      <w:bookmarkStart w:id="656" w:name="hangingindent54"/>
      <w:bookmarkStart w:id="657" w:name="hangingindent54"/>
      <w:bookmarkEnd w:id="657"/>
    </w:p>
    <w:tbl>
      <w:tblPr>
        <w:tblW w:w="5000" w:type="pct"/>
        <w:jc w:val="center"/>
        <w:tblInd w:w="0" w:type="dxa"/>
        <w:tblCellMar>
          <w:top w:w="0" w:type="dxa"/>
          <w:left w:w="0" w:type="dxa"/>
          <w:bottom w:w="0" w:type="dxa"/>
          <w:right w:w="0" w:type="dxa"/>
        </w:tblCellMar>
      </w:tblPr>
      <w:tblGrid>
        <w:gridCol w:w="238"/>
        <w:gridCol w:w="337"/>
        <w:gridCol w:w="9630"/>
      </w:tblGrid>
      <w:tr>
        <w:trPr/>
        <w:tc>
          <w:tcPr>
            <w:tcW w:w="238" w:type="dxa"/>
            <w:tcBorders/>
            <w:shd w:fill="auto" w:val="clear"/>
          </w:tcPr>
          <w:p>
            <w:pPr>
              <w:pStyle w:val="TableContents"/>
              <w:spacing w:before="0" w:after="0"/>
              <w:rPr/>
            </w:pPr>
            <w:r>
              <w:rPr/>
              <w:t xml:space="preserve">  </w:t>
            </w:r>
          </w:p>
        </w:tc>
        <w:tc>
          <w:tcPr>
            <w:tcW w:w="33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63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person proposed as a nominee for election as a director;</w:t>
            </w:r>
          </w:p>
        </w:tc>
      </w:tr>
    </w:tbl>
    <w:p>
      <w:pPr>
        <w:pStyle w:val="Normal"/>
        <w:spacing w:before="0" w:after="0"/>
        <w:rPr>
          <w:sz w:val="4"/>
          <w:szCs w:val="4"/>
        </w:rPr>
      </w:pPr>
      <w:r>
        <w:rPr>
          <w:sz w:val="4"/>
          <w:szCs w:val="4"/>
        </w:rPr>
      </w:r>
      <w:bookmarkStart w:id="658" w:name="hangingindent55"/>
      <w:bookmarkStart w:id="659" w:name="hangingindent55"/>
      <w:bookmarkEnd w:id="659"/>
    </w:p>
    <w:tbl>
      <w:tblPr>
        <w:tblW w:w="5000" w:type="pct"/>
        <w:jc w:val="center"/>
        <w:tblInd w:w="0" w:type="dxa"/>
        <w:tblCellMar>
          <w:top w:w="0" w:type="dxa"/>
          <w:left w:w="0" w:type="dxa"/>
          <w:bottom w:w="0" w:type="dxa"/>
          <w:right w:w="0" w:type="dxa"/>
        </w:tblCellMar>
      </w:tblPr>
      <w:tblGrid>
        <w:gridCol w:w="103"/>
        <w:gridCol w:w="158"/>
        <w:gridCol w:w="9944"/>
      </w:tblGrid>
      <w:tr>
        <w:trPr/>
        <w:tc>
          <w:tcPr>
            <w:tcW w:w="103" w:type="dxa"/>
            <w:tcBorders/>
            <w:shd w:fill="auto" w:val="clear"/>
          </w:tcPr>
          <w:p>
            <w:pPr>
              <w:pStyle w:val="TableContents"/>
              <w:spacing w:before="0" w:after="0"/>
              <w:rPr/>
            </w:pPr>
            <w:r>
              <w:rPr/>
              <w:t xml:space="preserve">  </w:t>
            </w:r>
          </w:p>
        </w:tc>
        <w:tc>
          <w:tcPr>
            <w:tcW w:w="15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4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person who beneficially owns, directly or indirectly, shares carrying more than 5% of the voting rights attached to our outstanding shares of common stock; or</w:t>
            </w:r>
          </w:p>
        </w:tc>
      </w:tr>
    </w:tbl>
    <w:p>
      <w:pPr>
        <w:pStyle w:val="Normal"/>
        <w:spacing w:before="0" w:after="0"/>
        <w:rPr>
          <w:sz w:val="4"/>
          <w:szCs w:val="4"/>
        </w:rPr>
      </w:pPr>
      <w:r>
        <w:rPr>
          <w:sz w:val="4"/>
          <w:szCs w:val="4"/>
        </w:rPr>
      </w:r>
      <w:bookmarkStart w:id="660" w:name="hangingindent56"/>
      <w:bookmarkStart w:id="661" w:name="hangingindent56"/>
      <w:bookmarkEnd w:id="661"/>
    </w:p>
    <w:tbl>
      <w:tblPr>
        <w:tblW w:w="5000" w:type="pct"/>
        <w:jc w:val="center"/>
        <w:tblInd w:w="0" w:type="dxa"/>
        <w:tblCellMar>
          <w:top w:w="0" w:type="dxa"/>
          <w:left w:w="0" w:type="dxa"/>
          <w:bottom w:w="0" w:type="dxa"/>
          <w:right w:w="0" w:type="dxa"/>
        </w:tblCellMar>
      </w:tblPr>
      <w:tblGrid>
        <w:gridCol w:w="118"/>
        <w:gridCol w:w="169"/>
        <w:gridCol w:w="9918"/>
      </w:tblGrid>
      <w:tr>
        <w:trPr/>
        <w:tc>
          <w:tcPr>
            <w:tcW w:w="118" w:type="dxa"/>
            <w:tcBorders/>
            <w:shd w:fill="auto" w:val="clear"/>
          </w:tcPr>
          <w:p>
            <w:pPr>
              <w:pStyle w:val="TableContents"/>
              <w:spacing w:before="0" w:after="0"/>
              <w:rPr/>
            </w:pPr>
            <w:r>
              <w:rPr/>
              <w:t xml:space="preserve">  </w:t>
            </w:r>
          </w:p>
        </w:tc>
        <w:tc>
          <w:tcPr>
            <w:tcW w:w="16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1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member of the immediate family (including spouse, parents, children, siblings and in-laws) of any of the above persons.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had transactions with certain of our officers and directors during our fiscal year ended December 31, 2010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62" w:name="hangingindent57"/>
      <w:bookmarkStart w:id="663" w:name="hangingindent57"/>
      <w:bookmarkEnd w:id="663"/>
    </w:p>
    <w:tbl>
      <w:tblPr>
        <w:tblW w:w="5000" w:type="pct"/>
        <w:jc w:val="center"/>
        <w:tblInd w:w="0" w:type="dxa"/>
        <w:tblCellMar>
          <w:top w:w="0" w:type="dxa"/>
          <w:left w:w="0" w:type="dxa"/>
          <w:bottom w:w="0" w:type="dxa"/>
          <w:right w:w="0" w:type="dxa"/>
        </w:tblCellMar>
      </w:tblPr>
      <w:tblGrid>
        <w:gridCol w:w="98"/>
        <w:gridCol w:w="224"/>
        <w:gridCol w:w="9883"/>
      </w:tblGrid>
      <w:tr>
        <w:trPr/>
        <w:tc>
          <w:tcPr>
            <w:tcW w:w="98" w:type="dxa"/>
            <w:tcBorders/>
            <w:shd w:fill="auto" w:val="clear"/>
          </w:tcPr>
          <w:p>
            <w:pPr>
              <w:pStyle w:val="TableContents"/>
              <w:spacing w:before="0" w:after="0"/>
              <w:rPr/>
            </w:pPr>
            <w:r>
              <w:rPr/>
              <w:t xml:space="preserve">  </w:t>
            </w:r>
          </w:p>
        </w:tc>
        <w:tc>
          <w:tcPr>
            <w:tcW w:w="22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(g)</w:t>
            </w:r>
          </w:p>
        </w:tc>
        <w:tc>
          <w:tcPr>
            <w:tcW w:w="98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$329,177 (2009 - $260,242) in management and directors’ fees and $72,000 (2009 - $42,000) in research and development paid to officers and directors during the period;</w:t>
            </w:r>
          </w:p>
        </w:tc>
      </w:tr>
    </w:tbl>
    <w:p>
      <w:pPr>
        <w:pStyle w:val="TextBody"/>
        <w:spacing w:before="0" w:after="0"/>
        <w:ind w:left="0" w:right="0" w:hanging="0"/>
        <w:rPr/>
      </w:pPr>
      <w:r>
        <w:rPr/>
      </w:r>
    </w:p>
    <w:p>
      <w:pPr>
        <w:pStyle w:val="Normal"/>
        <w:spacing w:before="0" w:after="0"/>
        <w:rPr>
          <w:sz w:val="4"/>
          <w:szCs w:val="4"/>
        </w:rPr>
      </w:pPr>
      <w:r>
        <w:rPr>
          <w:sz w:val="4"/>
          <w:szCs w:val="4"/>
        </w:rPr>
      </w:r>
      <w:bookmarkStart w:id="664" w:name="hangingindent58"/>
      <w:bookmarkStart w:id="665" w:name="hangingindent58"/>
      <w:bookmarkEnd w:id="665"/>
    </w:p>
    <w:tbl>
      <w:tblPr>
        <w:tblW w:w="5000" w:type="pct"/>
        <w:jc w:val="center"/>
        <w:tblInd w:w="0" w:type="dxa"/>
        <w:tblCellMar>
          <w:top w:w="0" w:type="dxa"/>
          <w:left w:w="0" w:type="dxa"/>
          <w:bottom w:w="0" w:type="dxa"/>
          <w:right w:w="0" w:type="dxa"/>
        </w:tblCellMar>
      </w:tblPr>
      <w:tblGrid>
        <w:gridCol w:w="99"/>
        <w:gridCol w:w="225"/>
        <w:gridCol w:w="9881"/>
      </w:tblGrid>
      <w:tr>
        <w:trPr/>
        <w:tc>
          <w:tcPr>
            <w:tcW w:w="99" w:type="dxa"/>
            <w:tcBorders/>
            <w:shd w:fill="auto" w:val="clear"/>
          </w:tcPr>
          <w:p>
            <w:pPr>
              <w:pStyle w:val="TableContents"/>
              <w:spacing w:before="0" w:after="0"/>
              <w:rPr/>
            </w:pPr>
            <w:r>
              <w:rPr/>
              <w:t xml:space="preserve">  </w:t>
            </w:r>
          </w:p>
        </w:tc>
        <w:tc>
          <w:tcPr>
            <w:tcW w:w="22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(h)</w:t>
            </w:r>
          </w:p>
        </w:tc>
        <w:tc>
          <w:tcPr>
            <w:tcW w:w="98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recorded $1,087,917 (2009 - $2,019,660) in stock based compensation for the fair value of options granted to management that were granted and or vested during the period;</w:t>
            </w:r>
          </w:p>
        </w:tc>
      </w:tr>
    </w:tbl>
    <w:p>
      <w:pPr>
        <w:pStyle w:val="TextBody"/>
        <w:spacing w:before="0" w:after="0"/>
        <w:ind w:left="0" w:right="0" w:hanging="0"/>
        <w:rPr/>
      </w:pPr>
      <w:r>
        <w:rPr/>
      </w:r>
    </w:p>
    <w:p>
      <w:pPr>
        <w:pStyle w:val="Normal"/>
        <w:spacing w:before="0" w:after="0"/>
        <w:rPr>
          <w:sz w:val="4"/>
          <w:szCs w:val="4"/>
        </w:rPr>
      </w:pPr>
      <w:r>
        <w:rPr>
          <w:sz w:val="4"/>
          <w:szCs w:val="4"/>
        </w:rPr>
      </w:r>
      <w:bookmarkStart w:id="666" w:name="hangingindent59"/>
      <w:bookmarkStart w:id="667" w:name="hangingindent59"/>
      <w:bookmarkEnd w:id="667"/>
    </w:p>
    <w:tbl>
      <w:tblPr>
        <w:tblW w:w="5000" w:type="pct"/>
        <w:jc w:val="center"/>
        <w:tblInd w:w="0" w:type="dxa"/>
        <w:tblCellMar>
          <w:top w:w="0" w:type="dxa"/>
          <w:left w:w="0" w:type="dxa"/>
          <w:bottom w:w="0" w:type="dxa"/>
          <w:right w:w="0" w:type="dxa"/>
        </w:tblCellMar>
      </w:tblPr>
      <w:tblGrid>
        <w:gridCol w:w="92"/>
        <w:gridCol w:w="173"/>
        <w:gridCol w:w="9940"/>
      </w:tblGrid>
      <w:tr>
        <w:trPr/>
        <w:tc>
          <w:tcPr>
            <w:tcW w:w="92" w:type="dxa"/>
            <w:tcBorders/>
            <w:shd w:fill="auto" w:val="clear"/>
          </w:tcPr>
          <w:p>
            <w:pPr>
              <w:pStyle w:val="TableContents"/>
              <w:spacing w:before="0" w:after="0"/>
              <w:rPr/>
            </w:pPr>
            <w:r>
              <w:rPr/>
              <w:t xml:space="preserve">  </w:t>
            </w:r>
          </w:p>
        </w:tc>
        <w:tc>
          <w:tcPr>
            <w:tcW w:w="17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94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$Nil (2009 - $65,984) in interest and finance charges on promissory notes due to related parties during the period, which were settled in connection with an equity issuance effective June 4, 2009;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668" w:name="hangingindent60"/>
      <w:bookmarkStart w:id="669" w:name="hangingindent60"/>
      <w:bookmarkEnd w:id="669"/>
    </w:p>
    <w:tbl>
      <w:tblPr>
        <w:tblW w:w="5000" w:type="pct"/>
        <w:jc w:val="center"/>
        <w:tblInd w:w="0" w:type="dxa"/>
        <w:tblCellMar>
          <w:top w:w="0" w:type="dxa"/>
          <w:left w:w="0" w:type="dxa"/>
          <w:bottom w:w="0" w:type="dxa"/>
          <w:right w:w="0" w:type="dxa"/>
        </w:tblCellMar>
      </w:tblPr>
      <w:tblGrid>
        <w:gridCol w:w="92"/>
        <w:gridCol w:w="173"/>
        <w:gridCol w:w="9940"/>
      </w:tblGrid>
      <w:tr>
        <w:trPr/>
        <w:tc>
          <w:tcPr>
            <w:tcW w:w="92" w:type="dxa"/>
            <w:tcBorders/>
            <w:shd w:fill="auto" w:val="clear"/>
          </w:tcPr>
          <w:p>
            <w:pPr>
              <w:pStyle w:val="TableContents"/>
              <w:spacing w:before="0" w:after="0"/>
              <w:rPr/>
            </w:pPr>
            <w:r>
              <w:rPr/>
              <w:t xml:space="preserve">  </w:t>
            </w:r>
          </w:p>
        </w:tc>
        <w:tc>
          <w:tcPr>
            <w:tcW w:w="17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(j)</w:t>
            </w:r>
          </w:p>
        </w:tc>
        <w:tc>
          <w:tcPr>
            <w:tcW w:w="994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$Nil (2009 - $130,065) in interest and finance charges related to an agreement to issue warrants in connection with extending the terms of the promissory notes due to related parties during the period.</w:t>
            </w:r>
          </w:p>
        </w:tc>
      </w:tr>
    </w:tbl>
    <w:p>
      <w:pPr>
        <w:pStyle w:val="TextBody"/>
        <w:spacing w:before="0" w:after="0"/>
        <w:ind w:left="0" w:right="0" w:hanging="0"/>
        <w:rPr/>
      </w:pPr>
      <w:r>
        <w:rPr/>
      </w:r>
    </w:p>
    <w:p>
      <w:pPr>
        <w:pStyle w:val="Normal"/>
        <w:spacing w:before="0" w:after="0"/>
        <w:rPr>
          <w:sz w:val="4"/>
          <w:szCs w:val="4"/>
        </w:rPr>
      </w:pPr>
      <w:r>
        <w:rPr>
          <w:sz w:val="4"/>
          <w:szCs w:val="4"/>
        </w:rPr>
      </w:r>
      <w:bookmarkStart w:id="670" w:name="hangingindent61"/>
      <w:bookmarkStart w:id="671" w:name="hangingindent61"/>
      <w:bookmarkEnd w:id="671"/>
    </w:p>
    <w:tbl>
      <w:tblPr>
        <w:tblW w:w="5000" w:type="pct"/>
        <w:jc w:val="center"/>
        <w:tblInd w:w="0" w:type="dxa"/>
        <w:tblCellMar>
          <w:top w:w="0" w:type="dxa"/>
          <w:left w:w="0" w:type="dxa"/>
          <w:bottom w:w="0" w:type="dxa"/>
          <w:right w:w="0" w:type="dxa"/>
        </w:tblCellMar>
      </w:tblPr>
      <w:tblGrid>
        <w:gridCol w:w="80"/>
        <w:gridCol w:w="206"/>
        <w:gridCol w:w="9919"/>
      </w:tblGrid>
      <w:tr>
        <w:trPr/>
        <w:tc>
          <w:tcPr>
            <w:tcW w:w="80" w:type="dxa"/>
            <w:tcBorders/>
            <w:shd w:fill="auto" w:val="clear"/>
          </w:tcPr>
          <w:p>
            <w:pPr>
              <w:pStyle w:val="TableContents"/>
              <w:spacing w:before="0" w:after="0"/>
              <w:rPr/>
            </w:pPr>
            <w:r>
              <w:rPr/>
              <w:t xml:space="preserve">  </w:t>
            </w:r>
          </w:p>
        </w:tc>
        <w:tc>
          <w:tcPr>
            <w:tcW w:w="20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(k)</w:t>
            </w:r>
          </w:p>
        </w:tc>
        <w:tc>
          <w:tcPr>
            <w:tcW w:w="991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issued a $Nil (2009 - $15,000) secured promissory note bearing interest at 30% per annum and issued 30,000 transferable and registrable share purchase warrants with an exercise price of $0.20 per share for an exercise period of up to two years from the issuance date to a direct family member of an officer of the Company.</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related party transactions (other than stock based consideration) involving provision of services were recorded at the exchange amount, which is the amount established and agreed to by the related parties as representing fair value. The Company accounted for the debt settlement transactions with related parties at management’s estimate of fair value, which is evidenced by settlements between arms length parties.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2010, the Company had amounts owing to directors and officers of $259,305 (2009 - $16,100). These amounts were in the normal course of operations. Amounts due to related parties are unsecured, non-interest bearing and have no specific terms of repayment.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14.                    PRINCIPAL ACCOUNTING FEES AND SERVICES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Dale Matheson Carr-Hilton LaBonte LLP served as our independent registered public accounting firm and audited our financial statements for the fiscal years ended December 31, 2010 and 2009. Aggregate fees for professional services rendered to us by our auditor are set forth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7246"/>
        <w:gridCol w:w="115"/>
        <w:gridCol w:w="148"/>
        <w:gridCol w:w="1096"/>
        <w:gridCol w:w="115"/>
        <w:gridCol w:w="115"/>
        <w:gridCol w:w="148"/>
        <w:gridCol w:w="1096"/>
        <w:gridCol w:w="126"/>
      </w:tblGrid>
      <w:tr>
        <w:trPr/>
        <w:tc>
          <w:tcPr>
            <w:tcW w:w="7246"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5" w:type="dxa"/>
            <w:tcBorders>
              <w:top w:val="single" w:sz="12" w:space="0" w:color="000000"/>
            </w:tcBorders>
            <w:shd w:fill="auto" w:val="clear"/>
            <w:tcMar>
              <w:bottom w:w="0" w:type="dxa"/>
            </w:tcMar>
            <w:vAlign w:val="bottom"/>
          </w:tcPr>
          <w:p>
            <w:pPr>
              <w:pStyle w:val="TableContents"/>
              <w:spacing w:before="0" w:after="283"/>
              <w:rPr/>
            </w:pPr>
            <w:r>
              <w:rPr/>
              <w:t> </w:t>
            </w:r>
          </w:p>
        </w:tc>
        <w:tc>
          <w:tcPr>
            <w:tcW w:w="124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 2010</w:t>
            </w:r>
          </w:p>
        </w:tc>
        <w:tc>
          <w:tcPr>
            <w:tcW w:w="115"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5" w:type="dxa"/>
            <w:tcBorders>
              <w:top w:val="single" w:sz="12" w:space="0" w:color="000000"/>
            </w:tcBorders>
            <w:shd w:fill="auto" w:val="clear"/>
            <w:tcMar>
              <w:bottom w:w="0" w:type="dxa"/>
            </w:tcMar>
            <w:vAlign w:val="bottom"/>
          </w:tcPr>
          <w:p>
            <w:pPr>
              <w:pStyle w:val="TableContents"/>
              <w:spacing w:before="0" w:after="283"/>
              <w:rPr/>
            </w:pPr>
            <w:r>
              <w:rPr/>
              <w:t> </w:t>
            </w:r>
          </w:p>
        </w:tc>
        <w:tc>
          <w:tcPr>
            <w:tcW w:w="124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26"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7246" w:type="dxa"/>
            <w:tcBorders/>
            <w:shd w:fill="auto" w:val="clear"/>
            <w:tcMar>
              <w:top w:w="0" w:type="dxa"/>
              <w:bottom w:w="0" w:type="dxa"/>
            </w:tcMar>
            <w:vAlign w:val="bottom"/>
          </w:tcPr>
          <w:p>
            <w:pPr>
              <w:pStyle w:val="TableContents"/>
              <w:spacing w:before="0" w:after="283"/>
              <w:rPr/>
            </w:pPr>
            <w:r>
              <w:rPr/>
              <w:t xml:space="preserve">  </w:t>
            </w:r>
          </w:p>
        </w:tc>
        <w:tc>
          <w:tcPr>
            <w:tcW w:w="115" w:type="dxa"/>
            <w:tcBorders/>
            <w:shd w:fill="auto" w:val="clear"/>
            <w:tcMar>
              <w:top w:w="0" w:type="dxa"/>
              <w:bottom w:w="0" w:type="dxa"/>
            </w:tcMar>
            <w:vAlign w:val="bottom"/>
          </w:tcPr>
          <w:p>
            <w:pPr>
              <w:pStyle w:val="TableContents"/>
              <w:spacing w:before="0" w:after="283"/>
              <w:rPr/>
            </w:pPr>
            <w:r>
              <w:rPr/>
              <w:t> </w:t>
            </w:r>
          </w:p>
        </w:tc>
        <w:tc>
          <w:tcPr>
            <w:tcW w:w="1244" w:type="dxa"/>
            <w:gridSpan w:val="2"/>
            <w:tcBorders/>
            <w:shd w:fill="auto" w:val="clear"/>
            <w:tcMar>
              <w:top w:w="0" w:type="dxa"/>
              <w:bottom w:w="0" w:type="dxa"/>
            </w:tcMar>
            <w:vAlign w:val="bottom"/>
          </w:tcPr>
          <w:p>
            <w:pPr>
              <w:pStyle w:val="TableContents"/>
              <w:spacing w:before="0" w:after="283"/>
              <w:rPr/>
            </w:pPr>
            <w:r>
              <w:rPr/>
              <w:t> </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15" w:type="dxa"/>
            <w:tcBorders/>
            <w:shd w:fill="auto" w:val="clear"/>
            <w:tcMar>
              <w:top w:w="0" w:type="dxa"/>
              <w:bottom w:w="0" w:type="dxa"/>
            </w:tcMar>
            <w:vAlign w:val="bottom"/>
          </w:tcPr>
          <w:p>
            <w:pPr>
              <w:pStyle w:val="TableContents"/>
              <w:spacing w:before="0" w:after="283"/>
              <w:rPr/>
            </w:pPr>
            <w:r>
              <w:rPr/>
              <w:t> </w:t>
            </w:r>
          </w:p>
        </w:tc>
        <w:tc>
          <w:tcPr>
            <w:tcW w:w="1244" w:type="dxa"/>
            <w:gridSpan w:val="2"/>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r>
      <w:tr>
        <w:trPr/>
        <w:tc>
          <w:tcPr>
            <w:tcW w:w="724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 Fees</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48"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42,000</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48"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43,500</w:t>
            </w:r>
          </w:p>
        </w:tc>
        <w:tc>
          <w:tcPr>
            <w:tcW w:w="126" w:type="dxa"/>
            <w:tcBorders/>
            <w:shd w:fill="auto" w:val="clear"/>
            <w:tcMar>
              <w:top w:w="0" w:type="dxa"/>
              <w:bottom w:w="0" w:type="dxa"/>
            </w:tcMar>
            <w:vAlign w:val="bottom"/>
          </w:tcPr>
          <w:p>
            <w:pPr>
              <w:pStyle w:val="TableContents"/>
              <w:spacing w:before="0" w:after="283"/>
              <w:jc w:val="left"/>
              <w:rPr/>
            </w:pPr>
            <w:r>
              <w:rPr/>
              <w:t> </w:t>
            </w:r>
          </w:p>
        </w:tc>
      </w:tr>
      <w:tr>
        <w:trPr/>
        <w:tc>
          <w:tcPr>
            <w:tcW w:w="724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 Related Fees</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48"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27,000</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48"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21,500</w:t>
            </w:r>
          </w:p>
        </w:tc>
        <w:tc>
          <w:tcPr>
            <w:tcW w:w="126" w:type="dxa"/>
            <w:tcBorders/>
            <w:shd w:fill="auto" w:val="clear"/>
            <w:tcMar>
              <w:top w:w="0" w:type="dxa"/>
              <w:bottom w:w="0" w:type="dxa"/>
            </w:tcMar>
            <w:vAlign w:val="bottom"/>
          </w:tcPr>
          <w:p>
            <w:pPr>
              <w:pStyle w:val="TableContents"/>
              <w:spacing w:before="0" w:after="283"/>
              <w:jc w:val="left"/>
              <w:rPr/>
            </w:pPr>
            <w:r>
              <w:rPr/>
              <w:t> </w:t>
            </w:r>
          </w:p>
        </w:tc>
      </w:tr>
      <w:tr>
        <w:trPr/>
        <w:tc>
          <w:tcPr>
            <w:tcW w:w="724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Tax Fees</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244" w:type="dxa"/>
            <w:gridSpan w:val="2"/>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Nil</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244" w:type="dxa"/>
            <w:gridSpan w:val="2"/>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Nil</w:t>
            </w:r>
          </w:p>
        </w:tc>
        <w:tc>
          <w:tcPr>
            <w:tcW w:w="126" w:type="dxa"/>
            <w:tcBorders/>
            <w:shd w:fill="auto" w:val="clear"/>
            <w:tcMar>
              <w:top w:w="0" w:type="dxa"/>
              <w:bottom w:w="0" w:type="dxa"/>
            </w:tcMar>
            <w:vAlign w:val="bottom"/>
          </w:tcPr>
          <w:p>
            <w:pPr>
              <w:pStyle w:val="TableContents"/>
              <w:spacing w:before="0" w:after="283"/>
              <w:jc w:val="left"/>
              <w:rPr/>
            </w:pPr>
            <w:r>
              <w:rPr/>
              <w:t> </w:t>
            </w:r>
          </w:p>
        </w:tc>
      </w:tr>
      <w:tr>
        <w:trPr/>
        <w:tc>
          <w:tcPr>
            <w:tcW w:w="7246"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Fees</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244" w:type="dxa"/>
            <w:gridSpan w:val="2"/>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Nil</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244" w:type="dxa"/>
            <w:gridSpan w:val="2"/>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Nil</w:t>
            </w:r>
          </w:p>
        </w:tc>
        <w:tc>
          <w:tcPr>
            <w:tcW w:w="126" w:type="dxa"/>
            <w:tcBorders/>
            <w:shd w:fill="auto" w:val="clear"/>
            <w:tcMar>
              <w:top w:w="0" w:type="dxa"/>
              <w:bottom w:w="0" w:type="dxa"/>
            </w:tcMar>
            <w:vAlign w:val="bottom"/>
          </w:tcPr>
          <w:p>
            <w:pPr>
              <w:pStyle w:val="TableContents"/>
              <w:spacing w:before="0" w:after="283"/>
              <w:jc w:val="left"/>
              <w:rPr/>
            </w:pPr>
            <w:r>
              <w:rPr/>
              <w:t> </w:t>
            </w:r>
          </w:p>
        </w:tc>
      </w:tr>
      <w:tr>
        <w:trPr/>
        <w:tc>
          <w:tcPr>
            <w:tcW w:w="7246"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48"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70,000</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48"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126"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2" w:name="PGBRK59"/>
      <w:bookmarkStart w:id="673" w:name="PGBRK59"/>
      <w:bookmarkEnd w:id="6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4" w:name="FTR59"/>
      <w:bookmarkStart w:id="675" w:name="FTR59"/>
      <w:bookmarkEnd w:id="6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76" w:name="GLFTR59"/>
      <w:bookmarkEnd w:id="6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77" w:name="PN59"/>
      <w:bookmarkEnd w:id="677"/>
      <w:r>
        <w:rPr>
          <w:rFonts w:ascii="Times New Roman" w:hAnsi="Times New Roman"/>
          <w:sz w:val="20"/>
        </w:rPr>
        <w:t>54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8" w:name="HDR59"/>
      <w:bookmarkStart w:id="679" w:name="HDR59"/>
      <w:bookmarkEnd w:id="6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0" w:name="GLHDR59"/>
      <w:bookmarkEnd w:id="6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Audit Fees</w:t>
      </w:r>
    </w:p>
    <w:p>
      <w:pPr>
        <w:pStyle w:val="TextBody"/>
        <w:spacing w:before="0" w:after="0"/>
        <w:ind w:left="0" w:right="0" w:hanging="0"/>
        <w:jc w:val="both"/>
        <w:rPr>
          <w:rFonts w:ascii="Times New Roman" w:hAnsi="Times New Roman"/>
          <w:sz w:val="20"/>
        </w:rPr>
      </w:pPr>
      <w:r>
        <w:rPr>
          <w:rFonts w:ascii="Times New Roman" w:hAnsi="Times New Roman"/>
          <w:sz w:val="20"/>
        </w:rPr>
        <w:t>Audit fees are the aggregate fees billed for professional services rendered by our independent auditors for the audit of our annual financial statements, the review of the financial statements included in each of our quarterly reports and services provided in connection with statutory and regulatory filings or engagements.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Audit Related Fees</w:t>
      </w:r>
    </w:p>
    <w:p>
      <w:pPr>
        <w:pStyle w:val="TextBody"/>
        <w:spacing w:before="0" w:after="0"/>
        <w:ind w:left="0" w:right="0" w:hanging="0"/>
        <w:jc w:val="both"/>
        <w:rPr>
          <w:rFonts w:ascii="Times New Roman" w:hAnsi="Times New Roman"/>
          <w:sz w:val="20"/>
        </w:rPr>
      </w:pPr>
      <w:r>
        <w:rPr>
          <w:rFonts w:ascii="Times New Roman" w:hAnsi="Times New Roman"/>
          <w:sz w:val="20"/>
        </w:rPr>
        <w:t>Audit related fees are the aggregate fees billed by our independent auditors for assurance and related services that are reasonably related to the performance of the audit or review of our financial statements and are not described in the preceding category.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Tax Fees</w:t>
      </w:r>
    </w:p>
    <w:p>
      <w:pPr>
        <w:pStyle w:val="TextBody"/>
        <w:spacing w:before="0" w:after="0"/>
        <w:ind w:left="0" w:right="0" w:hanging="0"/>
        <w:jc w:val="both"/>
        <w:rPr>
          <w:rFonts w:ascii="Times New Roman" w:hAnsi="Times New Roman"/>
          <w:sz w:val="20"/>
        </w:rPr>
      </w:pPr>
      <w:r>
        <w:rPr>
          <w:rFonts w:ascii="Times New Roman" w:hAnsi="Times New Roman"/>
          <w:sz w:val="20"/>
        </w:rPr>
        <w:t>Tax fees are billed by our independent auditors for tax compliance, tax advice and tax planning.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All Other Fees</w:t>
      </w:r>
    </w:p>
    <w:p>
      <w:pPr>
        <w:pStyle w:val="TextBody"/>
        <w:spacing w:before="0" w:after="0"/>
        <w:ind w:left="0" w:right="0" w:hanging="0"/>
        <w:jc w:val="both"/>
        <w:rPr>
          <w:rFonts w:ascii="Times New Roman" w:hAnsi="Times New Roman"/>
          <w:sz w:val="20"/>
        </w:rPr>
      </w:pPr>
      <w:r>
        <w:rPr>
          <w:rFonts w:ascii="Times New Roman" w:hAnsi="Times New Roman"/>
          <w:sz w:val="20"/>
        </w:rPr>
        <w:t>All other fees include fees billed by our independent auditors for products or services other than as described in the immediately preceding three categories.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Policy on Pre-Approval of Services Performed by Independent Auditors</w:t>
      </w:r>
    </w:p>
    <w:p>
      <w:pPr>
        <w:pStyle w:val="TextBody"/>
        <w:spacing w:before="0" w:after="0"/>
        <w:ind w:left="0" w:right="0" w:hanging="0"/>
        <w:jc w:val="both"/>
        <w:rPr>
          <w:rFonts w:ascii="Times New Roman" w:hAnsi="Times New Roman"/>
          <w:sz w:val="20"/>
        </w:rPr>
      </w:pPr>
      <w:r>
        <w:rPr>
          <w:rFonts w:ascii="Times New Roman" w:hAnsi="Times New Roman"/>
          <w:sz w:val="20"/>
        </w:rPr>
        <w:t>It is our audit committee’s policy to pre-approve all audit and permissible non-audit services performed by the independent auditors. We approved all services that our independent accountants provided to us in the past two fiscal years.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15.                      EXHIBITS</w:t>
      </w:r>
    </w:p>
    <w:p>
      <w:pPr>
        <w:pStyle w:val="TextBody"/>
        <w:spacing w:before="0" w:after="0"/>
        <w:ind w:left="0" w:right="0" w:hanging="0"/>
        <w:jc w:val="left"/>
        <w:rPr>
          <w:rFonts w:ascii="Times New Roman" w:hAnsi="Times New Roman"/>
          <w:sz w:val="20"/>
        </w:rPr>
      </w:pPr>
      <w:r>
        <w:rPr>
          <w:rFonts w:ascii="Times New Roman" w:hAnsi="Times New Roman"/>
          <w:sz w:val="20"/>
        </w:rPr>
        <w:t>The following exhibits are filed as part of this registration statement. Exhibit numbers correspond to the exhibit requirements of Regulation S-K.</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713"/>
        <w:gridCol w:w="102"/>
        <w:gridCol w:w="9390"/>
      </w:tblGrid>
      <w:tr>
        <w:trPr/>
        <w:tc>
          <w:tcPr>
            <w:tcW w:w="713" w:type="dxa"/>
            <w:tcBorders>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 No.</w:t>
            </w:r>
          </w:p>
        </w:tc>
        <w:tc>
          <w:tcPr>
            <w:tcW w:w="102" w:type="dxa"/>
            <w:tcBorders/>
            <w:shd w:fill="auto" w:val="clear"/>
            <w:tcMar>
              <w:bottom w:w="0" w:type="dxa"/>
            </w:tcMar>
          </w:tcPr>
          <w:p>
            <w:pPr>
              <w:pStyle w:val="TableContents"/>
              <w:spacing w:before="0" w:after="283"/>
              <w:jc w:val="left"/>
              <w:rPr/>
            </w:pPr>
            <w:r>
              <w:rPr/>
              <w:t xml:space="preserve">  </w:t>
            </w:r>
          </w:p>
        </w:tc>
        <w:tc>
          <w:tcPr>
            <w:tcW w:w="9390" w:type="dxa"/>
            <w:tcBorders>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Description</w:t>
            </w:r>
          </w:p>
        </w:tc>
      </w:tr>
      <w:tr>
        <w:trPr/>
        <w:tc>
          <w:tcPr>
            <w:tcW w:w="71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3.1</w:t>
            </w:r>
          </w:p>
        </w:tc>
        <w:tc>
          <w:tcPr>
            <w:tcW w:w="102" w:type="dxa"/>
            <w:tcBorders/>
            <w:shd w:fill="auto" w:val="clear"/>
            <w:tcMar>
              <w:bottom w:w="0" w:type="dxa"/>
            </w:tcMar>
          </w:tcPr>
          <w:p>
            <w:pPr>
              <w:pStyle w:val="TableContents"/>
              <w:spacing w:before="0" w:after="283"/>
              <w:jc w:val="left"/>
              <w:rPr/>
            </w:pPr>
            <w:r>
              <w:rPr/>
              <w:t xml:space="preserve">  </w:t>
            </w:r>
          </w:p>
        </w:tc>
        <w:tc>
          <w:tcPr>
            <w:tcW w:w="9390"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Amended Articles of Incorporation dated February 3, 2009 as filed as Exhibit 3.1 to Form 8-K filed on February 6, 2009 and incorporated herein by reference.</w:t>
            </w:r>
          </w:p>
        </w:tc>
      </w:tr>
      <w:tr>
        <w:trPr/>
        <w:tc>
          <w:tcPr>
            <w:tcW w:w="71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3.2</w:t>
            </w:r>
          </w:p>
        </w:tc>
        <w:tc>
          <w:tcPr>
            <w:tcW w:w="102" w:type="dxa"/>
            <w:tcBorders/>
            <w:shd w:fill="auto" w:val="clear"/>
            <w:tcMar>
              <w:bottom w:w="0" w:type="dxa"/>
            </w:tcMar>
          </w:tcPr>
          <w:p>
            <w:pPr>
              <w:pStyle w:val="TableContents"/>
              <w:spacing w:before="0" w:after="283"/>
              <w:jc w:val="left"/>
              <w:rPr/>
            </w:pPr>
            <w:r>
              <w:rPr/>
              <w:t xml:space="preserve">  </w:t>
            </w:r>
          </w:p>
        </w:tc>
        <w:tc>
          <w:tcPr>
            <w:tcW w:w="9390"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Amended Articles of Incorporation dated May 19, 1999 as filed as Exhibit 2.1 to the Registration Statement filed on Form 10-SB on September 3, 1999 and incorporated herein by reference.</w:t>
            </w:r>
          </w:p>
        </w:tc>
      </w:tr>
      <w:tr>
        <w:trPr/>
        <w:tc>
          <w:tcPr>
            <w:tcW w:w="71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3.3</w:t>
            </w:r>
          </w:p>
        </w:tc>
        <w:tc>
          <w:tcPr>
            <w:tcW w:w="102" w:type="dxa"/>
            <w:tcBorders/>
            <w:shd w:fill="auto" w:val="clear"/>
            <w:tcMar>
              <w:bottom w:w="0" w:type="dxa"/>
            </w:tcMar>
          </w:tcPr>
          <w:p>
            <w:pPr>
              <w:pStyle w:val="TableContents"/>
              <w:spacing w:before="0" w:after="283"/>
              <w:jc w:val="left"/>
              <w:rPr/>
            </w:pPr>
            <w:r>
              <w:rPr/>
              <w:t xml:space="preserve">  </w:t>
            </w:r>
          </w:p>
        </w:tc>
        <w:tc>
          <w:tcPr>
            <w:tcW w:w="9390"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Bylaws of the company dated May 10, 2004 as filed as Exhibit 3.1 to the company's Quarterly Report on Form 10-QSB as filed on May 20, 2004 and incorporated herein by reference.</w:t>
            </w:r>
          </w:p>
        </w:tc>
      </w:tr>
      <w:tr>
        <w:trPr/>
        <w:tc>
          <w:tcPr>
            <w:tcW w:w="71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4.1</w:t>
            </w:r>
          </w:p>
        </w:tc>
        <w:tc>
          <w:tcPr>
            <w:tcW w:w="102" w:type="dxa"/>
            <w:tcBorders/>
            <w:shd w:fill="auto" w:val="clear"/>
            <w:tcMar>
              <w:bottom w:w="0" w:type="dxa"/>
            </w:tcMar>
          </w:tcPr>
          <w:p>
            <w:pPr>
              <w:pStyle w:val="TableContents"/>
              <w:spacing w:before="0" w:after="283"/>
              <w:jc w:val="left"/>
              <w:rPr/>
            </w:pPr>
            <w:r>
              <w:rPr/>
              <w:t xml:space="preserve">  </w:t>
            </w:r>
          </w:p>
        </w:tc>
        <w:tc>
          <w:tcPr>
            <w:tcW w:w="9390"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Securities Purchase Agreement, dated May 17, 2010, as filed as Exhibit 10.1 to our Current Report on Form 8-K as filed on May 18, 2010 and incorporated herein by reference.</w:t>
            </w:r>
          </w:p>
        </w:tc>
      </w:tr>
      <w:tr>
        <w:trPr/>
        <w:tc>
          <w:tcPr>
            <w:tcW w:w="71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4.2</w:t>
            </w:r>
          </w:p>
        </w:tc>
        <w:tc>
          <w:tcPr>
            <w:tcW w:w="102" w:type="dxa"/>
            <w:tcBorders/>
            <w:shd w:fill="auto" w:val="clear"/>
            <w:tcMar>
              <w:bottom w:w="0" w:type="dxa"/>
            </w:tcMar>
          </w:tcPr>
          <w:p>
            <w:pPr>
              <w:pStyle w:val="TableContents"/>
              <w:spacing w:before="0" w:after="283"/>
              <w:jc w:val="left"/>
              <w:rPr/>
            </w:pPr>
            <w:r>
              <w:rPr/>
              <w:t xml:space="preserve">  </w:t>
            </w:r>
          </w:p>
        </w:tc>
        <w:tc>
          <w:tcPr>
            <w:tcW w:w="9390"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Registration Rights Agreement, dated May 24, 2010, as filed as Exhibit 10.4 to our Current Report on Form 8-K as filed on May 18, 2010 and incorporated herein by reference.</w:t>
            </w:r>
          </w:p>
        </w:tc>
      </w:tr>
      <w:tr>
        <w:trPr/>
        <w:tc>
          <w:tcPr>
            <w:tcW w:w="71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4.3</w:t>
            </w:r>
          </w:p>
        </w:tc>
        <w:tc>
          <w:tcPr>
            <w:tcW w:w="102" w:type="dxa"/>
            <w:tcBorders/>
            <w:shd w:fill="auto" w:val="clear"/>
            <w:tcMar>
              <w:bottom w:w="0" w:type="dxa"/>
            </w:tcMar>
          </w:tcPr>
          <w:p>
            <w:pPr>
              <w:pStyle w:val="TableContents"/>
              <w:spacing w:before="0" w:after="283"/>
              <w:jc w:val="left"/>
              <w:rPr/>
            </w:pPr>
            <w:r>
              <w:rPr/>
              <w:t xml:space="preserve">  </w:t>
            </w:r>
          </w:p>
        </w:tc>
        <w:tc>
          <w:tcPr>
            <w:tcW w:w="9390"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Security Agreement, dated May 24, 2010, as filed as Exhibit 10.3 to our Current Report on Form 8-K as filed on May 18, 2010 and incorporated herein by reference.</w:t>
            </w:r>
          </w:p>
        </w:tc>
      </w:tr>
      <w:tr>
        <w:trPr/>
        <w:tc>
          <w:tcPr>
            <w:tcW w:w="71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4.4</w:t>
            </w:r>
          </w:p>
        </w:tc>
        <w:tc>
          <w:tcPr>
            <w:tcW w:w="102" w:type="dxa"/>
            <w:tcBorders/>
            <w:shd w:fill="auto" w:val="clear"/>
            <w:tcMar>
              <w:bottom w:w="0" w:type="dxa"/>
            </w:tcMar>
          </w:tcPr>
          <w:p>
            <w:pPr>
              <w:pStyle w:val="TableContents"/>
              <w:spacing w:before="0" w:after="283"/>
              <w:jc w:val="left"/>
              <w:rPr/>
            </w:pPr>
            <w:r>
              <w:rPr/>
              <w:t xml:space="preserve">  </w:t>
            </w:r>
          </w:p>
        </w:tc>
        <w:tc>
          <w:tcPr>
            <w:tcW w:w="9390"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Senior Secured Convertible Note, as filed as Exhibit 10.2 to our Current Report on Form 8-K as filed on May 18, 2010 and incorporated herein by reference.</w:t>
            </w:r>
          </w:p>
        </w:tc>
      </w:tr>
      <w:tr>
        <w:trPr/>
        <w:tc>
          <w:tcPr>
            <w:tcW w:w="71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4.5</w:t>
            </w:r>
          </w:p>
        </w:tc>
        <w:tc>
          <w:tcPr>
            <w:tcW w:w="102" w:type="dxa"/>
            <w:tcBorders/>
            <w:shd w:fill="auto" w:val="clear"/>
            <w:tcMar>
              <w:bottom w:w="0" w:type="dxa"/>
            </w:tcMar>
          </w:tcPr>
          <w:p>
            <w:pPr>
              <w:pStyle w:val="TableContents"/>
              <w:spacing w:before="0" w:after="283"/>
              <w:jc w:val="left"/>
              <w:rPr/>
            </w:pPr>
            <w:r>
              <w:rPr/>
              <w:t xml:space="preserve">  </w:t>
            </w:r>
          </w:p>
        </w:tc>
        <w:tc>
          <w:tcPr>
            <w:tcW w:w="9390"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Series A Warrants, as filed as Exhibit 10.5 to our Current Report on Form 8-K as filed on May 18, 2010 and incorporated herein by reference.</w:t>
            </w:r>
          </w:p>
        </w:tc>
      </w:tr>
      <w:tr>
        <w:trPr/>
        <w:tc>
          <w:tcPr>
            <w:tcW w:w="71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4.6</w:t>
            </w:r>
          </w:p>
        </w:tc>
        <w:tc>
          <w:tcPr>
            <w:tcW w:w="102" w:type="dxa"/>
            <w:tcBorders/>
            <w:shd w:fill="auto" w:val="clear"/>
            <w:tcMar>
              <w:bottom w:w="0" w:type="dxa"/>
            </w:tcMar>
          </w:tcPr>
          <w:p>
            <w:pPr>
              <w:pStyle w:val="TableContents"/>
              <w:spacing w:before="0" w:after="283"/>
              <w:jc w:val="left"/>
              <w:rPr/>
            </w:pPr>
            <w:r>
              <w:rPr/>
              <w:t xml:space="preserve">  </w:t>
            </w:r>
          </w:p>
        </w:tc>
        <w:tc>
          <w:tcPr>
            <w:tcW w:w="9390"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Series B Warrants, as filed as Exhibit 10.6 to our Current Report on Form 8-K as filed on May 18, 2010 and incorporated herein by reference.</w:t>
            </w:r>
          </w:p>
        </w:tc>
      </w:tr>
      <w:tr>
        <w:trPr/>
        <w:tc>
          <w:tcPr>
            <w:tcW w:w="71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4.7</w:t>
            </w:r>
          </w:p>
        </w:tc>
        <w:tc>
          <w:tcPr>
            <w:tcW w:w="102" w:type="dxa"/>
            <w:tcBorders/>
            <w:shd w:fill="auto" w:val="clear"/>
            <w:tcMar>
              <w:bottom w:w="0" w:type="dxa"/>
            </w:tcMar>
          </w:tcPr>
          <w:p>
            <w:pPr>
              <w:pStyle w:val="TableContents"/>
              <w:spacing w:before="0" w:after="283"/>
              <w:jc w:val="left"/>
              <w:rPr/>
            </w:pPr>
            <w:r>
              <w:rPr/>
              <w:t xml:space="preserve">  </w:t>
            </w:r>
          </w:p>
        </w:tc>
        <w:tc>
          <w:tcPr>
            <w:tcW w:w="9390"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Series C Warrants, as filed as Exhibit 10.7 to our Current Report on Form 8-K as filed on May 18, 2010 and incorporated herein by reference.</w:t>
            </w:r>
          </w:p>
        </w:tc>
      </w:tr>
      <w:tr>
        <w:trPr/>
        <w:tc>
          <w:tcPr>
            <w:tcW w:w="71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4.8</w:t>
            </w:r>
          </w:p>
        </w:tc>
        <w:tc>
          <w:tcPr>
            <w:tcW w:w="102" w:type="dxa"/>
            <w:tcBorders/>
            <w:shd w:fill="auto" w:val="clear"/>
            <w:tcMar>
              <w:bottom w:w="0" w:type="dxa"/>
            </w:tcMar>
          </w:tcPr>
          <w:p>
            <w:pPr>
              <w:pStyle w:val="TableContents"/>
              <w:spacing w:before="0" w:after="283"/>
              <w:rPr/>
            </w:pPr>
            <w:r>
              <w:rPr/>
              <w:t xml:space="preserve">  </w:t>
            </w:r>
          </w:p>
        </w:tc>
        <w:tc>
          <w:tcPr>
            <w:tcW w:w="9390"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Securities Purchase Agreement, dated February 24, 2011, as filed as Exhibit 10.1 to our Current Report on Form 8-K as filed on March 2, 2011 and incorporated herein by reference.</w:t>
            </w:r>
          </w:p>
        </w:tc>
      </w:tr>
      <w:tr>
        <w:trPr/>
        <w:tc>
          <w:tcPr>
            <w:tcW w:w="71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4.9</w:t>
            </w:r>
          </w:p>
        </w:tc>
        <w:tc>
          <w:tcPr>
            <w:tcW w:w="102" w:type="dxa"/>
            <w:tcBorders/>
            <w:shd w:fill="auto" w:val="clear"/>
            <w:tcMar>
              <w:bottom w:w="0" w:type="dxa"/>
            </w:tcMar>
          </w:tcPr>
          <w:p>
            <w:pPr>
              <w:pStyle w:val="TableContents"/>
              <w:spacing w:before="0" w:after="283"/>
              <w:rPr/>
            </w:pPr>
            <w:r>
              <w:rPr/>
              <w:t xml:space="preserve">  </w:t>
            </w:r>
          </w:p>
        </w:tc>
        <w:tc>
          <w:tcPr>
            <w:tcW w:w="9390"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Convertible Note, as filed as Exhibit 10.2 to our Current Report on Form 8-K as filed on March 2, 2011 and incorporated herein by reference.</w:t>
            </w:r>
          </w:p>
        </w:tc>
      </w:tr>
      <w:tr>
        <w:trPr/>
        <w:tc>
          <w:tcPr>
            <w:tcW w:w="71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4.10</w:t>
            </w:r>
          </w:p>
        </w:tc>
        <w:tc>
          <w:tcPr>
            <w:tcW w:w="102" w:type="dxa"/>
            <w:tcBorders/>
            <w:shd w:fill="auto" w:val="clear"/>
            <w:tcMar>
              <w:bottom w:w="0" w:type="dxa"/>
            </w:tcMar>
          </w:tcPr>
          <w:p>
            <w:pPr>
              <w:pStyle w:val="TableContents"/>
              <w:spacing w:before="0" w:after="283"/>
              <w:rPr/>
            </w:pPr>
            <w:r>
              <w:rPr/>
              <w:t xml:space="preserve">  </w:t>
            </w:r>
          </w:p>
        </w:tc>
        <w:tc>
          <w:tcPr>
            <w:tcW w:w="9390"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Security Agreement, dated February 24, 2011, as filed as Exhibit 10.3 to our Current Report on Form 8-K as filed on March 2, 2011 and incorporated herein by reference.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1" w:name="PGBRK60"/>
      <w:bookmarkStart w:id="682" w:name="PGBRK60"/>
      <w:bookmarkEnd w:id="6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3" w:name="FTR60"/>
      <w:bookmarkStart w:id="684" w:name="FTR60"/>
      <w:bookmarkEnd w:id="6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85" w:name="GLFTR60"/>
      <w:bookmarkEnd w:id="6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86" w:name="PN60"/>
      <w:bookmarkEnd w:id="686"/>
      <w:r>
        <w:rPr>
          <w:rFonts w:ascii="Times New Roman" w:hAnsi="Times New Roman"/>
          <w:sz w:val="20"/>
        </w:rPr>
        <w:t>55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7" w:name="HDR60"/>
      <w:bookmarkStart w:id="688" w:name="HDR60"/>
      <w:bookmarkEnd w:id="6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9" w:name="GLHDR60"/>
      <w:bookmarkEnd w:id="6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20"/>
        <w:gridCol w:w="9485"/>
      </w:tblGrid>
      <w:tr>
        <w:trPr/>
        <w:tc>
          <w:tcPr>
            <w:tcW w:w="7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4.11</w:t>
            </w:r>
          </w:p>
        </w:tc>
        <w:tc>
          <w:tcPr>
            <w:tcW w:w="94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Form of Warrant, as filed as Exhibit 10.4 to our Current Report on Form 8-K as filed on March 2, 2011 and incorporated herein by reference.</w:t>
            </w:r>
          </w:p>
        </w:tc>
      </w:tr>
      <w:tr>
        <w:trPr/>
        <w:tc>
          <w:tcPr>
            <w:tcW w:w="7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4.12</w:t>
            </w:r>
          </w:p>
        </w:tc>
        <w:tc>
          <w:tcPr>
            <w:tcW w:w="94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Form of Convertible Note in connection with the sale of same on April 12, 2011 filed as an Exhibit to the company's Annual Report on Form 10-K as filed on April 18, 2011 and incorporated by reference herein.</w:t>
            </w:r>
          </w:p>
        </w:tc>
      </w:tr>
      <w:tr>
        <w:trPr/>
        <w:tc>
          <w:tcPr>
            <w:tcW w:w="7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4.13</w:t>
            </w:r>
          </w:p>
        </w:tc>
        <w:tc>
          <w:tcPr>
            <w:tcW w:w="94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Security Agreement, dated April 12, 2011 filed as an Exhibit to the company's Annual Report on Form 10-K as filed on April 18, 2011 and incorporated by reference herein.</w:t>
            </w:r>
          </w:p>
        </w:tc>
      </w:tr>
      <w:tr>
        <w:trPr/>
        <w:tc>
          <w:tcPr>
            <w:tcW w:w="7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4.14</w:t>
            </w:r>
          </w:p>
        </w:tc>
        <w:tc>
          <w:tcPr>
            <w:tcW w:w="94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Form of Securities Purchase Agreement in connection with the sale of Units on April 14, 2011 filed as an Exhibit to the company's Annual Report on Form 10-K as filed on April 18, 2011 and incorporated by reference herein.</w:t>
            </w:r>
          </w:p>
        </w:tc>
      </w:tr>
      <w:tr>
        <w:trPr/>
        <w:tc>
          <w:tcPr>
            <w:tcW w:w="7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4.15</w:t>
            </w:r>
          </w:p>
        </w:tc>
        <w:tc>
          <w:tcPr>
            <w:tcW w:w="94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Form of Warrant in connection with Securities Purchase Agreement dated April 14, 2011 filed as an Exhibit to the company's Annual Report on Form 10-K as filed on April 18, 2011 and incorporated by reference herein.</w:t>
            </w:r>
          </w:p>
        </w:tc>
      </w:tr>
      <w:tr>
        <w:trPr/>
        <w:tc>
          <w:tcPr>
            <w:tcW w:w="7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4.16</w:t>
            </w:r>
          </w:p>
        </w:tc>
        <w:tc>
          <w:tcPr>
            <w:tcW w:w="94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Form of Warrants issued in November 2009 private placements</w:t>
            </w:r>
          </w:p>
        </w:tc>
      </w:tr>
      <w:tr>
        <w:trPr/>
        <w:tc>
          <w:tcPr>
            <w:tcW w:w="7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10.1</w:t>
            </w:r>
          </w:p>
        </w:tc>
        <w:tc>
          <w:tcPr>
            <w:tcW w:w="94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Executive Services Agreement with Denis Corin as filed as Exhibit 10.1 to our Quarterly Report on Form 10-QSB as filed on November 14, 2007 and incorporated herein by reference.</w:t>
            </w:r>
          </w:p>
        </w:tc>
      </w:tr>
      <w:tr>
        <w:trPr/>
        <w:tc>
          <w:tcPr>
            <w:tcW w:w="7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10.2</w:t>
            </w:r>
          </w:p>
        </w:tc>
        <w:tc>
          <w:tcPr>
            <w:tcW w:w="94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Amended Executive Services Agreement with Denis Corin as filed as Exhibit 10.2 to our Quarterly Report on Form 10-QSB as filed on November 14, 2007 and incorporated herein by reference.</w:t>
            </w:r>
          </w:p>
        </w:tc>
      </w:tr>
      <w:tr>
        <w:trPr/>
        <w:tc>
          <w:tcPr>
            <w:tcW w:w="7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10.3</w:t>
            </w:r>
          </w:p>
        </w:tc>
        <w:tc>
          <w:tcPr>
            <w:tcW w:w="94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License Agreement made March 6, 2000 between GeneMax Pharmaceuticals, UBC and Dr. Jefferies as filed as an Exhibit to our Annual Report on Form 10-KSB for the year ended December 31, 2004 as filed on April 15, 2005 and incorporated by reference herein.</w:t>
            </w:r>
          </w:p>
        </w:tc>
      </w:tr>
      <w:tr>
        <w:trPr/>
        <w:tc>
          <w:tcPr>
            <w:tcW w:w="7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10.4</w:t>
            </w:r>
          </w:p>
        </w:tc>
        <w:tc>
          <w:tcPr>
            <w:tcW w:w="94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Collaborative Research Agreement made September 1, 2000 between GeneMax Pharmaceuticals, GeneMax Pharmaceuticals Inc. and UBC as filed as an Exhibit to our Annual Report on Form 10-KSB for the year ended December 31, 2004 as filed on April 15, 2005 and incorporated by reference herein.</w:t>
            </w:r>
          </w:p>
        </w:tc>
      </w:tr>
      <w:tr>
        <w:trPr/>
        <w:tc>
          <w:tcPr>
            <w:tcW w:w="7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10.5</w:t>
            </w:r>
          </w:p>
        </w:tc>
        <w:tc>
          <w:tcPr>
            <w:tcW w:w="94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Production Services Agreement made March 18, 2003 between the company and Molecular Medicine as filed as an Exhibit to our Annual Report on Form 10-KSB for the year ended December 31, 2004 as filed on April 15, 2005 and incorporated by reference herein.</w:t>
            </w:r>
          </w:p>
        </w:tc>
      </w:tr>
      <w:tr>
        <w:trPr/>
        <w:tc>
          <w:tcPr>
            <w:tcW w:w="7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10.6</w:t>
            </w:r>
          </w:p>
        </w:tc>
        <w:tc>
          <w:tcPr>
            <w:tcW w:w="94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Biological Materials Transfer Agreement made October 21, 2003 between the company and National Institutes of Health as filed as an Exhibit to our Annual Report on Form 10-KSB for the year ended December 31, 2004 as filed on April 15, 2005 and incorporated by reference herein.</w:t>
            </w:r>
          </w:p>
        </w:tc>
      </w:tr>
      <w:tr>
        <w:trPr/>
        <w:tc>
          <w:tcPr>
            <w:tcW w:w="7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10.7</w:t>
            </w:r>
          </w:p>
        </w:tc>
        <w:tc>
          <w:tcPr>
            <w:tcW w:w="94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Option and Settlement Agreement made January 23, 2006 between GeneMax Pharmaceuticals, GeneMax Pharmaceuticals Inc., UBC and Dr. Jefferies as filed as an Exhibit to the company's Current Report on Form 8-K as filed on January 24, 2006 and incorporated by reference herein.</w:t>
            </w:r>
          </w:p>
        </w:tc>
      </w:tr>
      <w:tr>
        <w:trPr/>
        <w:tc>
          <w:tcPr>
            <w:tcW w:w="7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10.8</w:t>
            </w:r>
          </w:p>
        </w:tc>
        <w:tc>
          <w:tcPr>
            <w:tcW w:w="94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2009 Stock Incentive Plan as filed as Exhibit B to our Information Statement filed on Definitive Schedule 14-C on January 29, 2010 and incorporated herein by reference.</w:t>
            </w:r>
          </w:p>
        </w:tc>
      </w:tr>
      <w:tr>
        <w:trPr/>
        <w:tc>
          <w:tcPr>
            <w:tcW w:w="7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10.9</w:t>
            </w:r>
          </w:p>
        </w:tc>
        <w:tc>
          <w:tcPr>
            <w:tcW w:w="94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Technology Option Agreement, dated June 1, 2010, between TapImmune Inc. and Mayo Foundation for Education and Research as filed as an Exhibit to the company's Current Report on Form 8-K as filed on June 4, 2010 and incorporated by reference herein.</w:t>
            </w:r>
          </w:p>
        </w:tc>
      </w:tr>
      <w:tr>
        <w:trPr/>
        <w:tc>
          <w:tcPr>
            <w:tcW w:w="7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10.10</w:t>
            </w:r>
          </w:p>
        </w:tc>
        <w:tc>
          <w:tcPr>
            <w:tcW w:w="94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Employment Agreement between Dr. Glynn Wilson and the Company dated March 16, 2011 filed as an Exhibit to the company's Annual Report on Form 10-K as filed on April 18, 2011 and incorporated by reference herein.</w:t>
            </w:r>
          </w:p>
        </w:tc>
      </w:tr>
    </w:tbl>
    <w:tbl>
      <w:tblPr>
        <w:tblW w:w="5000" w:type="pct"/>
        <w:jc w:val="left"/>
        <w:tblInd w:w="0" w:type="dxa"/>
        <w:tblCellMar>
          <w:top w:w="0" w:type="dxa"/>
          <w:left w:w="0" w:type="dxa"/>
          <w:bottom w:w="0" w:type="dxa"/>
          <w:right w:w="0" w:type="dxa"/>
        </w:tblCellMar>
      </w:tblPr>
      <w:tblGrid>
        <w:gridCol w:w="721"/>
        <w:gridCol w:w="9484"/>
      </w:tblGrid>
      <w:tr>
        <w:trPr/>
        <w:tc>
          <w:tcPr>
            <w:tcW w:w="7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21.1</w:t>
            </w:r>
          </w:p>
        </w:tc>
        <w:tc>
          <w:tcPr>
            <w:tcW w:w="94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Subsidiaries of TapImmune Inc. filed as an Exhibit to the company's Annual Report on Form 10-K as filed on April 18, 2011 and incorporated by reference herein.</w:t>
            </w:r>
          </w:p>
        </w:tc>
      </w:tr>
    </w:tbl>
    <w:tbl>
      <w:tblPr>
        <w:tblW w:w="5000" w:type="pct"/>
        <w:jc w:val="left"/>
        <w:tblInd w:w="0" w:type="dxa"/>
        <w:tblCellMar>
          <w:top w:w="0" w:type="dxa"/>
          <w:left w:w="0" w:type="dxa"/>
          <w:bottom w:w="0" w:type="dxa"/>
          <w:right w:w="0" w:type="dxa"/>
        </w:tblCellMar>
      </w:tblPr>
      <w:tblGrid>
        <w:gridCol w:w="721"/>
        <w:gridCol w:w="9484"/>
      </w:tblGrid>
      <w:tr>
        <w:trPr/>
        <w:tc>
          <w:tcPr>
            <w:tcW w:w="7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31.1</w:t>
            </w:r>
          </w:p>
        </w:tc>
        <w:tc>
          <w:tcPr>
            <w:tcW w:w="94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Principal Executive Officer pursuant to Securities Exchange Act of 1934 Rule 13a-14(a) or 15d-14(a).*</w:t>
            </w:r>
          </w:p>
        </w:tc>
      </w:tr>
    </w:tbl>
    <w:tbl>
      <w:tblPr>
        <w:tblW w:w="5000" w:type="pct"/>
        <w:jc w:val="left"/>
        <w:tblInd w:w="0" w:type="dxa"/>
        <w:tblCellMar>
          <w:top w:w="0" w:type="dxa"/>
          <w:left w:w="0" w:type="dxa"/>
          <w:bottom w:w="0" w:type="dxa"/>
          <w:right w:w="0" w:type="dxa"/>
        </w:tblCellMar>
      </w:tblPr>
      <w:tblGrid>
        <w:gridCol w:w="721"/>
        <w:gridCol w:w="9484"/>
      </w:tblGrid>
      <w:tr>
        <w:trPr/>
        <w:tc>
          <w:tcPr>
            <w:tcW w:w="7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31.2</w:t>
            </w:r>
          </w:p>
        </w:tc>
        <w:tc>
          <w:tcPr>
            <w:tcW w:w="94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Acting Principal Accounting Officer pursuant to Securities Exchange Act of 1934 Rule 13a-14(a) or 15d-14(a).*</w:t>
            </w:r>
          </w:p>
        </w:tc>
      </w:tr>
    </w:tbl>
    <w:tbl>
      <w:tblPr>
        <w:tblW w:w="5000" w:type="pct"/>
        <w:jc w:val="left"/>
        <w:tblInd w:w="0" w:type="dxa"/>
        <w:tblCellMar>
          <w:top w:w="0" w:type="dxa"/>
          <w:left w:w="0" w:type="dxa"/>
          <w:bottom w:w="0" w:type="dxa"/>
          <w:right w:w="0" w:type="dxa"/>
        </w:tblCellMar>
      </w:tblPr>
      <w:tblGrid>
        <w:gridCol w:w="721"/>
        <w:gridCol w:w="9484"/>
      </w:tblGrid>
      <w:tr>
        <w:trPr/>
        <w:tc>
          <w:tcPr>
            <w:tcW w:w="7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32.1</w:t>
            </w:r>
          </w:p>
        </w:tc>
        <w:tc>
          <w:tcPr>
            <w:tcW w:w="94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Principal Executive Officer pursuant to 18 U.S.C. Section 1350.*</w:t>
            </w:r>
          </w:p>
        </w:tc>
      </w:tr>
    </w:tbl>
    <w:tbl>
      <w:tblPr>
        <w:tblW w:w="5000" w:type="pct"/>
        <w:jc w:val="left"/>
        <w:tblInd w:w="0" w:type="dxa"/>
        <w:tblCellMar>
          <w:top w:w="0" w:type="dxa"/>
          <w:left w:w="0" w:type="dxa"/>
          <w:bottom w:w="0" w:type="dxa"/>
          <w:right w:w="0" w:type="dxa"/>
        </w:tblCellMar>
      </w:tblPr>
      <w:tblGrid>
        <w:gridCol w:w="721"/>
        <w:gridCol w:w="9484"/>
      </w:tblGrid>
      <w:tr>
        <w:trPr/>
        <w:tc>
          <w:tcPr>
            <w:tcW w:w="7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32.2</w:t>
            </w:r>
          </w:p>
        </w:tc>
        <w:tc>
          <w:tcPr>
            <w:tcW w:w="94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Acting Principal Accounting Officer pursuant to 18 U.S.C. Section 1350*</w:t>
            </w:r>
          </w:p>
        </w:tc>
      </w:tr>
    </w:tbl>
    <w:p>
      <w:pPr>
        <w:pStyle w:val="TextBody"/>
        <w:spacing w:before="0" w:after="0"/>
        <w:rPr>
          <w:rFonts w:ascii="Times New Roman" w:hAnsi="Times New Roman"/>
          <w:sz w:val="20"/>
        </w:rPr>
      </w:pPr>
      <w:r>
        <w:rPr>
          <w:rFonts w:ascii="Times New Roman" w:hAnsi="Times New Roman"/>
          <w:sz w:val="20"/>
        </w:rPr>
        <w:t>*Filed herewith</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0" w:name="PGBRK61"/>
      <w:bookmarkStart w:id="691" w:name="PGBRK61"/>
      <w:bookmarkEnd w:id="6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2" w:name="FTR61"/>
      <w:bookmarkStart w:id="693" w:name="FTR61"/>
      <w:bookmarkEnd w:id="6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94" w:name="GLFTR61"/>
      <w:bookmarkEnd w:id="6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95" w:name="PN61"/>
      <w:bookmarkEnd w:id="695"/>
      <w:r>
        <w:rPr>
          <w:rFonts w:ascii="Times New Roman" w:hAnsi="Times New Roman"/>
          <w:sz w:val="20"/>
        </w:rPr>
        <w:t>56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6" w:name="HDR61"/>
      <w:bookmarkStart w:id="697" w:name="HDR61"/>
      <w:bookmarkEnd w:id="6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98" w:name="GLHDR61"/>
      <w:bookmarkEnd w:id="6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Section 13 and 15 (d) of the Securities Exchange Act of 1934, the registrant has duly caused this report to be signed on its behalf by the undersigned, thereunto duly authorized.</w:t>
      </w:r>
    </w:p>
    <w:p>
      <w:pPr>
        <w:pStyle w:val="TextBody"/>
        <w:spacing w:before="0" w:after="0"/>
        <w:ind w:left="0" w:right="0" w:hanging="0"/>
        <w:jc w:val="both"/>
        <w:rPr/>
      </w:pPr>
      <w:r>
        <w:rPr/>
        <w:t> </w:t>
      </w:r>
    </w:p>
    <w:p>
      <w:pPr>
        <w:pStyle w:val="TextBody"/>
        <w:spacing w:before="0" w:after="0"/>
        <w:ind w:left="3600" w:right="0" w:hanging="0"/>
        <w:jc w:val="both"/>
        <w:rPr>
          <w:rFonts w:ascii="Times New Roman" w:hAnsi="Times New Roman"/>
          <w:b/>
          <w:sz w:val="20"/>
        </w:rPr>
      </w:pPr>
      <w:r>
        <w:rPr>
          <w:rFonts w:ascii="Times New Roman" w:hAnsi="Times New Roman"/>
          <w:b/>
          <w:sz w:val="20"/>
        </w:rPr>
        <w:t>TAPIMMUNE INC.</w:t>
      </w:r>
    </w:p>
    <w:p>
      <w:pPr>
        <w:pStyle w:val="TextBody"/>
        <w:spacing w:before="0" w:after="0"/>
        <w:ind w:left="0" w:right="0" w:hanging="0"/>
        <w:jc w:val="both"/>
        <w:rPr/>
      </w:pPr>
      <w:r>
        <w:rPr/>
        <w:t> </w:t>
      </w:r>
    </w:p>
    <w:p>
      <w:pPr>
        <w:pStyle w:val="TextBody"/>
        <w:spacing w:before="0" w:after="0"/>
        <w:ind w:left="360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/s/ Glynn Wilson</w:t>
      </w:r>
    </w:p>
    <w:p>
      <w:pPr>
        <w:pStyle w:val="TextBody"/>
        <w:spacing w:before="0" w:after="0"/>
        <w:ind w:left="0" w:right="0" w:hanging="0"/>
        <w:jc w:val="both"/>
        <w:rPr/>
      </w:pPr>
      <w:r>
        <w:rPr/>
        <w:t> </w:t>
      </w:r>
    </w:p>
    <w:p>
      <w:pPr>
        <w:pStyle w:val="TextBody"/>
        <w:spacing w:before="0" w:after="0"/>
        <w:ind w:left="4320" w:right="0" w:hanging="0"/>
        <w:jc w:val="left"/>
        <w:rPr>
          <w:rFonts w:ascii="Times New Roman" w:hAnsi="Times New Roman"/>
          <w:sz w:val="20"/>
        </w:rPr>
      </w:pPr>
      <w:bookmarkStart w:id="699" w:name="TAB14"/>
      <w:bookmarkEnd w:id="699"/>
      <w:r>
        <w:rPr>
          <w:rFonts w:ascii="Times New Roman" w:hAnsi="Times New Roman"/>
          <w:sz w:val="20"/>
        </w:rPr>
        <w:t>Glynn Wilson</w:t>
      </w:r>
    </w:p>
    <w:p>
      <w:pPr>
        <w:pStyle w:val="TextBody"/>
        <w:spacing w:before="0" w:after="0"/>
        <w:ind w:left="0" w:right="0" w:hanging="0"/>
        <w:jc w:val="both"/>
        <w:rPr/>
      </w:pPr>
      <w:r>
        <w:rPr/>
        <w:t> </w:t>
      </w:r>
    </w:p>
    <w:p>
      <w:pPr>
        <w:pStyle w:val="TextBody"/>
        <w:spacing w:before="0" w:after="0"/>
        <w:ind w:left="4320" w:right="0" w:hanging="0"/>
        <w:jc w:val="left"/>
        <w:rPr>
          <w:rFonts w:ascii="Times New Roman" w:hAnsi="Times New Roman"/>
          <w:sz w:val="20"/>
        </w:rPr>
      </w:pPr>
      <w:bookmarkStart w:id="700" w:name="TAB15"/>
      <w:bookmarkEnd w:id="700"/>
      <w:r>
        <w:rPr>
          <w:rFonts w:ascii="Times New Roman" w:hAnsi="Times New Roman"/>
          <w:sz w:val="20"/>
        </w:rPr>
        <w:t>Chairman, and  Principal Executive Officer</w:t>
      </w:r>
    </w:p>
    <w:p>
      <w:pPr>
        <w:pStyle w:val="TextBody"/>
        <w:spacing w:before="0" w:after="0"/>
        <w:ind w:left="3600" w:right="0" w:hanging="0"/>
        <w:jc w:val="left"/>
        <w:rPr/>
      </w:pPr>
      <w:bookmarkStart w:id="701" w:name="TAB211"/>
      <w:bookmarkEnd w:id="701"/>
      <w:r>
        <w:rPr>
          <w:spacing w:val="180"/>
        </w:rPr>
        <w:t>   </w:t>
      </w:r>
      <w:bookmarkStart w:id="702" w:name="TAB210"/>
      <w:bookmarkEnd w:id="702"/>
      <w:r>
        <w:rPr>
          <w:spacing w:val="180"/>
        </w:rPr>
        <w:t> </w:t>
      </w:r>
    </w:p>
    <w:p>
      <w:pPr>
        <w:pStyle w:val="TextBody"/>
        <w:spacing w:before="0" w:after="0"/>
        <w:ind w:left="4320" w:right="0" w:hanging="0"/>
        <w:jc w:val="left"/>
        <w:rPr/>
      </w:pPr>
      <w:r>
        <w:rPr/>
        <w:t xml:space="preserve">Date: </w:t>
      </w:r>
      <w:r>
        <w:rPr>
          <w:rFonts w:ascii="times new roman" w:hAnsi="times new roman"/>
          <w:color w:val="0000FF"/>
          <w:sz w:val="20"/>
          <w:highlight w:val="white"/>
          <w:u w:val="single"/>
          <w:bdr w:val="double" w:sz="2" w:space="1" w:color="000000"/>
        </w:rPr>
        <w:t>October 13, 2011</w:t>
      </w:r>
    </w:p>
    <w:p>
      <w:pPr>
        <w:pStyle w:val="TextBody"/>
        <w:spacing w:before="0" w:after="0"/>
        <w:ind w:left="0" w:right="0" w:hanging="0"/>
        <w:jc w:val="both"/>
        <w:rPr/>
      </w:pPr>
      <w:r>
        <w:rPr/>
        <w:t> </w:t>
      </w:r>
    </w:p>
    <w:p>
      <w:pPr>
        <w:pStyle w:val="TextBody"/>
        <w:spacing w:before="0" w:after="0"/>
        <w:ind w:left="360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/s/ Denis Corin</w:t>
      </w:r>
    </w:p>
    <w:p>
      <w:pPr>
        <w:pStyle w:val="TextBody"/>
        <w:spacing w:before="0" w:after="0"/>
        <w:ind w:left="0" w:right="0" w:hanging="0"/>
        <w:jc w:val="both"/>
        <w:rPr/>
      </w:pPr>
      <w:r>
        <w:rPr/>
        <w:t> </w:t>
      </w:r>
    </w:p>
    <w:p>
      <w:pPr>
        <w:pStyle w:val="TextBody"/>
        <w:spacing w:before="0" w:after="0"/>
        <w:ind w:left="4320" w:right="0" w:hanging="0"/>
        <w:jc w:val="left"/>
        <w:rPr>
          <w:rFonts w:ascii="Times New Roman" w:hAnsi="Times New Roman"/>
          <w:sz w:val="20"/>
        </w:rPr>
      </w:pPr>
      <w:bookmarkStart w:id="703" w:name="TAB16"/>
      <w:bookmarkEnd w:id="703"/>
      <w:r>
        <w:rPr>
          <w:rFonts w:ascii="Times New Roman" w:hAnsi="Times New Roman"/>
          <w:sz w:val="20"/>
        </w:rPr>
        <w:t>Denis Corin</w:t>
      </w:r>
    </w:p>
    <w:p>
      <w:pPr>
        <w:pStyle w:val="TextBody"/>
        <w:spacing w:before="0" w:after="0"/>
        <w:ind w:left="0" w:right="0" w:hanging="0"/>
        <w:jc w:val="both"/>
        <w:rPr/>
      </w:pPr>
      <w:r>
        <w:rPr/>
        <w:t> </w:t>
      </w:r>
    </w:p>
    <w:p>
      <w:pPr>
        <w:pStyle w:val="TextBody"/>
        <w:spacing w:before="0" w:after="0"/>
        <w:ind w:left="4320" w:right="0" w:hanging="0"/>
        <w:jc w:val="left"/>
        <w:rPr>
          <w:rFonts w:ascii="Times New Roman" w:hAnsi="Times New Roman"/>
          <w:sz w:val="20"/>
        </w:rPr>
      </w:pPr>
      <w:bookmarkStart w:id="704" w:name="TAB17"/>
      <w:bookmarkEnd w:id="704"/>
      <w:r>
        <w:rPr>
          <w:rFonts w:ascii="Times New Roman" w:hAnsi="Times New Roman"/>
          <w:sz w:val="20"/>
        </w:rPr>
        <w:t>Chief Financial Officer, Acting Principal Accounting Officer</w:t>
      </w:r>
    </w:p>
    <w:p>
      <w:pPr>
        <w:pStyle w:val="TextBody"/>
        <w:spacing w:before="0" w:after="0"/>
        <w:ind w:left="4320" w:right="0" w:hanging="0"/>
        <w:jc w:val="left"/>
        <w:rPr>
          <w:rFonts w:ascii="Times New Roman" w:hAnsi="Times New Roman"/>
          <w:sz w:val="20"/>
        </w:rPr>
      </w:pPr>
      <w:bookmarkStart w:id="705" w:name="TAB18"/>
      <w:bookmarkEnd w:id="705"/>
      <w:r>
        <w:rPr>
          <w:rFonts w:ascii="Times New Roman" w:hAnsi="Times New Roman"/>
          <w:sz w:val="20"/>
        </w:rPr>
        <w:t>and a director</w:t>
      </w:r>
    </w:p>
    <w:p>
      <w:pPr>
        <w:pStyle w:val="TextBody"/>
        <w:spacing w:before="0" w:after="0"/>
        <w:ind w:left="4320" w:right="0" w:hanging="0"/>
        <w:jc w:val="left"/>
        <w:rPr/>
      </w:pPr>
      <w:bookmarkStart w:id="706" w:name="TAB19"/>
      <w:bookmarkEnd w:id="706"/>
      <w:r>
        <w:rPr>
          <w:rFonts w:ascii="Times New Roman" w:hAnsi="Times New Roman"/>
          <w:sz w:val="20"/>
        </w:rPr>
        <w:t>Date: </w:t>
      </w:r>
      <w:r>
        <w:rPr>
          <w:rFonts w:ascii="Times New Roman" w:hAnsi="Times New Roman"/>
          <w:color w:val="0000FF"/>
          <w:sz w:val="20"/>
          <w:u w:val="single"/>
          <w:bdr w:val="double" w:sz="2" w:space="1" w:color="000000"/>
        </w:rPr>
        <w:t>October 13, 2011</w:t>
      </w:r>
      <w:r>
        <w:rPr>
          <w:u w:val="single"/>
          <w:bdr w:val="double" w:sz="2" w:space="1" w:color="000000"/>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br/>
        <w:t> </w:t>
      </w:r>
    </w:p>
    <w:p>
      <w:pPr>
        <w:pStyle w:val="HorizontalLine"/>
        <w:pBdr>
          <w:bottom w:val="single" w:sz="6" w:space="0" w:color="808080"/>
        </w:pBdr>
        <w:rPr/>
      </w:pPr>
      <w:r>
        <w:rPr/>
      </w:r>
    </w:p>
    <w:p>
      <w:pPr>
        <w:pStyle w:val="HorizontalLine"/>
        <w:pBdr>
          <w:bottom w:val="single" w:sz="24"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707" w:name="PGBRK62"/>
      <w:bookmarkStart w:id="708" w:name="PGBRK62"/>
      <w:bookmarkEnd w:id="7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09" w:name="FTR62"/>
      <w:bookmarkStart w:id="710" w:name="FTR62"/>
      <w:bookmarkEnd w:id="7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711" w:name="GLFTR62"/>
      <w:bookmarkEnd w:id="7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12" w:name="PN62"/>
      <w:bookmarkEnd w:id="712"/>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13" w:name="HDR62"/>
      <w:bookmarkStart w:id="714" w:name="HDR62"/>
      <w:bookmarkEnd w:id="7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715" w:name="GLHDR62"/>
      <w:bookmarkEnd w:id="7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right"/>
        <w:rPr>
          <w:rFonts w:ascii="Times New Roman" w:hAnsi="Times New Roman"/>
          <w:b/>
          <w:sz w:val="20"/>
        </w:rPr>
      </w:pPr>
      <w:r>
        <w:rPr>
          <w:rFonts w:ascii="Times New Roman" w:hAnsi="Times New Roman"/>
          <w:b/>
          <w:sz w:val="20"/>
        </w:rPr>
      </w:r>
    </w:p>
    <w:p>
      <w:pPr>
        <w:pStyle w:val="TextBody"/>
        <w:spacing w:before="0" w:after="0"/>
        <w:ind w:left="0" w:right="0" w:hanging="0"/>
        <w:jc w:val="both"/>
        <w:rPr/>
      </w:pPr>
      <w:r>
        <w:rPr/>
        <w:t> </w:t>
      </w:r>
    </w:p>
    <w:p>
      <w:pPr>
        <w:pStyle w:val="TextBody"/>
        <w:spacing w:before="0" w:after="0"/>
        <w:ind w:left="0" w:right="0" w:hanging="0"/>
        <w:jc w:val="right"/>
        <w:rPr>
          <w:rFonts w:ascii="Times New Roman" w:hAnsi="Times New Roman"/>
          <w:b/>
          <w:sz w:val="20"/>
        </w:rPr>
      </w:pPr>
      <w:r>
        <w:rPr>
          <w:rFonts w:ascii="Times New Roman" w:hAnsi="Times New Roman"/>
          <w:b/>
          <w:sz w:val="20"/>
        </w:rPr>
        <w:t>Exhibit 31.1</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SECTION 302 OF SARBANES-OXLEY ACT OF 2002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Glynn Wilson, certify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16" w:name="hangingindent62"/>
      <w:bookmarkStart w:id="717" w:name="hangingindent62"/>
      <w:bookmarkEnd w:id="717"/>
    </w:p>
    <w:tbl>
      <w:tblPr>
        <w:tblW w:w="5000" w:type="pct"/>
        <w:jc w:val="center"/>
        <w:tblInd w:w="0" w:type="dxa"/>
        <w:tblCellMar>
          <w:top w:w="0" w:type="dxa"/>
          <w:left w:w="0" w:type="dxa"/>
          <w:bottom w:w="0" w:type="dxa"/>
          <w:right w:w="0" w:type="dxa"/>
        </w:tblCellMar>
      </w:tblPr>
      <w:tblGrid>
        <w:gridCol w:w="292"/>
        <w:gridCol w:w="9913"/>
      </w:tblGrid>
      <w:tr>
        <w:trPr/>
        <w:tc>
          <w:tcPr>
            <w:tcW w:w="29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1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annual report on Form 10-K</w:t>
            </w:r>
            <w:r>
              <w:rPr>
                <w:rFonts w:ascii="Times New Roman" w:hAnsi="Times New Roman"/>
                <w:color w:val="0000FF"/>
                <w:sz w:val="20"/>
                <w:u w:val="single"/>
              </w:rPr>
              <w:t xml:space="preserve">/A </w:t>
            </w:r>
            <w:r>
              <w:rPr>
                <w:rFonts w:ascii="Times New Roman" w:hAnsi="Times New Roman"/>
                <w:sz w:val="20"/>
              </w:rPr>
              <w:t>of TapImmune Inc.;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18" w:name="hangingindent63"/>
      <w:bookmarkStart w:id="719" w:name="hangingindent63"/>
      <w:bookmarkEnd w:id="719"/>
    </w:p>
    <w:tbl>
      <w:tblPr>
        <w:tblW w:w="5000" w:type="pct"/>
        <w:jc w:val="center"/>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20" w:name="hangingindent64"/>
      <w:bookmarkStart w:id="721" w:name="hangingindent64"/>
      <w:bookmarkEnd w:id="721"/>
    </w:p>
    <w:tbl>
      <w:tblPr>
        <w:tblW w:w="5000" w:type="pct"/>
        <w:jc w:val="center"/>
        <w:tblInd w:w="0" w:type="dxa"/>
        <w:tblCellMar>
          <w:top w:w="0" w:type="dxa"/>
          <w:left w:w="0" w:type="dxa"/>
          <w:bottom w:w="0" w:type="dxa"/>
          <w:right w:w="0" w:type="dxa"/>
        </w:tblCellMar>
      </w:tblPr>
      <w:tblGrid>
        <w:gridCol w:w="143"/>
        <w:gridCol w:w="10062"/>
      </w:tblGrid>
      <w:tr>
        <w:trPr/>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6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22" w:name="hangingindent65"/>
      <w:bookmarkStart w:id="723" w:name="hangingindent65"/>
      <w:bookmarkEnd w:id="723"/>
    </w:p>
    <w:tbl>
      <w:tblPr>
        <w:tblW w:w="5000" w:type="pct"/>
        <w:jc w:val="center"/>
        <w:tblInd w:w="0" w:type="dxa"/>
        <w:tblCellMar>
          <w:top w:w="0" w:type="dxa"/>
          <w:left w:w="0" w:type="dxa"/>
          <w:bottom w:w="0" w:type="dxa"/>
          <w:right w:w="0" w:type="dxa"/>
        </w:tblCellMar>
      </w:tblPr>
      <w:tblGrid>
        <w:gridCol w:w="140"/>
        <w:gridCol w:w="10065"/>
      </w:tblGrid>
      <w:tr>
        <w:trPr/>
        <w:tc>
          <w:tcPr>
            <w:tcW w:w="14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24" w:name="hangingindent66"/>
      <w:bookmarkStart w:id="725" w:name="hangingindent66"/>
      <w:bookmarkEnd w:id="725"/>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26" w:name="hangingindent67"/>
      <w:bookmarkStart w:id="727" w:name="hangingindent67"/>
      <w:bookmarkEnd w:id="727"/>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28" w:name="hangingindent68"/>
      <w:bookmarkStart w:id="729" w:name="hangingindent68"/>
      <w:bookmarkEnd w:id="729"/>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30" w:name="hangingindent69"/>
      <w:bookmarkStart w:id="731" w:name="hangingindent69"/>
      <w:bookmarkEnd w:id="731"/>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32" w:name="hangingindent70"/>
      <w:bookmarkStart w:id="733" w:name="hangingindent70"/>
      <w:bookmarkEnd w:id="733"/>
    </w:p>
    <w:tbl>
      <w:tblPr>
        <w:tblW w:w="5000" w:type="pct"/>
        <w:jc w:val="center"/>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1006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34" w:name="hangingindent71"/>
      <w:bookmarkStart w:id="735" w:name="hangingindent71"/>
      <w:bookmarkEnd w:id="735"/>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36" w:name="hangingindent72"/>
      <w:bookmarkStart w:id="737" w:name="hangingindent72"/>
      <w:bookmarkEnd w:id="737"/>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Date:  </w:t>
      </w:r>
      <w:r>
        <w:rPr>
          <w:rFonts w:ascii="Times New Roman" w:hAnsi="Times New Roman"/>
          <w:color w:val="0000FF"/>
          <w:sz w:val="20"/>
          <w:u w:val="single"/>
          <w:bdr w:val="double" w:sz="2" w:space="1" w:color="000000"/>
        </w:rPr>
        <w:t>October 13, 2011</w:t>
      </w:r>
    </w:p>
    <w:p>
      <w:pPr>
        <w:pStyle w:val="TextBody"/>
        <w:spacing w:before="0" w:after="0"/>
        <w:ind w:left="0" w:right="0" w:hanging="0"/>
        <w:jc w:val="left"/>
        <w:rPr>
          <w:rFonts w:ascii="Times New Roman" w:hAnsi="Times New Roman"/>
          <w:sz w:val="20"/>
        </w:rPr>
      </w:pPr>
      <w:r>
        <w:rPr>
          <w:rFonts w:ascii="Times New Roman" w:hAnsi="Times New Roman"/>
          <w:sz w:val="20"/>
        </w:rPr>
        <w:t>By:      </w:t>
      </w:r>
      <w:r>
        <w:rPr>
          <w:rFonts w:ascii="times new roman" w:hAnsi="times new roman"/>
          <w:color w:val="0000FF"/>
          <w:sz w:val="20"/>
          <w:u w:val="single"/>
          <w:bdr w:val="double" w:sz="2" w:space="1" w:color="000000"/>
        </w:rPr>
        <w:t>/s/ Glynn Wilson</w:t>
      </w:r>
    </w:p>
    <w:p>
      <w:pPr>
        <w:pStyle w:val="TextBody"/>
        <w:spacing w:before="0" w:after="0"/>
        <w:ind w:left="540" w:right="0" w:hanging="0"/>
        <w:jc w:val="left"/>
        <w:rPr>
          <w:rFonts w:ascii="Times New Roman" w:hAnsi="Times New Roman"/>
          <w:sz w:val="20"/>
        </w:rPr>
      </w:pPr>
      <w:bookmarkStart w:id="738" w:name="TAB110"/>
      <w:bookmarkEnd w:id="738"/>
      <w:r>
        <w:rPr>
          <w:rFonts w:ascii="Times New Roman" w:hAnsi="Times New Roman"/>
          <w:sz w:val="20"/>
        </w:rPr>
        <w:t>Glynn Wilson</w:t>
      </w:r>
    </w:p>
    <w:p>
      <w:pPr>
        <w:pStyle w:val="TextBody"/>
        <w:spacing w:before="0" w:after="0"/>
        <w:ind w:left="0" w:right="0" w:hanging="0"/>
        <w:jc w:val="left"/>
        <w:rPr/>
      </w:pPr>
      <w:bookmarkStart w:id="739" w:name="TAB212"/>
      <w:bookmarkEnd w:id="739"/>
      <w:r>
        <w:rPr>
          <w:spacing w:val="180"/>
        </w:rPr>
        <w:t>   </w:t>
      </w:r>
      <w:r>
        <w:rPr/>
        <w:t> </w:t>
      </w:r>
      <w:r>
        <w:rPr>
          <w:rFonts w:ascii="Times New Roman" w:hAnsi="Times New Roman"/>
          <w:sz w:val="20"/>
        </w:rPr>
        <w:t>Chairman and</w:t>
      </w:r>
      <w:r>
        <w:rPr/>
        <w:t> </w:t>
      </w:r>
      <w:r>
        <w:rPr>
          <w:rFonts w:ascii="Times New Roman" w:hAnsi="Times New Roman"/>
          <w:sz w:val="20"/>
        </w:rPr>
        <w:t>Principal Executive Officer</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40" w:name="PGBRK63"/>
      <w:bookmarkStart w:id="741" w:name="PGBRK63"/>
      <w:bookmarkEnd w:id="7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2" w:name="FTR63"/>
      <w:bookmarkStart w:id="743" w:name="FTR63"/>
      <w:bookmarkEnd w:id="7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44" w:name="GLFTR63"/>
      <w:bookmarkEnd w:id="7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45" w:name="PN63"/>
      <w:bookmarkEnd w:id="745"/>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6" w:name="HDR63"/>
      <w:bookmarkStart w:id="747" w:name="HDR63"/>
      <w:bookmarkEnd w:id="7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48" w:name="GLHDR63"/>
      <w:bookmarkEnd w:id="7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w:t>
      </w:r>
    </w:p>
    <w:p>
      <w:pPr>
        <w:pStyle w:val="HorizontalLine"/>
        <w:pBdr>
          <w:bottom w:val="single" w:sz="24" w:space="0" w:color="808080"/>
        </w:pBdr>
        <w:jc w:val="right"/>
        <w:rPr/>
      </w:pPr>
      <w:r>
        <w:rPr/>
      </w:r>
    </w:p>
    <w:p>
      <w:pPr>
        <w:pStyle w:val="HorizontalLine"/>
        <w:pBdr>
          <w:bottom w:val="single" w:sz="6" w:space="0" w:color="808080"/>
        </w:pBdr>
        <w:jc w:val="right"/>
        <w:rPr/>
      </w:pPr>
      <w:r>
        <w:rPr/>
      </w:r>
    </w:p>
    <w:p>
      <w:pPr>
        <w:pStyle w:val="TextBody"/>
        <w:spacing w:before="0" w:after="0"/>
        <w:jc w:val="right"/>
        <w:rPr>
          <w:rFonts w:ascii="Times New Roman" w:hAnsi="Times New Roman"/>
          <w:b/>
          <w:sz w:val="20"/>
        </w:rPr>
      </w:pPr>
      <w:r>
        <w:rPr>
          <w:rFonts w:ascii="Times New Roman" w:hAnsi="Times New Roman"/>
          <w:b/>
          <w:sz w:val="20"/>
        </w:rPr>
        <w:t>Exhibit 31.2</w:t>
      </w:r>
    </w:p>
    <w:p>
      <w:pPr>
        <w:pStyle w:val="TextBody"/>
        <w:spacing w:before="0" w:after="0"/>
        <w:jc w:val="righ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SECTION 302 OF SARBANES-OXLEY ACT OF 2002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Denis Corin, certify that:</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49" w:name="hangingindent73"/>
      <w:bookmarkStart w:id="750" w:name="hangingindent73"/>
      <w:bookmarkEnd w:id="750"/>
    </w:p>
    <w:tbl>
      <w:tblPr>
        <w:tblW w:w="5000" w:type="pct"/>
        <w:jc w:val="center"/>
        <w:tblInd w:w="0" w:type="dxa"/>
        <w:tblCellMar>
          <w:top w:w="0" w:type="dxa"/>
          <w:left w:w="0" w:type="dxa"/>
          <w:bottom w:w="0" w:type="dxa"/>
          <w:right w:w="0" w:type="dxa"/>
        </w:tblCellMar>
      </w:tblPr>
      <w:tblGrid>
        <w:gridCol w:w="292"/>
        <w:gridCol w:w="9913"/>
      </w:tblGrid>
      <w:tr>
        <w:trPr/>
        <w:tc>
          <w:tcPr>
            <w:tcW w:w="29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1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annual report on Form 10-K</w:t>
            </w:r>
            <w:r>
              <w:rPr>
                <w:rFonts w:ascii="Times New Roman" w:hAnsi="Times New Roman"/>
                <w:color w:val="0000FF"/>
                <w:sz w:val="20"/>
                <w:u w:val="single"/>
              </w:rPr>
              <w:t>/A</w:t>
            </w:r>
            <w:r>
              <w:rPr>
                <w:rFonts w:ascii="Times New Roman" w:hAnsi="Times New Roman"/>
                <w:sz w:val="20"/>
              </w:rPr>
              <w:t xml:space="preserve"> of TapImmune Inc.;</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51" w:name="hangingindent74"/>
      <w:bookmarkStart w:id="752" w:name="hangingindent74"/>
      <w:bookmarkEnd w:id="752"/>
    </w:p>
    <w:tbl>
      <w:tblPr>
        <w:tblW w:w="5000" w:type="pct"/>
        <w:jc w:val="center"/>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53" w:name="hangingindent75"/>
      <w:bookmarkStart w:id="754" w:name="hangingindent75"/>
      <w:bookmarkEnd w:id="754"/>
    </w:p>
    <w:tbl>
      <w:tblPr>
        <w:tblW w:w="5000" w:type="pct"/>
        <w:jc w:val="center"/>
        <w:tblInd w:w="0" w:type="dxa"/>
        <w:tblCellMar>
          <w:top w:w="0" w:type="dxa"/>
          <w:left w:w="0" w:type="dxa"/>
          <w:bottom w:w="0" w:type="dxa"/>
          <w:right w:w="0" w:type="dxa"/>
        </w:tblCellMar>
      </w:tblPr>
      <w:tblGrid>
        <w:gridCol w:w="143"/>
        <w:gridCol w:w="10062"/>
      </w:tblGrid>
      <w:tr>
        <w:trPr/>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6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55" w:name="hangingindent76"/>
      <w:bookmarkStart w:id="756" w:name="hangingindent76"/>
      <w:bookmarkEnd w:id="756"/>
    </w:p>
    <w:tbl>
      <w:tblPr>
        <w:tblW w:w="5000" w:type="pct"/>
        <w:jc w:val="center"/>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57" w:name="hangingindent77"/>
      <w:bookmarkStart w:id="758" w:name="hangingindent77"/>
      <w:bookmarkEnd w:id="758"/>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59" w:name="hangingindent78"/>
      <w:bookmarkStart w:id="760" w:name="hangingindent78"/>
      <w:bookmarkEnd w:id="760"/>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61" w:name="hangingindent79"/>
      <w:bookmarkStart w:id="762" w:name="hangingindent79"/>
      <w:bookmarkEnd w:id="762"/>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63" w:name="hangingindent80"/>
      <w:bookmarkStart w:id="764" w:name="hangingindent80"/>
      <w:bookmarkEnd w:id="764"/>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65" w:name="hangingindent81"/>
      <w:bookmarkStart w:id="766" w:name="hangingindent81"/>
      <w:bookmarkEnd w:id="766"/>
    </w:p>
    <w:tbl>
      <w:tblPr>
        <w:tblW w:w="5000" w:type="pct"/>
        <w:jc w:val="center"/>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1006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67" w:name="hangingindent82"/>
      <w:bookmarkStart w:id="768" w:name="hangingindent82"/>
      <w:bookmarkEnd w:id="768"/>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769" w:name="hangingindent83"/>
      <w:bookmarkStart w:id="770" w:name="hangingindent83"/>
      <w:bookmarkEnd w:id="770"/>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Date: </w:t>
      </w:r>
      <w:r>
        <w:rPr>
          <w:rFonts w:ascii="Times New Roman" w:hAnsi="Times New Roman"/>
          <w:color w:val="0000FF"/>
          <w:sz w:val="20"/>
          <w:u w:val="single"/>
          <w:bdr w:val="double" w:sz="2" w:space="1" w:color="000000"/>
        </w:rPr>
        <w:t>October 13, 2011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By:      </w:t>
      </w:r>
      <w:r>
        <w:rPr>
          <w:rFonts w:ascii="times new roman" w:hAnsi="times new roman"/>
          <w:color w:val="0000FF"/>
          <w:sz w:val="20"/>
          <w:u w:val="single"/>
          <w:bdr w:val="double" w:sz="2" w:space="1" w:color="000000"/>
        </w:rPr>
        <w:t>/s/ Denis Corin</w:t>
      </w:r>
    </w:p>
    <w:p>
      <w:pPr>
        <w:pStyle w:val="TextBody"/>
        <w:spacing w:before="0" w:after="0"/>
        <w:ind w:left="540" w:right="0" w:hanging="0"/>
        <w:jc w:val="both"/>
        <w:rPr>
          <w:rFonts w:ascii="Times New Roman" w:hAnsi="Times New Roman"/>
          <w:sz w:val="20"/>
        </w:rPr>
      </w:pPr>
      <w:bookmarkStart w:id="771" w:name="TAB111"/>
      <w:bookmarkEnd w:id="771"/>
      <w:r>
        <w:rPr>
          <w:rFonts w:ascii="Times New Roman" w:hAnsi="Times New Roman"/>
          <w:sz w:val="20"/>
        </w:rPr>
        <w:t>Denis Corin</w:t>
      </w:r>
    </w:p>
    <w:p>
      <w:pPr>
        <w:pStyle w:val="TextBody"/>
        <w:spacing w:before="0" w:after="0"/>
        <w:ind w:left="0" w:right="0" w:hanging="0"/>
        <w:jc w:val="both"/>
        <w:rPr/>
      </w:pPr>
      <w:bookmarkStart w:id="772" w:name="TAB213"/>
      <w:bookmarkEnd w:id="772"/>
      <w:r>
        <w:rPr>
          <w:spacing w:val="180"/>
        </w:rPr>
        <w:t>   </w:t>
      </w:r>
      <w:r>
        <w:rPr/>
        <w:t> </w:t>
      </w:r>
      <w:r>
        <w:rPr>
          <w:rFonts w:ascii="Times New Roman" w:hAnsi="Times New Roman"/>
          <w:sz w:val="20"/>
        </w:rPr>
        <w:t>Chief Financial Officer, Acting Principal Accounting Officer and a director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HorizontalLine"/>
        <w:pBdr>
          <w:bottom w:val="single" w:sz="6" w:space="0" w:color="808080"/>
        </w:pBdr>
        <w:jc w:val="left"/>
        <w:rPr/>
      </w:pPr>
      <w:r>
        <w:rPr/>
      </w:r>
    </w:p>
    <w:p>
      <w:pPr>
        <w:pStyle w:val="HorizontalLine"/>
        <w:pBdr>
          <w:bottom w:val="single" w:sz="24" w:space="0" w:color="808080"/>
        </w:pBdr>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773" w:name="PGBRK64"/>
      <w:bookmarkStart w:id="774" w:name="PGBRK64"/>
      <w:bookmarkEnd w:id="7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75" w:name="FTR64"/>
      <w:bookmarkStart w:id="776" w:name="FTR64"/>
      <w:bookmarkEnd w:id="7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777" w:name="GLFTR64"/>
      <w:bookmarkEnd w:id="7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78" w:name="PN64"/>
      <w:bookmarkEnd w:id="778"/>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79" w:name="HDR64"/>
      <w:bookmarkStart w:id="780" w:name="HDR64"/>
      <w:bookmarkEnd w:id="7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781" w:name="GLHDR64"/>
      <w:bookmarkEnd w:id="7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right"/>
        <w:rPr>
          <w:rFonts w:ascii="Times New Roman" w:hAnsi="Times New Roman"/>
          <w:b/>
          <w:sz w:val="20"/>
        </w:rPr>
      </w:pPr>
      <w:r>
        <w:rPr>
          <w:rFonts w:ascii="Times New Roman" w:hAnsi="Times New Roman"/>
          <w:b/>
          <w:sz w:val="20"/>
        </w:rPr>
        <w:t>Exhibit 32.1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PRINCIPAL EXECUTIVE OFFICER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undersigned, Glynn Wilson, the Chief Executive Officer of TapImmune Inc. (the “Company”), hereby certifies, pursuant to 18 U.S.C. Section 1350, as adopted pursuant to Section 906 of the Sarbanes-Oxley Act of 2002, that, to his knowledge, the Annual Report on Form 10-K</w:t>
      </w:r>
      <w:r>
        <w:rPr>
          <w:rFonts w:ascii="Times New Roman" w:hAnsi="Times New Roman"/>
          <w:color w:val="0000FF"/>
          <w:sz w:val="20"/>
          <w:u w:val="single"/>
        </w:rPr>
        <w:t>/A</w:t>
      </w:r>
      <w:r>
        <w:rPr>
          <w:rFonts w:ascii="Times New Roman" w:hAnsi="Times New Roman"/>
          <w:sz w:val="20"/>
        </w:rPr>
        <w:t>  for the year ended December 31, 2010 fully complies with the requirements of Section 13(a) or 15(d) of the Securities Exchange Act of 1934, as amended, and that the information contained in the Annual Report on Form 10-K</w:t>
      </w:r>
      <w:r>
        <w:rPr>
          <w:rFonts w:ascii="Times New Roman" w:hAnsi="Times New Roman"/>
          <w:color w:val="0000FF"/>
          <w:sz w:val="20"/>
          <w:u w:val="single"/>
        </w:rPr>
        <w:t>/A</w:t>
      </w:r>
      <w:r>
        <w:rPr>
          <w:rFonts w:ascii="Times New Roman" w:hAnsi="Times New Roman"/>
          <w:sz w:val="20"/>
        </w:rPr>
        <w:t xml:space="preserve"> , as amended, fairly presents in all material respects the financial condition and results of operations of the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Date: </w:t>
      </w:r>
      <w:r>
        <w:rPr>
          <w:rFonts w:ascii="Times New Roman" w:hAnsi="Times New Roman"/>
          <w:color w:val="0000FF"/>
          <w:sz w:val="20"/>
          <w:u w:val="single"/>
          <w:bdr w:val="double" w:sz="2" w:space="1" w:color="000000"/>
        </w:rPr>
        <w:t>October 13, 2011</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color w:val="0000FF"/>
          <w:sz w:val="20"/>
          <w:u w:val="single"/>
          <w:bdr w:val="double" w:sz="2" w:space="1" w:color="000000"/>
        </w:rPr>
        <w:t>/s/ Glynn Wilson</w:t>
      </w:r>
    </w:p>
    <w:p>
      <w:pPr>
        <w:pStyle w:val="TextBody"/>
        <w:spacing w:before="0" w:after="0"/>
        <w:ind w:left="720" w:right="0" w:hanging="0"/>
        <w:jc w:val="left"/>
        <w:rPr>
          <w:rFonts w:ascii="Times New Roman" w:hAnsi="Times New Roman"/>
          <w:sz w:val="20"/>
        </w:rPr>
      </w:pPr>
      <w:bookmarkStart w:id="782" w:name="TAB112"/>
      <w:bookmarkEnd w:id="782"/>
      <w:r>
        <w:rPr>
          <w:rFonts w:ascii="Times New Roman" w:hAnsi="Times New Roman"/>
          <w:sz w:val="20"/>
        </w:rPr>
        <w:t>Glynn Wilson</w:t>
      </w:r>
    </w:p>
    <w:p>
      <w:pPr>
        <w:pStyle w:val="TextBody"/>
        <w:spacing w:before="0" w:after="0"/>
        <w:ind w:left="720" w:right="0" w:hanging="0"/>
        <w:jc w:val="left"/>
        <w:rPr>
          <w:rFonts w:ascii="Times New Roman" w:hAnsi="Times New Roman"/>
          <w:sz w:val="20"/>
        </w:rPr>
      </w:pPr>
      <w:bookmarkStart w:id="783" w:name="TAB113"/>
      <w:bookmarkEnd w:id="783"/>
      <w:r>
        <w:rPr>
          <w:rFonts w:ascii="Times New Roman" w:hAnsi="Times New Roman"/>
          <w:sz w:val="20"/>
        </w:rPr>
        <w:t>Chairman, Principal Executive Officer</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HorizontalLine"/>
        <w:pBdr>
          <w:bottom w:val="single" w:sz="6" w:space="0" w:color="808080"/>
        </w:pBdr>
        <w:rPr/>
      </w:pPr>
      <w:r>
        <w:rPr/>
      </w:r>
    </w:p>
    <w:p>
      <w:pPr>
        <w:pStyle w:val="HorizontalLine"/>
        <w:pBdr>
          <w:bottom w:val="single" w:sz="24"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784" w:name="PGBRK65"/>
      <w:bookmarkStart w:id="785" w:name="PGBRK65"/>
      <w:bookmarkEnd w:id="7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86" w:name="FTR65"/>
      <w:bookmarkStart w:id="787" w:name="FTR65"/>
      <w:bookmarkEnd w:id="7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788" w:name="GLFTR65"/>
      <w:bookmarkEnd w:id="7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89" w:name="PN65"/>
      <w:bookmarkEnd w:id="789"/>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90" w:name="HDR65"/>
      <w:bookmarkStart w:id="791" w:name="HDR65"/>
      <w:bookmarkEnd w:id="7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792" w:name="GLHDR65"/>
      <w:bookmarkEnd w:id="7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right"/>
        <w:rPr>
          <w:rFonts w:ascii="Times New Roman" w:hAnsi="Times New Roman"/>
          <w:b/>
          <w:sz w:val="20"/>
        </w:rPr>
      </w:pPr>
      <w:r>
        <w:rPr>
          <w:rFonts w:ascii="Times New Roman" w:hAnsi="Times New Roman"/>
          <w:b/>
          <w:sz w:val="20"/>
        </w:rPr>
        <w:t>Exhibit 32.2</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ACTING PRINCIPAL ACCOUNTING OFFICER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undersigned, Denis Corin, the Acting Principal Accounting Officer of TapImmune Inc. (the “Company”), hereby certifies, pursuant to 18 U.S.C. Section 1350, as adopted pursuant to Section 906 of the Sarbanes-Oxley Act of 2002, that, to his knowledge, the Annual Report on Form 10-K</w:t>
      </w:r>
      <w:r>
        <w:rPr>
          <w:rFonts w:ascii="Times New Roman" w:hAnsi="Times New Roman"/>
          <w:color w:val="0000FF"/>
          <w:sz w:val="20"/>
          <w:u w:val="single"/>
        </w:rPr>
        <w:t>/A</w:t>
      </w:r>
      <w:r>
        <w:rPr>
          <w:rFonts w:ascii="Times New Roman" w:hAnsi="Times New Roman"/>
          <w:sz w:val="20"/>
        </w:rPr>
        <w:t xml:space="preserve"> for the year ended December 31, 2010 fully complies with the requirements of Section 13(a) or 15(d) of the Securities Exchange Act of 1934, as amended, and that the information contained in the Annual Report on Form 10-K</w:t>
      </w:r>
      <w:r>
        <w:rPr>
          <w:rFonts w:ascii="Times New Roman" w:hAnsi="Times New Roman"/>
          <w:color w:val="0000FF"/>
          <w:sz w:val="20"/>
          <w:u w:val="single"/>
        </w:rPr>
        <w:t>/A</w:t>
      </w:r>
      <w:r>
        <w:rPr>
          <w:rFonts w:ascii="Times New Roman" w:hAnsi="Times New Roman"/>
          <w:sz w:val="20"/>
        </w:rPr>
        <w:t>, as amended, fairly presents in all material respects the financial condition and results of operations of the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Date: </w:t>
      </w:r>
      <w:r>
        <w:rPr>
          <w:rFonts w:ascii="Times New Roman" w:hAnsi="Times New Roman"/>
          <w:color w:val="0000FF"/>
          <w:sz w:val="20"/>
          <w:u w:val="single"/>
          <w:bdr w:val="double" w:sz="2" w:space="1" w:color="000000"/>
        </w:rPr>
        <w:t>October 13, 2011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By:          </w:t>
      </w:r>
      <w:r>
        <w:rPr>
          <w:rFonts w:ascii="Times New Roman" w:hAnsi="Times New Roman"/>
          <w:sz w:val="20"/>
          <w:u w:val="single"/>
        </w:rPr>
        <w:t> </w:t>
      </w:r>
      <w:r>
        <w:rPr>
          <w:rFonts w:ascii="times new roman" w:hAnsi="times new roman"/>
          <w:color w:val="0000FF"/>
          <w:sz w:val="20"/>
          <w:u w:val="single"/>
          <w:bdr w:val="double" w:sz="2" w:space="1" w:color="000000"/>
        </w:rPr>
        <w:t>/s/ Denis Corin</w:t>
      </w:r>
    </w:p>
    <w:p>
      <w:pPr>
        <w:pStyle w:val="TextBody"/>
        <w:spacing w:before="0" w:after="0"/>
        <w:ind w:left="720" w:right="0" w:hanging="0"/>
        <w:jc w:val="both"/>
        <w:rPr>
          <w:rFonts w:ascii="Times New Roman" w:hAnsi="Times New Roman"/>
          <w:sz w:val="20"/>
        </w:rPr>
      </w:pPr>
      <w:bookmarkStart w:id="793" w:name="TAB114"/>
      <w:bookmarkEnd w:id="793"/>
      <w:r>
        <w:rPr>
          <w:rFonts w:ascii="Times New Roman" w:hAnsi="Times New Roman"/>
          <w:sz w:val="20"/>
        </w:rPr>
        <w:t>Denis Corin</w:t>
      </w:r>
    </w:p>
    <w:p>
      <w:pPr>
        <w:pStyle w:val="TextBody"/>
        <w:spacing w:before="0" w:after="0"/>
        <w:ind w:left="720" w:right="0" w:hanging="0"/>
        <w:jc w:val="left"/>
        <w:rPr>
          <w:rFonts w:ascii="Times New Roman" w:hAnsi="Times New Roman"/>
          <w:sz w:val="20"/>
        </w:rPr>
      </w:pPr>
      <w:bookmarkStart w:id="794" w:name="TAB115"/>
      <w:bookmarkEnd w:id="794"/>
      <w:r>
        <w:rPr>
          <w:rFonts w:ascii="Times New Roman" w:hAnsi="Times New Roman"/>
          <w:sz w:val="20"/>
        </w:rPr>
        <w:t>Chief Financial Officer, Acting Principal Accounting Officer and a director</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HorizontalLine"/>
        <w:pBdr>
          <w:bottom w:val="single" w:sz="6" w:space="0" w:color="808080"/>
        </w:pBdr>
        <w:rPr/>
      </w:pPr>
      <w:r>
        <w:rPr/>
      </w:r>
    </w:p>
    <w:p>
      <w:pPr>
        <w:pStyle w:val="HorizontalLine"/>
        <w:pBdr>
          <w:bottom w:val="single" w:sz="24"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795" w:name="PGBRK66"/>
      <w:bookmarkStart w:id="796" w:name="PGBRK66"/>
      <w:bookmarkEnd w:id="7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97" w:name="FTR66"/>
      <w:bookmarkStart w:id="798" w:name="FTR66"/>
      <w:bookmarkEnd w:id="7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799" w:name="GLFTR66"/>
      <w:bookmarkEnd w:id="7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00" w:name="PN66"/>
      <w:bookmarkEnd w:id="800"/>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801" w:name="HDR66"/>
      <w:bookmarkStart w:id="802" w:name="HDR66"/>
      <w:bookmarkEnd w:id="8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803" w:name="GLHDR66"/>
      <w:bookmarkEnd w:id="8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0" w:right="0" w:hanging="0"/>
        <w:rPr/>
      </w:pPr>
      <w:r>
        <w:rPr/>
      </w:r>
      <w:bookmarkStart w:id="804" w:name="PGBRK67"/>
      <w:bookmarkStart w:id="805" w:name="PGBRK67"/>
      <w:bookmarkEnd w:id="8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806" w:name="FTR67"/>
      <w:bookmarkStart w:id="807" w:name="FTR67"/>
      <w:bookmarkEnd w:id="8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808" w:name="GLFTR67"/>
      <w:bookmarkEnd w:id="8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b/>
        </w:rPr>
      </w:pPr>
      <w:r>
        <w:rPr>
          <w:b/>
        </w:rPr>
        <w:t>EXHIBIT B</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09" w:name="PGBRK68"/>
      <w:bookmarkStart w:id="810" w:name="PGBRK68"/>
      <w:bookmarkEnd w:id="8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1" w:name="FTR68"/>
      <w:bookmarkStart w:id="812" w:name="FTR68"/>
      <w:bookmarkEnd w:id="8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13" w:name="GLFTR68"/>
      <w:bookmarkEnd w:id="8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14" w:name="PN67"/>
      <w:bookmarkEnd w:id="81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5" w:name="HDR67"/>
      <w:bookmarkStart w:id="816" w:name="HDR67"/>
      <w:bookmarkEnd w:id="8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17" w:name="GLHDR67"/>
      <w:bookmarkEnd w:id="8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 SECURITIES AND EXCHANGE COMMISSION</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u w:val="single"/>
        </w:rPr>
      </w:pPr>
      <w:r>
        <w:rPr>
          <w:rFonts w:ascii="Times New Roman" w:hAnsi="Times New Roman"/>
          <w:b/>
          <w:sz w:val="24"/>
          <w:u w:val="single"/>
        </w:rPr>
        <w:t>FORM 10-Q/A</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(Amendment No. 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2;serif" w:hAnsi="Wingdings 2;serif"/>
          <w:b/>
          <w:sz w:val="20"/>
        </w:rPr>
        <w:t>S</w:t>
      </w:r>
      <w:r>
        <w:rPr>
          <w:rFonts w:ascii="Times New Roman" w:hAnsi="Times New Roman"/>
          <w:sz w:val="20"/>
        </w:rPr>
        <w:t xml:space="preserve">           Quarterly Report Under Section 13 or 15(d) of the Securities Exchange Act of 1934 for the quarterly period ended </w:t>
      </w:r>
      <w:r>
        <w:rPr>
          <w:rFonts w:ascii="Times New Roman" w:hAnsi="Times New Roman"/>
          <w:b/>
          <w:sz w:val="20"/>
          <w:u w:val="single"/>
        </w:rPr>
        <w:t>September 30, 2010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Transition Report Under Section 13 or 15(d) of the Securities Exchange Act of 1934 for the transition period from _____ to _____.</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Commission File Number: </w:t>
      </w:r>
      <w:r>
        <w:rPr>
          <w:rFonts w:ascii="Times New Roman" w:hAnsi="Times New Roman"/>
          <w:b/>
          <w:sz w:val="20"/>
          <w:u w:val="single"/>
        </w:rPr>
        <w:t>000-27239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u w:val="single"/>
        </w:rPr>
      </w:pPr>
      <w:r>
        <w:rPr>
          <w:rFonts w:ascii="Times New Roman" w:hAnsi="Times New Roman"/>
          <w:b/>
          <w:sz w:val="24"/>
          <w:u w:val="single"/>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(Name of registrant in its charter)</w:t>
      </w:r>
    </w:p>
    <w:tbl>
      <w:tblPr>
        <w:tblW w:w="5000" w:type="pct"/>
        <w:jc w:val="left"/>
        <w:tblInd w:w="0" w:type="dxa"/>
        <w:tblCellMar>
          <w:top w:w="0" w:type="dxa"/>
          <w:left w:w="0" w:type="dxa"/>
          <w:bottom w:w="28" w:type="dxa"/>
          <w:right w:w="0" w:type="dxa"/>
        </w:tblCellMar>
      </w:tblPr>
      <w:tblGrid>
        <w:gridCol w:w="4490"/>
        <w:gridCol w:w="1224"/>
        <w:gridCol w:w="4491"/>
      </w:tblGrid>
      <w:tr>
        <w:trPr/>
        <w:tc>
          <w:tcPr>
            <w:tcW w:w="4490"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NEVADA</w:t>
            </w:r>
          </w:p>
        </w:tc>
        <w:tc>
          <w:tcPr>
            <w:tcW w:w="1224" w:type="dxa"/>
            <w:tcBorders/>
            <w:shd w:fill="auto" w:val="clear"/>
            <w:tcMar>
              <w:bottom w:w="0" w:type="dxa"/>
            </w:tcMar>
          </w:tcPr>
          <w:p>
            <w:pPr>
              <w:pStyle w:val="TableContents"/>
              <w:spacing w:before="0" w:after="283"/>
              <w:rPr/>
            </w:pPr>
            <w:r>
              <w:rPr/>
              <w:t xml:space="preserve">  </w:t>
            </w:r>
          </w:p>
        </w:tc>
        <w:tc>
          <w:tcPr>
            <w:tcW w:w="4491"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88-0277072</w:t>
            </w:r>
          </w:p>
        </w:tc>
      </w:tr>
      <w:tr>
        <w:trPr/>
        <w:tc>
          <w:tcPr>
            <w:tcW w:w="4490"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1224" w:type="dxa"/>
            <w:tcBorders/>
            <w:shd w:fill="auto" w:val="clear"/>
            <w:tcMar>
              <w:bottom w:w="0" w:type="dxa"/>
            </w:tcMar>
          </w:tcPr>
          <w:p>
            <w:pPr>
              <w:pStyle w:val="TableContents"/>
              <w:spacing w:before="0" w:after="283"/>
              <w:rPr/>
            </w:pPr>
            <w:r>
              <w:rPr/>
              <w:t xml:space="preserve">  </w:t>
            </w:r>
          </w:p>
        </w:tc>
        <w:tc>
          <w:tcPr>
            <w:tcW w:w="449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r>
        <w:trPr/>
        <w:tc>
          <w:tcPr>
            <w:tcW w:w="4490" w:type="dxa"/>
            <w:tcBorders/>
            <w:shd w:fill="auto" w:val="clear"/>
            <w:tcMar>
              <w:bottom w:w="0" w:type="dxa"/>
            </w:tcMar>
          </w:tcPr>
          <w:p>
            <w:pPr>
              <w:pStyle w:val="TableContents"/>
              <w:spacing w:before="0" w:after="283"/>
              <w:rPr/>
            </w:pPr>
            <w:r>
              <w:rPr/>
              <w:t xml:space="preserve">  </w:t>
            </w:r>
          </w:p>
        </w:tc>
        <w:tc>
          <w:tcPr>
            <w:tcW w:w="1224" w:type="dxa"/>
            <w:tcBorders/>
            <w:shd w:fill="auto" w:val="clear"/>
            <w:tcMar>
              <w:bottom w:w="0" w:type="dxa"/>
            </w:tcMar>
          </w:tcPr>
          <w:p>
            <w:pPr>
              <w:pStyle w:val="TableContents"/>
              <w:spacing w:before="0" w:after="283"/>
              <w:rPr/>
            </w:pPr>
            <w:r>
              <w:rPr/>
              <w:t xml:space="preserve">  </w:t>
            </w:r>
          </w:p>
        </w:tc>
        <w:tc>
          <w:tcPr>
            <w:tcW w:w="4491" w:type="dxa"/>
            <w:tcBorders/>
            <w:shd w:fill="auto" w:val="clear"/>
            <w:tcMar>
              <w:bottom w:w="0" w:type="dxa"/>
            </w:tcMar>
          </w:tcPr>
          <w:p>
            <w:pPr>
              <w:pStyle w:val="TableContents"/>
              <w:spacing w:before="0" w:after="283"/>
              <w:rPr/>
            </w:pPr>
            <w:r>
              <w:rPr/>
              <w:t xml:space="preserve">  </w:t>
            </w:r>
          </w:p>
        </w:tc>
      </w:tr>
      <w:tr>
        <w:trPr/>
        <w:tc>
          <w:tcPr>
            <w:tcW w:w="4490"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2815 Eastlake Avenue East, Suite 300</w:t>
            </w:r>
          </w:p>
          <w:p>
            <w:pPr>
              <w:pStyle w:val="TableContents"/>
              <w:spacing w:before="0" w:after="0"/>
              <w:ind w:left="0" w:right="0" w:hanging="0"/>
              <w:jc w:val="center"/>
              <w:rPr>
                <w:rFonts w:ascii="times new roman" w:hAnsi="times new roman"/>
                <w:sz w:val="20"/>
              </w:rPr>
            </w:pPr>
            <w:r>
              <w:rPr>
                <w:rFonts w:ascii="times new roman" w:hAnsi="times new roman"/>
                <w:sz w:val="20"/>
              </w:rPr>
              <w:t>Seattle</w:t>
            </w:r>
          </w:p>
        </w:tc>
        <w:tc>
          <w:tcPr>
            <w:tcW w:w="1224" w:type="dxa"/>
            <w:tcBorders/>
            <w:shd w:fill="auto" w:val="clear"/>
            <w:tcMar>
              <w:bottom w:w="0" w:type="dxa"/>
            </w:tcMar>
          </w:tcPr>
          <w:p>
            <w:pPr>
              <w:pStyle w:val="TableContents"/>
              <w:spacing w:before="0" w:after="283"/>
              <w:rPr/>
            </w:pPr>
            <w:r>
              <w:rPr/>
              <w:t xml:space="preserve">  </w:t>
            </w:r>
          </w:p>
        </w:tc>
        <w:tc>
          <w:tcPr>
            <w:tcW w:w="4491" w:type="dxa"/>
            <w:tcBorders>
              <w:bottom w:val="single" w:sz="12"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z w:val="20"/>
              </w:rPr>
            </w:pPr>
            <w:r>
              <w:rPr>
                <w:rFonts w:ascii="times new roman" w:hAnsi="times new roman"/>
                <w:b/>
                <w:sz w:val="20"/>
              </w:rPr>
              <w:t>98102</w:t>
            </w:r>
          </w:p>
        </w:tc>
      </w:tr>
      <w:tr>
        <w:trPr/>
        <w:tc>
          <w:tcPr>
            <w:tcW w:w="4490"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1224" w:type="dxa"/>
            <w:tcBorders/>
            <w:shd w:fill="auto" w:val="clear"/>
            <w:tcMar>
              <w:bottom w:w="0" w:type="dxa"/>
            </w:tcMar>
          </w:tcPr>
          <w:p>
            <w:pPr>
              <w:pStyle w:val="TableContents"/>
              <w:spacing w:before="0" w:after="283"/>
              <w:rPr/>
            </w:pPr>
            <w:r>
              <w:rPr/>
              <w:t xml:space="preserve">  </w:t>
            </w:r>
          </w:p>
        </w:tc>
        <w:tc>
          <w:tcPr>
            <w:tcW w:w="449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r>
        <w:trPr/>
        <w:tc>
          <w:tcPr>
            <w:tcW w:w="4490" w:type="dxa"/>
            <w:tcBorders/>
            <w:shd w:fill="auto" w:val="clear"/>
            <w:tcMar>
              <w:bottom w:w="0" w:type="dxa"/>
            </w:tcMar>
          </w:tcPr>
          <w:p>
            <w:pPr>
              <w:pStyle w:val="TableContents"/>
              <w:spacing w:before="0" w:after="283"/>
              <w:rPr/>
            </w:pPr>
            <w:r>
              <w:rPr/>
              <w:t xml:space="preserve">  </w:t>
            </w:r>
          </w:p>
        </w:tc>
        <w:tc>
          <w:tcPr>
            <w:tcW w:w="1224" w:type="dxa"/>
            <w:tcBorders/>
            <w:shd w:fill="auto" w:val="clear"/>
            <w:tcMar>
              <w:bottom w:w="0" w:type="dxa"/>
            </w:tcMar>
          </w:tcPr>
          <w:p>
            <w:pPr>
              <w:pStyle w:val="TableContents"/>
              <w:spacing w:before="0" w:after="283"/>
              <w:rPr/>
            </w:pPr>
            <w:r>
              <w:rPr/>
              <w:t xml:space="preserve">  </w:t>
            </w:r>
          </w:p>
        </w:tc>
        <w:tc>
          <w:tcPr>
            <w:tcW w:w="4491" w:type="dxa"/>
            <w:tcBorders/>
            <w:shd w:fill="auto" w:val="clear"/>
            <w:tcMar>
              <w:bottom w:w="0" w:type="dxa"/>
            </w:tcMar>
          </w:tcPr>
          <w:p>
            <w:pPr>
              <w:pStyle w:val="TableContents"/>
              <w:spacing w:before="0" w:after="283"/>
              <w:rPr/>
            </w:pPr>
            <w:r>
              <w:rPr/>
              <w:t xml:space="preserve">  </w:t>
            </w:r>
          </w:p>
        </w:tc>
      </w:tr>
      <w:tr>
        <w:trPr/>
        <w:tc>
          <w:tcPr>
            <w:tcW w:w="4490" w:type="dxa"/>
            <w:tcBorders/>
            <w:shd w:fill="auto" w:val="clear"/>
            <w:tcMar>
              <w:bottom w:w="0" w:type="dxa"/>
            </w:tcMar>
          </w:tcPr>
          <w:p>
            <w:pPr>
              <w:pStyle w:val="TableContents"/>
              <w:spacing w:before="0" w:after="283"/>
              <w:rPr/>
            </w:pPr>
            <w:r>
              <w:rPr/>
              <w:t> </w:t>
            </w:r>
          </w:p>
        </w:tc>
        <w:tc>
          <w:tcPr>
            <w:tcW w:w="122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(206) 336-5560</w:t>
            </w:r>
          </w:p>
        </w:tc>
        <w:tc>
          <w:tcPr>
            <w:tcW w:w="4491" w:type="dxa"/>
            <w:tcBorders/>
            <w:shd w:fill="auto" w:val="clear"/>
            <w:tcMar>
              <w:bottom w:w="0" w:type="dxa"/>
            </w:tcMar>
          </w:tcPr>
          <w:p>
            <w:pPr>
              <w:pStyle w:val="TableContents"/>
              <w:spacing w:before="0" w:after="283"/>
              <w:rPr/>
            </w:pPr>
            <w:r>
              <w:rPr/>
              <w:t xml:space="preserve">  </w:t>
            </w:r>
          </w:p>
        </w:tc>
      </w:tr>
      <w:tr>
        <w:trPr/>
        <w:tc>
          <w:tcPr>
            <w:tcW w:w="4490" w:type="dxa"/>
            <w:tcBorders/>
            <w:shd w:fill="auto" w:val="clear"/>
            <w:tcMar>
              <w:bottom w:w="0" w:type="dxa"/>
            </w:tcMar>
          </w:tcPr>
          <w:p>
            <w:pPr>
              <w:pStyle w:val="TableContents"/>
              <w:spacing w:before="0" w:after="283"/>
              <w:rPr/>
            </w:pPr>
            <w:r>
              <w:rPr/>
              <w:t> </w:t>
            </w:r>
          </w:p>
        </w:tc>
        <w:tc>
          <w:tcPr>
            <w:tcW w:w="1224" w:type="dxa"/>
            <w:tcBorders/>
            <w:shd w:fill="auto"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(Issuer's telephone number)</w:t>
            </w:r>
          </w:p>
        </w:tc>
        <w:tc>
          <w:tcPr>
            <w:tcW w:w="4491" w:type="dxa"/>
            <w:tcBorders/>
            <w:shd w:fill="auto" w:val="clear"/>
            <w:tcMar>
              <w:bottom w:w="0" w:type="dxa"/>
            </w:tcMar>
          </w:tcPr>
          <w:p>
            <w:pPr>
              <w:pStyle w:val="TableContents"/>
              <w:spacing w:before="0" w:after="283"/>
              <w:rPr/>
            </w:pPr>
            <w:r>
              <w:rPr/>
              <w:t xml:space="preserve">  </w:t>
            </w:r>
          </w:p>
        </w:tc>
      </w:tr>
      <w:tr>
        <w:trPr/>
        <w:tc>
          <w:tcPr>
            <w:tcW w:w="4490" w:type="dxa"/>
            <w:tcBorders/>
            <w:shd w:fill="auto" w:val="clear"/>
            <w:tcMar>
              <w:bottom w:w="0" w:type="dxa"/>
            </w:tcMar>
          </w:tcPr>
          <w:p>
            <w:pPr>
              <w:pStyle w:val="TableContents"/>
              <w:spacing w:before="0" w:after="283"/>
              <w:rPr/>
            </w:pPr>
            <w:r>
              <w:rPr/>
              <w:t xml:space="preserve">  </w:t>
            </w:r>
          </w:p>
        </w:tc>
        <w:tc>
          <w:tcPr>
            <w:tcW w:w="1224" w:type="dxa"/>
            <w:tcBorders/>
            <w:shd w:fill="auto" w:val="clear"/>
            <w:tcMar>
              <w:bottom w:w="0" w:type="dxa"/>
            </w:tcMar>
          </w:tcPr>
          <w:p>
            <w:pPr>
              <w:pStyle w:val="TableContents"/>
              <w:spacing w:before="0" w:after="283"/>
              <w:rPr/>
            </w:pPr>
            <w:r>
              <w:rPr/>
              <w:t xml:space="preserve">  </w:t>
            </w:r>
          </w:p>
        </w:tc>
        <w:tc>
          <w:tcPr>
            <w:tcW w:w="4491" w:type="dxa"/>
            <w:tcBorders/>
            <w:shd w:fill="auto" w:val="clear"/>
            <w:tcMar>
              <w:bottom w:w="0" w:type="dxa"/>
            </w:tcMar>
          </w:tcPr>
          <w:p>
            <w:pPr>
              <w:pStyle w:val="TableContents"/>
              <w:spacing w:before="0" w:after="283"/>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Wingdings 2;serif" w:hAnsi="Wingdings 2;serif"/>
          <w:b/>
          <w:sz w:val="20"/>
        </w:rPr>
        <w:t>S</w:t>
      </w:r>
      <w:r>
        <w:rPr>
          <w:rFonts w:ascii="Times New Roman" w:hAnsi="Times New Roman"/>
          <w:sz w:val="20"/>
        </w:rPr>
        <w:t>   No  </w:t>
      </w:r>
      <w:r>
        <w:rPr>
          <w:rFonts w:ascii="Wingdings 2;serif" w:hAnsi="Wingdings 2;serif"/>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Large accelerated filer                                                                                     </w:t>
      </w:r>
      <w:r>
        <w:rPr>
          <w:rFonts w:ascii="Wingdings 2;serif" w:hAnsi="Wingdings 2;serif"/>
          <w:sz w:val="20"/>
        </w:rPr>
        <w:t>£</w:t>
      </w:r>
      <w:r>
        <w:rPr>
          <w:rFonts w:ascii="Times New Roman" w:hAnsi="Times New Roman"/>
          <w:sz w:val="20"/>
        </w:rPr>
        <w:t>  Accelerated filer</w:t>
      </w:r>
    </w:p>
    <w:p>
      <w:pPr>
        <w:pStyle w:val="TextBody"/>
        <w:spacing w:before="0" w:after="0"/>
        <w:ind w:left="0" w:right="0" w:hanging="0"/>
        <w:jc w:val="both"/>
        <w:rPr>
          <w:rFonts w:ascii="Times New Roman" w:hAnsi="Times New Roman"/>
          <w:sz w:val="20"/>
        </w:rPr>
      </w:pPr>
      <w:r>
        <w:rPr>
          <w:rFonts w:ascii="Wingdings 2;serif" w:hAnsi="Wingdings 2;serif"/>
          <w:sz w:val="20"/>
        </w:rPr>
        <w:t>£</w:t>
      </w:r>
      <w:r>
        <w:rPr>
          <w:rFonts w:ascii="Times New Roman" w:hAnsi="Times New Roman"/>
          <w:sz w:val="20"/>
        </w:rPr>
        <w:t>  Non-accelerated filer (Do not check                                                             </w:t>
      </w:r>
      <w:r>
        <w:rPr>
          <w:rFonts w:ascii="Wingdings 2;serif" w:hAnsi="Wingdings 2;serif"/>
          <w:b/>
          <w:sz w:val="20"/>
        </w:rPr>
        <w:t>S</w:t>
      </w:r>
      <w:r>
        <w:rPr>
          <w:rFonts w:ascii="Times New Roman" w:hAnsi="Times New Roman"/>
          <w:sz w:val="20"/>
        </w:rPr>
        <w:t>  Smaller reporting company</w:t>
      </w:r>
    </w:p>
    <w:p>
      <w:pPr>
        <w:pStyle w:val="TextBody"/>
        <w:spacing w:before="0" w:after="0"/>
        <w:ind w:left="0" w:right="0" w:hanging="0"/>
        <w:jc w:val="both"/>
        <w:rPr/>
      </w:pPr>
      <w:r>
        <w:rPr/>
        <w:t>      </w:t>
      </w:r>
      <w:r>
        <w:rPr>
          <w:rFonts w:ascii="Times New Roman" w:hAnsi="Times New Roman"/>
          <w:sz w:val="20"/>
        </w:rPr>
        <w:t>if smaller reporting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w:t>
      </w:r>
    </w:p>
    <w:p>
      <w:pPr>
        <w:pStyle w:val="TextBody"/>
        <w:spacing w:before="0" w:after="0"/>
        <w:ind w:left="0" w:right="0" w:hanging="0"/>
        <w:jc w:val="both"/>
        <w:rPr>
          <w:rFonts w:ascii="Times New Roman" w:hAnsi="Times New Roman"/>
          <w:sz w:val="20"/>
        </w:rPr>
      </w:pPr>
      <w:r>
        <w:rPr>
          <w:rFonts w:ascii="Times New Roman" w:hAnsi="Times New Roman"/>
          <w:sz w:val="20"/>
        </w:rPr>
        <w:t>Yes  </w:t>
      </w:r>
      <w:r>
        <w:rPr>
          <w:rFonts w:ascii="Wingdings 2;serif" w:hAnsi="Wingdings 2;serif"/>
          <w:sz w:val="20"/>
        </w:rPr>
        <w:t>£</w:t>
      </w:r>
      <w:r>
        <w:rPr>
          <w:rFonts w:ascii="Times New Roman" w:hAnsi="Times New Roman"/>
          <w:sz w:val="20"/>
        </w:rPr>
        <w:t>   No  </w:t>
      </w:r>
      <w:r>
        <w:rPr>
          <w:rFonts w:ascii="Wingdings 2;serif" w:hAnsi="Wingdings 2;serif"/>
          <w:b/>
          <w:sz w:val="20"/>
        </w:rPr>
        <w: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October 31, 2010, the Company had 40,256,026 shares of common stock issued and outstanding.</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18" w:name="PGBRK69"/>
      <w:bookmarkStart w:id="819" w:name="PGBRK69"/>
      <w:bookmarkEnd w:id="8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0" w:name="FTR69"/>
      <w:bookmarkStart w:id="821" w:name="FTR69"/>
      <w:bookmarkEnd w:id="8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22" w:name="GLFTR69"/>
      <w:bookmarkEnd w:id="8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23" w:name="PN68"/>
      <w:bookmarkEnd w:id="82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4" w:name="HDR68"/>
      <w:bookmarkStart w:id="825" w:name="HDR68"/>
      <w:bookmarkEnd w:id="8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26" w:name="GLHDR68"/>
      <w:bookmarkEnd w:id="8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EXPLANATORY NOTE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This Amendment No. 1 on Form 10-Q/A (the “Form 10-Q/A”) to the Quarterly Report on Form 10-Q for TapImmune Inc. (“we” or the “Company”) for the quarterly period ended September 30, 2010, initially filed with the Securities and Exchange Commission (the “SEC”) on November 22, 2010 (the “Original Filing”), is being filed to report restated Stockholders’ deficit and Accumulated paid-in capital relating to revaluation and reclassification of accounting for debt settlement transactions in fiscal year ended December 2009 and recognition of derivative liabilities relating to embedded warrants in the convertible notes in the current period. The restatement of the Company’s accounting for the debt settlement transactions and recognition of derivative liabilities arose in connection with comments received from the staff of the SEC in its review of the Company’s periodic SEC filings.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a result, and as previously disclosed in filings made with the SEC, on April 6, 2011, the Board of Directors of the Company, determined that the Company’s previously issued consolidated unaudited financial statements and reports filed with the SEC for the quarterly period ended September 30, 2010 should not be relied upon. For a more detailed description of the effects of the restatement, see further discussion in Note 1A, “Restatement of Consolidated Financial Statements” to our consolidated financial statements included in Part I, Item 1 of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the convenience of the reader, this Form 10-Q/A sets forth the Original Filings in their entirety. However, this Form 10-Q/A only amends and restates Items 1 and 2 of Part I of the Original Filing, in each case, solely as a result of, and to reflect, the restatement and comments of the SEC, and no other information in the Original Filing is amended hereby. The foregoing items have not been updated to reflect other events occurring after the Original Filings or to modify or update those disclosures affected by subsequent events. In addition, pursuant to the rules of the SEC, Item 6 of Part II of the Original Filings has been amended to contain currently dated certifications from the Company’s Chief Executive Officer and Chief Financial Officer, as required by Sections 302 and 906 of the Sarbanes-Oxley Act of 2002, and are attached as Exhibits 31.1, 31.2, 32.1 and 32.2 to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Except for the foregoing amended information, this Form 10-Q/A continues to speak as of the dates of the Original Filings, and the Company has not updated the disclosures contained herein to reflect events that occurred at a later date. Other events occurring after the filings of the Original Filings or other disclosures necessary to reflect subsequent events will be addressed in any reports filed with the SEC subsequent to the date of this filing.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27" w:name="PGBRK70"/>
      <w:bookmarkStart w:id="828" w:name="PGBRK70"/>
      <w:bookmarkEnd w:id="8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9" w:name="FTR70"/>
      <w:bookmarkStart w:id="830" w:name="FTR70"/>
      <w:bookmarkEnd w:id="8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31" w:name="GLFTR70"/>
      <w:bookmarkEnd w:id="8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32" w:name="PN69"/>
      <w:bookmarkEnd w:id="832"/>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3" w:name="HDR69"/>
      <w:bookmarkStart w:id="834" w:name="HDR69"/>
      <w:bookmarkEnd w:id="8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35" w:name="GLHDR69"/>
      <w:bookmarkEnd w:id="8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PART I – FINANCIAL INFORMATION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1.</w:t>
      </w:r>
      <w:r>
        <w:rPr>
          <w:rFonts w:ascii="Times New Roman" w:hAnsi="Times New Roman"/>
          <w:b/>
          <w:sz w:val="20"/>
        </w:rPr>
        <w:t>                </w:t>
      </w:r>
      <w:r>
        <w:rPr>
          <w:rFonts w:ascii="Times New Roman" w:hAnsi="Times New Roman"/>
          <w:b/>
          <w:sz w:val="20"/>
          <w:u w:val="single"/>
        </w:rPr>
        <w:t>Financial Statements</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8609"/>
        <w:gridCol w:w="1596"/>
      </w:tblGrid>
      <w:tr>
        <w:trPr/>
        <w:tc>
          <w:tcPr>
            <w:tcW w:w="8609"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Description</w:t>
            </w:r>
          </w:p>
        </w:tc>
        <w:tc>
          <w:tcPr>
            <w:tcW w:w="1596"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8609" w:type="dxa"/>
            <w:tcBorders/>
            <w:shd w:fill="auto" w:val="clear"/>
            <w:tcMar>
              <w:bottom w:w="0" w:type="dxa"/>
            </w:tcMar>
          </w:tcPr>
          <w:p>
            <w:pPr>
              <w:pStyle w:val="TableContents"/>
              <w:spacing w:before="0" w:after="283"/>
              <w:rPr/>
            </w:pPr>
            <w:r>
              <w:rPr/>
              <w:t xml:space="preserve">  </w:t>
            </w:r>
          </w:p>
        </w:tc>
        <w:tc>
          <w:tcPr>
            <w:tcW w:w="1596" w:type="dxa"/>
            <w:tcBorders/>
            <w:shd w:fill="auto" w:val="clear"/>
            <w:tcMar>
              <w:bottom w:w="0" w:type="dxa"/>
            </w:tcMar>
          </w:tcPr>
          <w:p>
            <w:pPr>
              <w:pStyle w:val="TableContents"/>
              <w:spacing w:before="0" w:after="283"/>
              <w:rPr/>
            </w:pPr>
            <w:r>
              <w:rPr/>
              <w:t xml:space="preserve">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Balance Sheets as of September 30, 2010 (Unaudited) and December 31, 2009</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r>
      <w:tr>
        <w:trPr/>
        <w:tc>
          <w:tcPr>
            <w:tcW w:w="8609" w:type="dxa"/>
            <w:tcBorders/>
            <w:shd w:fill="auto" w:val="clear"/>
            <w:tcMar>
              <w:bottom w:w="0" w:type="dxa"/>
            </w:tcMar>
          </w:tcPr>
          <w:p>
            <w:pPr>
              <w:pStyle w:val="TableContents"/>
              <w:spacing w:before="0" w:after="283"/>
              <w:rPr/>
            </w:pPr>
            <w:r>
              <w:rPr/>
              <w:t xml:space="preserve">  </w:t>
            </w:r>
          </w:p>
        </w:tc>
        <w:tc>
          <w:tcPr>
            <w:tcW w:w="1596" w:type="dxa"/>
            <w:tcBorders/>
            <w:shd w:fill="auto" w:val="clear"/>
            <w:tcMar>
              <w:bottom w:w="0" w:type="dxa"/>
            </w:tcMar>
            <w:vAlign w:val="bottom"/>
          </w:tcPr>
          <w:p>
            <w:pPr>
              <w:pStyle w:val="TableContents"/>
              <w:spacing w:before="0" w:after="283"/>
              <w:rPr/>
            </w:pPr>
            <w:r>
              <w:rPr/>
              <w:t xml:space="preserve">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Statements of Operations for the Three and Nine Months Ended September 30, 2010 and 2009 and for the Period from July 27, 1999 (Inception of Development Stage) to September 30, 2010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r>
      <w:tr>
        <w:trPr/>
        <w:tc>
          <w:tcPr>
            <w:tcW w:w="8609" w:type="dxa"/>
            <w:tcBorders/>
            <w:shd w:fill="auto" w:val="clear"/>
            <w:tcMar>
              <w:bottom w:w="0" w:type="dxa"/>
            </w:tcMar>
          </w:tcPr>
          <w:p>
            <w:pPr>
              <w:pStyle w:val="TableContents"/>
              <w:spacing w:before="0" w:after="283"/>
              <w:rPr/>
            </w:pPr>
            <w:r>
              <w:rPr/>
              <w:t xml:space="preserve">  </w:t>
            </w:r>
          </w:p>
        </w:tc>
        <w:tc>
          <w:tcPr>
            <w:tcW w:w="1596" w:type="dxa"/>
            <w:tcBorders/>
            <w:shd w:fill="auto" w:val="clear"/>
            <w:tcMar>
              <w:bottom w:w="0" w:type="dxa"/>
            </w:tcMar>
            <w:vAlign w:val="bottom"/>
          </w:tcPr>
          <w:p>
            <w:pPr>
              <w:pStyle w:val="TableContents"/>
              <w:spacing w:before="0" w:after="283"/>
              <w:rPr/>
            </w:pPr>
            <w:r>
              <w:rPr/>
              <w:t xml:space="preserve">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Statements of Cash Flows for the Nine Months Ended September 30, 2010 and 2009 and for the Period from July 27, 1999 (Inception of Development Stage) to September 30, 2010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w:t>
            </w:r>
          </w:p>
        </w:tc>
      </w:tr>
      <w:tr>
        <w:trPr/>
        <w:tc>
          <w:tcPr>
            <w:tcW w:w="8609" w:type="dxa"/>
            <w:tcBorders/>
            <w:shd w:fill="auto" w:val="clear"/>
            <w:tcMar>
              <w:bottom w:w="0" w:type="dxa"/>
            </w:tcMar>
          </w:tcPr>
          <w:p>
            <w:pPr>
              <w:pStyle w:val="TableContents"/>
              <w:spacing w:before="0" w:after="283"/>
              <w:rPr/>
            </w:pPr>
            <w:r>
              <w:rPr/>
              <w:t xml:space="preserve">  </w:t>
            </w:r>
          </w:p>
        </w:tc>
        <w:tc>
          <w:tcPr>
            <w:tcW w:w="1596" w:type="dxa"/>
            <w:tcBorders/>
            <w:shd w:fill="auto" w:val="clear"/>
            <w:tcMar>
              <w:bottom w:w="0" w:type="dxa"/>
            </w:tcMar>
            <w:vAlign w:val="bottom"/>
          </w:tcPr>
          <w:p>
            <w:pPr>
              <w:pStyle w:val="TableContents"/>
              <w:spacing w:before="0" w:after="283"/>
              <w:rPr/>
            </w:pPr>
            <w:r>
              <w:rPr/>
              <w:t xml:space="preserve">  </w:t>
            </w:r>
          </w:p>
        </w:tc>
      </w:tr>
      <w:tr>
        <w:trPr/>
        <w:tc>
          <w:tcPr>
            <w:tcW w:w="860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Notes to the Consolidated Financial Statements (Unaudited)</w:t>
            </w:r>
          </w:p>
        </w:tc>
        <w:tc>
          <w:tcPr>
            <w:tcW w:w="1596"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w:t>
            </w:r>
          </w:p>
        </w:tc>
      </w:tr>
      <w:tr>
        <w:trPr/>
        <w:tc>
          <w:tcPr>
            <w:tcW w:w="8609" w:type="dxa"/>
            <w:tcBorders>
              <w:bottom w:val="single" w:sz="12" w:space="0" w:color="000000"/>
            </w:tcBorders>
            <w:shd w:fill="auto" w:val="clear"/>
          </w:tcPr>
          <w:p>
            <w:pPr>
              <w:pStyle w:val="TableContents"/>
              <w:spacing w:before="0" w:after="283"/>
              <w:rPr/>
            </w:pPr>
            <w:r>
              <w:rPr/>
              <w:t xml:space="preserve">  </w:t>
            </w:r>
          </w:p>
        </w:tc>
        <w:tc>
          <w:tcPr>
            <w:tcW w:w="1596" w:type="dxa"/>
            <w:tcBorders>
              <w:bottom w:val="single" w:sz="12" w:space="0" w:color="000000"/>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36" w:name="PGBRK71"/>
      <w:bookmarkStart w:id="837" w:name="PGBRK71"/>
      <w:bookmarkEnd w:id="8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8" w:name="FTR71"/>
      <w:bookmarkStart w:id="839" w:name="FTR71"/>
      <w:bookmarkEnd w:id="8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40" w:name="GLFTR71"/>
      <w:bookmarkEnd w:id="8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41" w:name="PN70"/>
      <w:bookmarkEnd w:id="841"/>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2" w:name="HDR70"/>
      <w:bookmarkStart w:id="843" w:name="HDR70"/>
      <w:bookmarkEnd w:id="8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44" w:name="GLHDR70"/>
      <w:bookmarkEnd w:id="8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7285"/>
        <w:gridCol w:w="107"/>
        <w:gridCol w:w="126"/>
        <w:gridCol w:w="1109"/>
        <w:gridCol w:w="113"/>
        <w:gridCol w:w="107"/>
        <w:gridCol w:w="126"/>
        <w:gridCol w:w="1109"/>
        <w:gridCol w:w="123"/>
      </w:tblGrid>
      <w:tr>
        <w:trPr/>
        <w:tc>
          <w:tcPr>
            <w:tcW w:w="7285"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7" w:type="dxa"/>
            <w:tcBorders>
              <w:top w:val="single" w:sz="12" w:space="0" w:color="000000"/>
            </w:tcBorders>
            <w:shd w:fill="auto" w:val="clear"/>
            <w:tcMar>
              <w:bottom w:w="0" w:type="dxa"/>
            </w:tcMar>
            <w:vAlign w:val="bottom"/>
          </w:tcPr>
          <w:p>
            <w:pPr>
              <w:pStyle w:val="TableContents"/>
              <w:spacing w:before="0" w:after="283"/>
              <w:rPr/>
            </w:pPr>
            <w:r>
              <w:rPr/>
              <w:t> </w:t>
            </w:r>
          </w:p>
        </w:tc>
        <w:tc>
          <w:tcPr>
            <w:tcW w:w="123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3"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7" w:type="dxa"/>
            <w:tcBorders>
              <w:top w:val="single" w:sz="12" w:space="0" w:color="000000"/>
            </w:tcBorders>
            <w:shd w:fill="auto" w:val="clear"/>
            <w:tcMar>
              <w:bottom w:w="0" w:type="dxa"/>
            </w:tcMar>
            <w:vAlign w:val="bottom"/>
          </w:tcPr>
          <w:p>
            <w:pPr>
              <w:pStyle w:val="TableContents"/>
              <w:spacing w:before="0" w:after="283"/>
              <w:rPr/>
            </w:pPr>
            <w:r>
              <w:rPr/>
              <w:t> </w:t>
            </w:r>
          </w:p>
        </w:tc>
        <w:tc>
          <w:tcPr>
            <w:tcW w:w="123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35" w:type="dxa"/>
            <w:gridSpan w:val="2"/>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(Unaudited)</w:t>
            </w:r>
          </w:p>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35" w:type="dxa"/>
            <w:gridSpan w:val="2"/>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8"/>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107" w:type="dxa"/>
            <w:tcBorders/>
            <w:shd w:fill="auto" w:val="clear"/>
            <w:tcMar>
              <w:top w:w="0" w:type="dxa"/>
              <w:bottom w:w="0" w:type="dxa"/>
            </w:tcMar>
            <w:vAlign w:val="bottom"/>
          </w:tcPr>
          <w:p>
            <w:pPr>
              <w:pStyle w:val="TableContents"/>
              <w:spacing w:before="0" w:after="283"/>
              <w:rPr/>
            </w:pPr>
            <w:r>
              <w:rPr/>
              <w:t> </w:t>
            </w:r>
          </w:p>
        </w:tc>
        <w:tc>
          <w:tcPr>
            <w:tcW w:w="1235" w:type="dxa"/>
            <w:gridSpan w:val="2"/>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35"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Cash</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144,741</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1,051</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1,033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Prepaid expenses and deposits (Note 8)</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214,501</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Deferred financing costs (Note 5)</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148,131</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294,623</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356,965</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8"/>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AND STOCKHOLDERS’ DEFICIT</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655,978</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586,556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 (Note 3)</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119,080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45,676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Derivative liability – conversion option (Note 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262,933</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Derivative liability – warrants (Note 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1,068,375</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Convertible note payable (Note 5)</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370,740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203,021</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Notes payable and secured loan (Note 5)</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Due to related parties (Note 6)</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157,479</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2,634,585</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986,353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Deficit</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Capital stock (Note 7)</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Common stock, $0.001 par value, 150,000,000 shares authorized</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40,256,026 shares issued and outstanding (2009 – 38,361,674)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40,256</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38,362</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Additional paid-in capital</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40,049,859</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37,289,357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Shares and warrants to be issued</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27,523</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513,733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Deficit accumulated during the development stage</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(42,398,754</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(38,411,114</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285"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Accumulated other comprehensive loss</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(58,846</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285"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(2,339,962</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(629,388</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294,623</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356,965</w:t>
            </w:r>
          </w:p>
        </w:tc>
        <w:tc>
          <w:tcPr>
            <w:tcW w:w="123"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RESTATEMENT (Note 1(A))</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Commitments and Contingencies</w:t>
      </w:r>
      <w:r>
        <w:rPr>
          <w:rFonts w:ascii="Times New Roman" w:hAnsi="Times New Roman"/>
          <w:sz w:val="20"/>
        </w:rPr>
        <w:t xml:space="preserve"> (Notes 1, 3, 5 and 9)</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5" w:name="PGBRK72"/>
      <w:bookmarkStart w:id="846" w:name="PGBRK72"/>
      <w:bookmarkEnd w:id="8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7" w:name="FTR72"/>
      <w:bookmarkStart w:id="848" w:name="FTR72"/>
      <w:bookmarkEnd w:id="8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49" w:name="GLFTR72"/>
      <w:bookmarkEnd w:id="8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50" w:name="PN71"/>
      <w:bookmarkEnd w:id="850"/>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1" w:name="HDR71"/>
      <w:bookmarkStart w:id="852" w:name="HDR71"/>
      <w:bookmarkEnd w:id="8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53" w:name="GLHDR71"/>
      <w:bookmarkEnd w:id="8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OPERATIONS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3195"/>
        <w:gridCol w:w="93"/>
        <w:gridCol w:w="125"/>
        <w:gridCol w:w="1077"/>
        <w:gridCol w:w="103"/>
        <w:gridCol w:w="93"/>
        <w:gridCol w:w="125"/>
        <w:gridCol w:w="1077"/>
        <w:gridCol w:w="103"/>
        <w:gridCol w:w="93"/>
        <w:gridCol w:w="125"/>
        <w:gridCol w:w="1077"/>
        <w:gridCol w:w="103"/>
        <w:gridCol w:w="93"/>
        <w:gridCol w:w="124"/>
        <w:gridCol w:w="1077"/>
        <w:gridCol w:w="103"/>
        <w:gridCol w:w="93"/>
        <w:gridCol w:w="125"/>
        <w:gridCol w:w="1077"/>
        <w:gridCol w:w="124"/>
      </w:tblGrid>
      <w:tr>
        <w:trPr/>
        <w:tc>
          <w:tcPr>
            <w:tcW w:w="3195" w:type="dxa"/>
            <w:tcBorders>
              <w:top w:val="single" w:sz="12" w:space="0" w:color="000000"/>
            </w:tcBorders>
            <w:shd w:fill="auto" w:val="clear"/>
            <w:vAlign w:val="bottom"/>
          </w:tcPr>
          <w:p>
            <w:pPr>
              <w:pStyle w:val="TableContents"/>
              <w:spacing w:before="0" w:after="283"/>
              <w:rPr/>
            </w:pPr>
            <w:r>
              <w:rPr/>
              <w:t xml:space="preserve">  </w:t>
            </w:r>
          </w:p>
        </w:tc>
        <w:tc>
          <w:tcPr>
            <w:tcW w:w="93" w:type="dxa"/>
            <w:tcBorders>
              <w:top w:val="single" w:sz="12" w:space="0" w:color="000000"/>
            </w:tcBorders>
            <w:shd w:fill="auto" w:val="clear"/>
            <w:vAlign w:val="bottom"/>
          </w:tcPr>
          <w:p>
            <w:pPr>
              <w:pStyle w:val="TableContents"/>
              <w:spacing w:before="0" w:after="283"/>
              <w:rPr/>
            </w:pPr>
            <w:r>
              <w:rPr/>
              <w:t> </w:t>
            </w:r>
          </w:p>
        </w:tc>
        <w:tc>
          <w:tcPr>
            <w:tcW w:w="2600"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03" w:type="dxa"/>
            <w:tcBorders>
              <w:top w:val="single" w:sz="12" w:space="0" w:color="000000"/>
            </w:tcBorders>
            <w:shd w:fill="auto" w:val="clear"/>
            <w:vAlign w:val="bottom"/>
          </w:tcPr>
          <w:p>
            <w:pPr>
              <w:pStyle w:val="TableContents"/>
              <w:spacing w:before="0" w:after="283"/>
              <w:jc w:val="left"/>
              <w:rPr/>
            </w:pPr>
            <w:r>
              <w:rPr/>
              <w:t> </w:t>
            </w:r>
          </w:p>
        </w:tc>
        <w:tc>
          <w:tcPr>
            <w:tcW w:w="93" w:type="dxa"/>
            <w:tcBorders>
              <w:top w:val="single" w:sz="12" w:space="0" w:color="000000"/>
            </w:tcBorders>
            <w:shd w:fill="auto" w:val="clear"/>
            <w:vAlign w:val="bottom"/>
          </w:tcPr>
          <w:p>
            <w:pPr>
              <w:pStyle w:val="TableContents"/>
              <w:spacing w:before="0" w:after="283"/>
              <w:rPr/>
            </w:pPr>
            <w:r>
              <w:rPr/>
              <w:t> </w:t>
            </w:r>
          </w:p>
        </w:tc>
        <w:tc>
          <w:tcPr>
            <w:tcW w:w="2599"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Nine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03" w:type="dxa"/>
            <w:tcBorders>
              <w:top w:val="single" w:sz="12" w:space="0" w:color="000000"/>
            </w:tcBorders>
            <w:shd w:fill="auto" w:val="clear"/>
            <w:vAlign w:val="bottom"/>
          </w:tcPr>
          <w:p>
            <w:pPr>
              <w:pStyle w:val="TableContents"/>
              <w:spacing w:before="0" w:after="283"/>
              <w:jc w:val="left"/>
              <w:rPr/>
            </w:pPr>
            <w:r>
              <w:rPr/>
              <w:t> </w:t>
            </w:r>
          </w:p>
        </w:tc>
        <w:tc>
          <w:tcPr>
            <w:tcW w:w="93" w:type="dxa"/>
            <w:tcBorders>
              <w:top w:val="single" w:sz="12" w:space="0" w:color="000000"/>
            </w:tcBorders>
            <w:shd w:fill="auto" w:val="clear"/>
            <w:vAlign w:val="bottom"/>
          </w:tcPr>
          <w:p>
            <w:pPr>
              <w:pStyle w:val="TableContents"/>
              <w:spacing w:before="0" w:after="283"/>
              <w:rPr/>
            </w:pPr>
            <w:r>
              <w:rPr/>
              <w:t> </w:t>
            </w:r>
          </w:p>
        </w:tc>
        <w:tc>
          <w:tcPr>
            <w:tcW w:w="120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of development stage) to</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24" w:type="dxa"/>
            <w:tcBorders>
              <w:top w:val="single" w:sz="12" w:space="0" w:color="000000"/>
            </w:tcBorders>
            <w:shd w:fill="auto" w:val="clear"/>
            <w:vAlign w:val="bottom"/>
          </w:tcPr>
          <w:p>
            <w:pPr>
              <w:pStyle w:val="TableContents"/>
              <w:spacing w:before="0" w:after="283"/>
              <w:jc w:val="left"/>
              <w:rPr/>
            </w:pPr>
            <w:r>
              <w:rPr/>
              <w:t> </w:t>
            </w:r>
          </w:p>
        </w:tc>
      </w:tr>
      <w:tr>
        <w:trPr/>
        <w:tc>
          <w:tcPr>
            <w:tcW w:w="3195"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93" w:type="dxa"/>
            <w:tcBorders/>
            <w:shd w:fill="auto" w:val="clear"/>
            <w:tcMar>
              <w:top w:w="0" w:type="dxa"/>
            </w:tcMar>
            <w:vAlign w:val="bottom"/>
          </w:tcPr>
          <w:p>
            <w:pPr>
              <w:pStyle w:val="TableContents"/>
              <w:spacing w:before="0" w:after="283"/>
              <w:rPr/>
            </w:pPr>
            <w:r>
              <w:rPr/>
              <w:t> </w:t>
            </w:r>
          </w:p>
        </w:tc>
        <w:tc>
          <w:tcPr>
            <w:tcW w:w="120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0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0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01"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0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283"/>
              <w:rPr/>
            </w:pPr>
            <w:r>
              <w:rPr/>
              <w:t xml:space="preserve">  </w:t>
            </w:r>
          </w:p>
        </w:tc>
        <w:tc>
          <w:tcPr>
            <w:tcW w:w="93" w:type="dxa"/>
            <w:tcBorders/>
            <w:shd w:fill="auto" w:val="clear"/>
            <w:tcMar>
              <w:top w:w="0" w:type="dxa"/>
            </w:tcMar>
            <w:vAlign w:val="bottom"/>
          </w:tcPr>
          <w:p>
            <w:pPr>
              <w:pStyle w:val="TableContents"/>
              <w:spacing w:before="0" w:after="283"/>
              <w:rPr/>
            </w:pPr>
            <w:r>
              <w:rPr/>
              <w:t> </w:t>
            </w:r>
          </w:p>
        </w:tc>
        <w:tc>
          <w:tcPr>
            <w:tcW w:w="1202" w:type="dxa"/>
            <w:gridSpan w:val="2"/>
            <w:tcBorders/>
            <w:shd w:fill="auto" w:val="clear"/>
            <w:tcMar>
              <w:top w:w="0" w:type="dxa"/>
            </w:tcMar>
            <w:vAlign w:val="bottom"/>
          </w:tcPr>
          <w:p>
            <w:pPr>
              <w:pStyle w:val="TableContents"/>
              <w:spacing w:before="0" w:after="283"/>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02" w:type="dxa"/>
            <w:gridSpan w:val="2"/>
            <w:tcBorders/>
            <w:shd w:fill="auto" w:val="clear"/>
            <w:tcMar>
              <w:top w:w="0" w:type="dxa"/>
            </w:tcMar>
            <w:vAlign w:val="bottom"/>
          </w:tcPr>
          <w:p>
            <w:pPr>
              <w:pStyle w:val="TableContents"/>
              <w:spacing w:before="0" w:after="283"/>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02" w:type="dxa"/>
            <w:gridSpan w:val="2"/>
            <w:tcBorders/>
            <w:shd w:fill="auto" w:val="clear"/>
            <w:tcMar>
              <w:top w:w="0" w:type="dxa"/>
            </w:tcMar>
            <w:vAlign w:val="bottom"/>
          </w:tcPr>
          <w:p>
            <w:pPr>
              <w:pStyle w:val="TableContents"/>
              <w:spacing w:before="0" w:after="283"/>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02" w:type="dxa"/>
            <w:gridSpan w:val="2"/>
            <w:tcBorders/>
            <w:shd w:fill="auto" w:val="clear"/>
            <w:tcMar>
              <w:top w:w="0" w:type="dxa"/>
            </w:tcMar>
            <w:vAlign w:val="bottom"/>
          </w:tcPr>
          <w:p>
            <w:pPr>
              <w:pStyle w:val="TableContents"/>
              <w:spacing w:before="0" w:after="283"/>
              <w:rPr/>
            </w:pPr>
            <w:r>
              <w:rPr/>
              <w:t> </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Expenses</w:t>
            </w:r>
          </w:p>
        </w:tc>
        <w:tc>
          <w:tcPr>
            <w:tcW w:w="93" w:type="dxa"/>
            <w:tcBorders/>
            <w:shd w:fill="auto" w:val="clear"/>
            <w:tcMar>
              <w:top w:w="0" w:type="dxa"/>
            </w:tcMar>
            <w:vAlign w:val="bottom"/>
          </w:tcPr>
          <w:p>
            <w:pPr>
              <w:pStyle w:val="TableContents"/>
              <w:spacing w:before="0" w:after="283"/>
              <w:rPr/>
            </w:pPr>
            <w:r>
              <w:rPr/>
              <w:t> </w:t>
            </w:r>
          </w:p>
        </w:tc>
        <w:tc>
          <w:tcPr>
            <w:tcW w:w="1202" w:type="dxa"/>
            <w:gridSpan w:val="2"/>
            <w:tcBorders/>
            <w:shd w:fill="auto" w:val="clear"/>
            <w:tcMar>
              <w:top w:w="0" w:type="dxa"/>
            </w:tcMar>
            <w:vAlign w:val="bottom"/>
          </w:tcPr>
          <w:p>
            <w:pPr>
              <w:pStyle w:val="TableContents"/>
              <w:spacing w:before="0" w:after="283"/>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02" w:type="dxa"/>
            <w:gridSpan w:val="2"/>
            <w:tcBorders/>
            <w:shd w:fill="auto" w:val="clear"/>
            <w:tcMar>
              <w:top w:w="0" w:type="dxa"/>
            </w:tcMar>
            <w:vAlign w:val="bottom"/>
          </w:tcPr>
          <w:p>
            <w:pPr>
              <w:pStyle w:val="TableContents"/>
              <w:spacing w:before="0" w:after="283"/>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02" w:type="dxa"/>
            <w:gridSpan w:val="2"/>
            <w:tcBorders/>
            <w:shd w:fill="auto" w:val="clear"/>
            <w:tcMar>
              <w:top w:w="0" w:type="dxa"/>
            </w:tcMar>
            <w:vAlign w:val="bottom"/>
          </w:tcPr>
          <w:p>
            <w:pPr>
              <w:pStyle w:val="TableContents"/>
              <w:spacing w:before="0" w:after="283"/>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02" w:type="dxa"/>
            <w:gridSpan w:val="2"/>
            <w:tcBorders/>
            <w:shd w:fill="auto" w:val="clear"/>
            <w:tcMar>
              <w:top w:w="0" w:type="dxa"/>
            </w:tcMar>
            <w:vAlign w:val="bottom"/>
          </w:tcPr>
          <w:p>
            <w:pPr>
              <w:pStyle w:val="TableContents"/>
              <w:spacing w:before="0" w:after="283"/>
              <w:rPr/>
            </w:pPr>
            <w:r>
              <w:rPr/>
              <w:t> </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Consulting fees</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28,000</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86,514</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66,699</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319,950</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1,837,905</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Consultant compensation</w:t>
            </w:r>
          </w:p>
          <w:p>
            <w:pPr>
              <w:pStyle w:val="TableContents"/>
              <w:spacing w:before="0" w:after="0"/>
              <w:ind w:left="0" w:right="0" w:hanging="0"/>
              <w:jc w:val="left"/>
              <w:rPr/>
            </w:pPr>
            <w:r>
              <w:rPr/>
              <w:t xml:space="preserve">  – </w:t>
            </w:r>
            <w:r>
              <w:rPr>
                <w:rFonts w:ascii="times new roman" w:hAnsi="times new roman"/>
                <w:sz w:val="20"/>
              </w:rPr>
              <w:t>stock-based (Note 6)</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70,015</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1,142,141</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4,933,958</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Depreciation</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213,227</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32,827</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12,760</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142,870</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54,266</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2,551,326</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Interest and finance charges</w:t>
            </w:r>
          </w:p>
          <w:p>
            <w:pPr>
              <w:pStyle w:val="TableContents"/>
              <w:spacing w:before="0" w:after="0"/>
              <w:ind w:left="0" w:right="0" w:hanging="0"/>
              <w:jc w:val="left"/>
              <w:rPr/>
            </w:pPr>
            <w:r>
              <w:rPr/>
              <w:t>  </w:t>
            </w:r>
            <w:r>
              <w:rPr>
                <w:rFonts w:ascii="times new roman" w:hAnsi="times new roman"/>
                <w:sz w:val="20"/>
              </w:rPr>
              <w:t>(Note 4 and 5)</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458,565</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319,969</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794,418</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577,073</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4,705,021</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Management fees (Note 5)</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54,300</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63,300</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198,400</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190,942</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2,392,877</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Management compensation</w:t>
            </w:r>
          </w:p>
          <w:p>
            <w:pPr>
              <w:pStyle w:val="TableContents"/>
              <w:spacing w:before="0" w:after="0"/>
              <w:ind w:left="0" w:right="0" w:hanging="0"/>
              <w:jc w:val="left"/>
              <w:rPr/>
            </w:pPr>
            <w:r>
              <w:rPr/>
              <w:t xml:space="preserve">  – </w:t>
            </w:r>
            <w:r>
              <w:rPr>
                <w:rFonts w:ascii="times new roman" w:hAnsi="times new roman"/>
                <w:sz w:val="20"/>
              </w:rPr>
              <w:t>stock- based (Notes 5 and 6)</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325,977</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973,977</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23,500</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3,821,027</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Professional fees</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170,657</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213,079</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584,564</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462,747</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3,899,013</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Research and development (Note 5)</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93,517</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25,069</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243,380</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28,979</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5,660,772</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Research and development</w:t>
            </w:r>
          </w:p>
          <w:p>
            <w:pPr>
              <w:pStyle w:val="TableContents"/>
              <w:spacing w:before="0" w:after="0"/>
              <w:ind w:left="0" w:right="0" w:hanging="0"/>
              <w:jc w:val="left"/>
              <w:rPr/>
            </w:pPr>
            <w:r>
              <w:rPr/>
              <w:t xml:space="preserve">  – </w:t>
            </w:r>
            <w:r>
              <w:rPr>
                <w:rFonts w:ascii="times new roman" w:hAnsi="times new roman"/>
                <w:sz w:val="20"/>
              </w:rPr>
              <w:t>stock-based</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612,000</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1,233,858</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748,247</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4,146,449</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1,688,697</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30,627,126</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283"/>
              <w:rPr/>
            </w:pPr>
            <w:r>
              <w:rPr/>
              <w:t xml:space="preserve">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Before Other Items</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(1,233,858</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(748,247</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(4,146,449</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(1,688,697</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(30,627,126</w:t>
            </w:r>
          </w:p>
        </w:tc>
        <w:tc>
          <w:tcPr>
            <w:tcW w:w="12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195" w:type="dxa"/>
            <w:tcBorders/>
            <w:shd w:fill="auto" w:val="clear"/>
            <w:tcMar>
              <w:top w:w="0" w:type="dxa"/>
            </w:tcMar>
            <w:vAlign w:val="bottom"/>
          </w:tcPr>
          <w:p>
            <w:pPr>
              <w:pStyle w:val="TableContents"/>
              <w:spacing w:before="0" w:after="283"/>
              <w:rPr/>
            </w:pPr>
            <w:r>
              <w:rPr/>
              <w:t xml:space="preserve">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Items</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Foreign exchange (loss) gain</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(2,022</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(31,400</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(3,572</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(44,706</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41,018</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Changes in fair value of derivative liabilities (Note 4)</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191,867</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1,724,217</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1,724,217</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on debt financing (Note 5)</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(1,615,425</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(1,615,425</w:t>
            </w:r>
          </w:p>
        </w:tc>
        <w:tc>
          <w:tcPr>
            <w:tcW w:w="12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19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Gain (loss) on settlement of debt</w:t>
            </w:r>
          </w:p>
          <w:p>
            <w:pPr>
              <w:pStyle w:val="TableContents"/>
              <w:spacing w:before="0" w:after="0"/>
              <w:ind w:left="0" w:right="0" w:hanging="0"/>
              <w:jc w:val="left"/>
              <w:rPr>
                <w:rFonts w:ascii="times new roman" w:hAnsi="times new roman"/>
                <w:sz w:val="20"/>
              </w:rPr>
            </w:pPr>
            <w:r>
              <w:rPr>
                <w:rFonts w:ascii="times new roman" w:hAnsi="times new roman"/>
                <w:sz w:val="20"/>
              </w:rPr>
              <w:t>(Note 1A)</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(11,314</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53,589</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(12,529,302</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(11,949,383</w:t>
            </w:r>
          </w:p>
        </w:tc>
        <w:tc>
          <w:tcPr>
            <w:tcW w:w="12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19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Interest income</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83</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2,746</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33,344</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195" w:type="dxa"/>
            <w:tcBorders/>
            <w:shd w:fill="auto" w:val="clear"/>
            <w:tcMar>
              <w:top w:w="0" w:type="dxa"/>
            </w:tcMar>
            <w:vAlign w:val="bottom"/>
          </w:tcPr>
          <w:p>
            <w:pPr>
              <w:pStyle w:val="TableContents"/>
              <w:spacing w:before="0" w:after="283"/>
              <w:rPr/>
            </w:pPr>
            <w:r>
              <w:rPr/>
              <w:t xml:space="preserve">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for the Period</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(1,014,013</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(790,878</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(3,987,640</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(14,265,358</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(42,398,754</w:t>
            </w:r>
          </w:p>
        </w:tc>
        <w:tc>
          <w:tcPr>
            <w:tcW w:w="12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195" w:type="dxa"/>
            <w:tcBorders/>
            <w:shd w:fill="auto" w:val="clear"/>
            <w:tcMar>
              <w:top w:w="0" w:type="dxa"/>
            </w:tcMar>
            <w:vAlign w:val="bottom"/>
          </w:tcPr>
          <w:p>
            <w:pPr>
              <w:pStyle w:val="TableContents"/>
              <w:spacing w:before="0" w:after="283"/>
              <w:rPr/>
            </w:pPr>
            <w:r>
              <w:rPr/>
              <w:t xml:space="preserve">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Deficit Accumulated During the</w:t>
            </w:r>
          </w:p>
          <w:p>
            <w:pPr>
              <w:pStyle w:val="TableContents"/>
              <w:spacing w:before="0" w:after="0"/>
              <w:ind w:left="0" w:right="0" w:hanging="0"/>
              <w:jc w:val="left"/>
              <w:rPr>
                <w:rFonts w:ascii="times new roman" w:hAnsi="times new roman"/>
                <w:b/>
                <w:sz w:val="20"/>
              </w:rPr>
            </w:pPr>
            <w:r>
              <w:rPr>
                <w:rFonts w:ascii="times new roman" w:hAnsi="times new roman"/>
                <w:b/>
                <w:sz w:val="20"/>
              </w:rPr>
              <w:t>Development Stage, beginning</w:t>
            </w:r>
          </w:p>
          <w:p>
            <w:pPr>
              <w:pStyle w:val="TableContents"/>
              <w:spacing w:before="0" w:after="0"/>
              <w:ind w:left="0" w:right="0" w:hanging="0"/>
              <w:jc w:val="left"/>
              <w:rPr>
                <w:rFonts w:ascii="times new roman" w:hAnsi="times new roman"/>
                <w:b/>
                <w:sz w:val="20"/>
              </w:rPr>
            </w:pPr>
            <w:r>
              <w:rPr>
                <w:rFonts w:ascii="times new roman" w:hAnsi="times new roman"/>
                <w:b/>
                <w:sz w:val="20"/>
              </w:rPr>
              <w:t>of period</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(41,384,741</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(34,286,586</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(38,411,114</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(20,812,106</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shd w:fill="auto" w:val="clear"/>
            <w:tcMar>
              <w:top w:w="0" w:type="dxa"/>
            </w:tcMar>
            <w:vAlign w:val="bottom"/>
          </w:tcPr>
          <w:p>
            <w:pPr>
              <w:pStyle w:val="TableContents"/>
              <w:spacing w:before="0" w:after="283"/>
              <w:rPr/>
            </w:pPr>
            <w:r>
              <w:rPr/>
              <w:t xml:space="preserve">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03" w:type="dxa"/>
            <w:tcBorders/>
            <w:shd w:fill="auto" w:val="clear"/>
            <w:tcMar>
              <w:top w:w="0" w:type="dxa"/>
            </w:tcMar>
            <w:vAlign w:val="bottom"/>
          </w:tcPr>
          <w:p>
            <w:pPr>
              <w:pStyle w:val="TableContents"/>
              <w:spacing w:before="0" w:after="283"/>
              <w:jc w:val="left"/>
              <w:rPr/>
            </w:pPr>
            <w:r>
              <w:rPr/>
              <w:t> </w:t>
            </w:r>
          </w:p>
        </w:tc>
        <w:tc>
          <w:tcPr>
            <w:tcW w:w="93"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7"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r>
      <w:tr>
        <w:trPr/>
        <w:tc>
          <w:tcPr>
            <w:tcW w:w="3195"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Deficit Accumulated During the</w:t>
            </w:r>
          </w:p>
          <w:p>
            <w:pPr>
              <w:pStyle w:val="TableContents"/>
              <w:spacing w:before="0" w:after="0"/>
              <w:ind w:left="0" w:right="0" w:hanging="0"/>
              <w:jc w:val="left"/>
              <w:rPr>
                <w:rFonts w:ascii="times new roman" w:hAnsi="times new roman"/>
                <w:b/>
                <w:sz w:val="20"/>
              </w:rPr>
            </w:pPr>
            <w:r>
              <w:rPr>
                <w:rFonts w:ascii="times new roman" w:hAnsi="times new roman"/>
                <w:b/>
                <w:sz w:val="20"/>
              </w:rPr>
              <w:t>Development Stage, end of period</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(42,398,754</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(35,077,464</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(42,398,754</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4"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(35,077,464</w:t>
            </w:r>
          </w:p>
        </w:tc>
        <w:tc>
          <w:tcPr>
            <w:tcW w:w="10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(42,398,754</w:t>
            </w:r>
          </w:p>
        </w:tc>
        <w:tc>
          <w:tcPr>
            <w:tcW w:w="12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554"/>
        <w:gridCol w:w="101"/>
        <w:gridCol w:w="125"/>
        <w:gridCol w:w="1066"/>
        <w:gridCol w:w="108"/>
        <w:gridCol w:w="101"/>
        <w:gridCol w:w="125"/>
        <w:gridCol w:w="1066"/>
        <w:gridCol w:w="108"/>
        <w:gridCol w:w="100"/>
        <w:gridCol w:w="125"/>
        <w:gridCol w:w="1066"/>
        <w:gridCol w:w="108"/>
        <w:gridCol w:w="101"/>
        <w:gridCol w:w="125"/>
        <w:gridCol w:w="1066"/>
        <w:gridCol w:w="108"/>
        <w:gridCol w:w="101"/>
        <w:gridCol w:w="101"/>
        <w:gridCol w:w="731"/>
        <w:gridCol w:w="119"/>
      </w:tblGrid>
      <w:tr>
        <w:trPr/>
        <w:tc>
          <w:tcPr>
            <w:tcW w:w="355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Basic and Diluted Net Loss</w:t>
            </w:r>
          </w:p>
          <w:p>
            <w:pPr>
              <w:pStyle w:val="TableContents"/>
              <w:spacing w:before="0" w:after="0"/>
              <w:ind w:left="0" w:right="0" w:hanging="0"/>
              <w:jc w:val="left"/>
              <w:rPr>
                <w:rFonts w:ascii="times new roman" w:hAnsi="times new roman"/>
                <w:b/>
                <w:sz w:val="20"/>
              </w:rPr>
            </w:pPr>
            <w:r>
              <w:rPr>
                <w:rFonts w:ascii="times new roman" w:hAnsi="times new roman"/>
                <w:b/>
                <w:sz w:val="20"/>
              </w:rPr>
              <w:t>per Share</w:t>
            </w:r>
          </w:p>
        </w:tc>
        <w:tc>
          <w:tcPr>
            <w:tcW w:w="101"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108"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108"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(0.10</w:t>
            </w:r>
          </w:p>
        </w:tc>
        <w:tc>
          <w:tcPr>
            <w:tcW w:w="108"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(0.08</w:t>
            </w:r>
          </w:p>
        </w:tc>
        <w:tc>
          <w:tcPr>
            <w:tcW w:w="108"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Mar>
              <w:bottom w:w="0" w:type="dxa"/>
            </w:tcM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731" w:type="dxa"/>
            <w:tcBorders/>
            <w:shd w:fill="auto" w:val="clear"/>
            <w:tcMar>
              <w:bottom w:w="0" w:type="dxa"/>
            </w:tcMar>
            <w:vAlign w:val="bottom"/>
          </w:tcPr>
          <w:p>
            <w:pPr>
              <w:pStyle w:val="TableContents"/>
              <w:spacing w:before="0" w:after="283"/>
              <w:jc w:val="right"/>
              <w:rPr/>
            </w:pPr>
            <w:r>
              <w:rPr/>
              <w:t> </w:t>
            </w:r>
          </w:p>
        </w:tc>
        <w:tc>
          <w:tcPr>
            <w:tcW w:w="119" w:type="dxa"/>
            <w:tcBorders/>
            <w:shd w:fill="auto" w:val="clear"/>
            <w:tcMar>
              <w:bottom w:w="0" w:type="dxa"/>
            </w:tcMar>
            <w:vAlign w:val="bottom"/>
          </w:tcPr>
          <w:p>
            <w:pPr>
              <w:pStyle w:val="TableContents"/>
              <w:spacing w:before="0" w:after="283"/>
              <w:jc w:val="left"/>
              <w:rPr/>
            </w:pPr>
            <w:r>
              <w:rPr/>
              <w:t> </w:t>
            </w:r>
          </w:p>
        </w:tc>
      </w:tr>
      <w:tr>
        <w:trPr/>
        <w:tc>
          <w:tcPr>
            <w:tcW w:w="3554" w:type="dxa"/>
            <w:tcBorders/>
            <w:shd w:fill="auto" w:val="clear"/>
            <w:tcMar>
              <w:bottom w:w="0" w:type="dxa"/>
            </w:tcM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66" w:type="dxa"/>
            <w:tcBorders/>
            <w:shd w:fill="auto" w:val="clear"/>
            <w:tcMar>
              <w:bottom w:w="0" w:type="dxa"/>
            </w:tcMar>
            <w:vAlign w:val="bottom"/>
          </w:tcPr>
          <w:p>
            <w:pPr>
              <w:pStyle w:val="TableContents"/>
              <w:spacing w:before="0" w:after="283"/>
              <w:jc w:val="right"/>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66" w:type="dxa"/>
            <w:tcBorders/>
            <w:shd w:fill="auto" w:val="clear"/>
            <w:tcMar>
              <w:bottom w:w="0" w:type="dxa"/>
            </w:tcMar>
            <w:vAlign w:val="bottom"/>
          </w:tcPr>
          <w:p>
            <w:pPr>
              <w:pStyle w:val="TableContents"/>
              <w:spacing w:before="0" w:after="283"/>
              <w:jc w:val="right"/>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66" w:type="dxa"/>
            <w:tcBorders/>
            <w:shd w:fill="auto" w:val="clear"/>
            <w:tcMar>
              <w:bottom w:w="0" w:type="dxa"/>
            </w:tcMar>
            <w:vAlign w:val="bottom"/>
          </w:tcPr>
          <w:p>
            <w:pPr>
              <w:pStyle w:val="TableContents"/>
              <w:spacing w:before="0" w:after="283"/>
              <w:jc w:val="right"/>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66" w:type="dxa"/>
            <w:tcBorders/>
            <w:shd w:fill="auto" w:val="clear"/>
            <w:tcMar>
              <w:bottom w:w="0" w:type="dxa"/>
            </w:tcMar>
            <w:vAlign w:val="bottom"/>
          </w:tcPr>
          <w:p>
            <w:pPr>
              <w:pStyle w:val="TableContents"/>
              <w:spacing w:before="0" w:after="283"/>
              <w:jc w:val="right"/>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731" w:type="dxa"/>
            <w:tcBorders/>
            <w:shd w:fill="auto" w:val="clear"/>
            <w:tcMar>
              <w:bottom w:w="0" w:type="dxa"/>
            </w:tcMar>
            <w:vAlign w:val="bottom"/>
          </w:tcPr>
          <w:p>
            <w:pPr>
              <w:pStyle w:val="TableContents"/>
              <w:spacing w:before="0" w:after="283"/>
              <w:jc w:val="right"/>
              <w:rPr/>
            </w:pPr>
            <w:r>
              <w:rPr/>
              <w:t> </w:t>
            </w:r>
          </w:p>
        </w:tc>
        <w:tc>
          <w:tcPr>
            <w:tcW w:w="119" w:type="dxa"/>
            <w:tcBorders/>
            <w:shd w:fill="auto" w:val="clear"/>
            <w:tcMar>
              <w:bottom w:w="0" w:type="dxa"/>
            </w:tcMar>
            <w:vAlign w:val="bottom"/>
          </w:tcPr>
          <w:p>
            <w:pPr>
              <w:pStyle w:val="TableContents"/>
              <w:spacing w:before="0" w:after="283"/>
              <w:jc w:val="left"/>
              <w:rPr/>
            </w:pPr>
            <w:r>
              <w:rPr/>
              <w:t> </w:t>
            </w:r>
          </w:p>
        </w:tc>
      </w:tr>
      <w:tr>
        <w:trPr/>
        <w:tc>
          <w:tcPr>
            <w:tcW w:w="355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Weighted Average Number of</w:t>
            </w:r>
          </w:p>
          <w:p>
            <w:pPr>
              <w:pStyle w:val="TableContents"/>
              <w:spacing w:before="0" w:after="0"/>
              <w:ind w:left="0" w:right="0" w:hanging="0"/>
              <w:jc w:val="left"/>
              <w:rPr>
                <w:rFonts w:ascii="times new roman" w:hAnsi="times new roman"/>
                <w:b/>
                <w:sz w:val="20"/>
              </w:rPr>
            </w:pPr>
            <w:r>
              <w:rPr>
                <w:rFonts w:ascii="times new roman" w:hAnsi="times new roman"/>
                <w:b/>
                <w:sz w:val="20"/>
              </w:rPr>
              <w:t>Common Shares Outstanding</w:t>
            </w:r>
          </w:p>
        </w:tc>
        <w:tc>
          <w:tcPr>
            <w:tcW w:w="101"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pPr>
            <w:r>
              <w:rPr/>
              <w:t> </w:t>
            </w:r>
          </w:p>
        </w:tc>
        <w:tc>
          <w:tcPr>
            <w:tcW w:w="1066"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40,042,202</w:t>
            </w:r>
          </w:p>
        </w:tc>
        <w:tc>
          <w:tcPr>
            <w:tcW w:w="108"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pPr>
            <w:r>
              <w:rPr/>
              <w:t> </w:t>
            </w:r>
          </w:p>
        </w:tc>
        <w:tc>
          <w:tcPr>
            <w:tcW w:w="1066"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35,982,604</w:t>
            </w:r>
          </w:p>
        </w:tc>
        <w:tc>
          <w:tcPr>
            <w:tcW w:w="108" w:type="dxa"/>
            <w:tcBorders/>
            <w:shd w:fill="auto" w:val="clear"/>
            <w:tcMar>
              <w:bottom w:w="0" w:type="dxa"/>
            </w:tcMar>
            <w:vAlign w:val="bottom"/>
          </w:tcPr>
          <w:p>
            <w:pPr>
              <w:pStyle w:val="TableContents"/>
              <w:spacing w:before="0" w:after="283"/>
              <w:jc w:val="left"/>
              <w:rPr/>
            </w:pPr>
            <w:r>
              <w:rPr/>
              <w:t> </w:t>
            </w:r>
          </w:p>
        </w:tc>
        <w:tc>
          <w:tcPr>
            <w:tcW w:w="100"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pPr>
            <w:r>
              <w:rPr/>
              <w:t> </w:t>
            </w:r>
          </w:p>
        </w:tc>
        <w:tc>
          <w:tcPr>
            <w:tcW w:w="1066"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39,650,563</w:t>
            </w:r>
          </w:p>
        </w:tc>
        <w:tc>
          <w:tcPr>
            <w:tcW w:w="108"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pPr>
            <w:r>
              <w:rPr/>
              <w:t> </w:t>
            </w:r>
          </w:p>
        </w:tc>
        <w:tc>
          <w:tcPr>
            <w:tcW w:w="1066"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13,727,147</w:t>
            </w:r>
          </w:p>
        </w:tc>
        <w:tc>
          <w:tcPr>
            <w:tcW w:w="108"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731" w:type="dxa"/>
            <w:tcBorders/>
            <w:shd w:fill="auto" w:val="clear"/>
            <w:tcMar>
              <w:bottom w:w="0" w:type="dxa"/>
            </w:tcMar>
            <w:vAlign w:val="bottom"/>
          </w:tcPr>
          <w:p>
            <w:pPr>
              <w:pStyle w:val="TableContents"/>
              <w:spacing w:before="0" w:after="283"/>
              <w:jc w:val="right"/>
              <w:rPr/>
            </w:pPr>
            <w:r>
              <w:rPr/>
              <w:t> </w:t>
            </w:r>
          </w:p>
        </w:tc>
        <w:tc>
          <w:tcPr>
            <w:tcW w:w="119"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54" w:name="PGBRK73"/>
      <w:bookmarkStart w:id="855" w:name="PGBRK73"/>
      <w:bookmarkEnd w:id="8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6" w:name="FTR73"/>
      <w:bookmarkStart w:id="857" w:name="FTR73"/>
      <w:bookmarkEnd w:id="8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58" w:name="GLFTR73"/>
      <w:bookmarkEnd w:id="8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59" w:name="PN72"/>
      <w:bookmarkEnd w:id="859"/>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0" w:name="HDR72"/>
      <w:bookmarkStart w:id="861" w:name="HDR72"/>
      <w:bookmarkEnd w:id="8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2" w:name="GLHDR72"/>
      <w:bookmarkEnd w:id="8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5910"/>
        <w:gridCol w:w="105"/>
        <w:gridCol w:w="125"/>
        <w:gridCol w:w="1065"/>
        <w:gridCol w:w="111"/>
        <w:gridCol w:w="105"/>
        <w:gridCol w:w="125"/>
        <w:gridCol w:w="1098"/>
        <w:gridCol w:w="111"/>
        <w:gridCol w:w="105"/>
        <w:gridCol w:w="125"/>
        <w:gridCol w:w="1098"/>
        <w:gridCol w:w="122"/>
      </w:tblGrid>
      <w:tr>
        <w:trPr/>
        <w:tc>
          <w:tcPr>
            <w:tcW w:w="5910" w:type="dxa"/>
            <w:tcBorders>
              <w:top w:val="single" w:sz="12" w:space="0" w:color="000000"/>
            </w:tcBorders>
            <w:shd w:fill="auto" w:val="clear"/>
            <w:vAlign w:val="bottom"/>
          </w:tcPr>
          <w:p>
            <w:pPr>
              <w:pStyle w:val="TableContents"/>
              <w:spacing w:before="0" w:after="283"/>
              <w:rPr/>
            </w:pPr>
            <w:r>
              <w:rPr/>
              <w:t xml:space="preserve">  </w:t>
            </w:r>
          </w:p>
        </w:tc>
        <w:tc>
          <w:tcPr>
            <w:tcW w:w="105" w:type="dxa"/>
            <w:tcBorders>
              <w:top w:val="single" w:sz="12" w:space="0" w:color="000000"/>
            </w:tcBorders>
            <w:shd w:fill="auto" w:val="clear"/>
            <w:vAlign w:val="bottom"/>
          </w:tcPr>
          <w:p>
            <w:pPr>
              <w:pStyle w:val="TableContents"/>
              <w:spacing w:before="0" w:after="283"/>
              <w:rPr/>
            </w:pPr>
            <w:r>
              <w:rPr/>
              <w:t> </w:t>
            </w:r>
          </w:p>
        </w:tc>
        <w:tc>
          <w:tcPr>
            <w:tcW w:w="1190"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Nine Months</w:t>
            </w:r>
          </w:p>
          <w:p>
            <w:pPr>
              <w:pStyle w:val="TableContents"/>
              <w:spacing w:before="0" w:after="0"/>
              <w:ind w:left="0" w:right="0" w:hanging="0"/>
              <w:jc w:val="center"/>
              <w:rPr>
                <w:rFonts w:ascii="times new roman" w:hAnsi="times new roman"/>
                <w:sz w:val="20"/>
              </w:rPr>
            </w:pPr>
            <w:r>
              <w:rPr>
                <w:rFonts w:ascii="times new roman" w:hAnsi="times new roman"/>
                <w:sz w:val="20"/>
              </w:rPr>
              <w:t>Ended</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11" w:type="dxa"/>
            <w:tcBorders>
              <w:top w:val="single" w:sz="12" w:space="0" w:color="000000"/>
            </w:tcBorders>
            <w:shd w:fill="auto" w:val="clear"/>
            <w:vAlign w:val="bottom"/>
          </w:tcPr>
          <w:p>
            <w:pPr>
              <w:pStyle w:val="TableContents"/>
              <w:spacing w:before="0" w:after="283"/>
              <w:jc w:val="left"/>
              <w:rPr/>
            </w:pPr>
            <w:r>
              <w:rPr/>
              <w:t> </w:t>
            </w:r>
          </w:p>
        </w:tc>
        <w:tc>
          <w:tcPr>
            <w:tcW w:w="105" w:type="dxa"/>
            <w:tcBorders>
              <w:top w:val="single" w:sz="12" w:space="0" w:color="000000"/>
            </w:tcBorders>
            <w:shd w:fill="auto" w:val="clear"/>
            <w:vAlign w:val="bottom"/>
          </w:tcPr>
          <w:p>
            <w:pPr>
              <w:pStyle w:val="TableContents"/>
              <w:spacing w:before="0" w:after="283"/>
              <w:rPr/>
            </w:pPr>
            <w:r>
              <w:rPr/>
              <w:t> </w:t>
            </w:r>
          </w:p>
        </w:tc>
        <w:tc>
          <w:tcPr>
            <w:tcW w:w="1223"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Nine Months</w:t>
            </w:r>
          </w:p>
          <w:p>
            <w:pPr>
              <w:pStyle w:val="TableContents"/>
              <w:spacing w:before="0" w:after="0"/>
              <w:ind w:left="0" w:right="0" w:hanging="0"/>
              <w:jc w:val="center"/>
              <w:rPr>
                <w:rFonts w:ascii="times new roman" w:hAnsi="times new roman"/>
                <w:sz w:val="20"/>
              </w:rPr>
            </w:pPr>
            <w:r>
              <w:rPr>
                <w:rFonts w:ascii="times new roman" w:hAnsi="times new roman"/>
                <w:sz w:val="20"/>
              </w:rPr>
              <w:t>Ended</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11" w:type="dxa"/>
            <w:tcBorders>
              <w:top w:val="single" w:sz="12" w:space="0" w:color="000000"/>
            </w:tcBorders>
            <w:shd w:fill="auto" w:val="clear"/>
            <w:vAlign w:val="bottom"/>
          </w:tcPr>
          <w:p>
            <w:pPr>
              <w:pStyle w:val="TableContents"/>
              <w:spacing w:before="0" w:after="283"/>
              <w:jc w:val="left"/>
              <w:rPr/>
            </w:pPr>
            <w:r>
              <w:rPr/>
              <w:t> </w:t>
            </w:r>
          </w:p>
        </w:tc>
        <w:tc>
          <w:tcPr>
            <w:tcW w:w="105" w:type="dxa"/>
            <w:tcBorders>
              <w:top w:val="single" w:sz="12" w:space="0" w:color="000000"/>
            </w:tcBorders>
            <w:shd w:fill="auto" w:val="clear"/>
            <w:vAlign w:val="bottom"/>
          </w:tcPr>
          <w:p>
            <w:pPr>
              <w:pStyle w:val="TableContents"/>
              <w:spacing w:before="0" w:after="283"/>
              <w:rPr/>
            </w:pPr>
            <w:r>
              <w:rPr/>
              <w:t> </w:t>
            </w:r>
          </w:p>
        </w:tc>
        <w:tc>
          <w:tcPr>
            <w:tcW w:w="1223"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of development stage) to</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22" w:type="dxa"/>
            <w:tcBorders>
              <w:top w:val="single" w:sz="12" w:space="0" w:color="000000"/>
            </w:tcBorders>
            <w:shd w:fill="auto" w:val="clear"/>
            <w:vAlign w:val="bottom"/>
          </w:tcPr>
          <w:p>
            <w:pPr>
              <w:pStyle w:val="TableContents"/>
              <w:spacing w:before="0" w:after="283"/>
              <w:jc w:val="left"/>
              <w:rPr/>
            </w:pPr>
            <w:r>
              <w:rPr/>
              <w:t> </w:t>
            </w:r>
          </w:p>
        </w:tc>
      </w:tr>
      <w:tr>
        <w:trPr/>
        <w:tc>
          <w:tcPr>
            <w:tcW w:w="5910"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19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23"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23"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p>
            <w:pPr>
              <w:pStyle w:val="TableContents"/>
              <w:spacing w:before="0" w:after="0"/>
              <w:ind w:left="0" w:right="0" w:hanging="0"/>
              <w:jc w:val="center"/>
              <w:rPr>
                <w:rFonts w:ascii="times new roman" w:hAnsi="times new roman"/>
                <w:sz w:val="20"/>
              </w:rPr>
            </w:pPr>
            <w:r>
              <w:rPr>
                <w:rFonts w:ascii="times new roman" w:hAnsi="times new roman"/>
                <w:sz w:val="20"/>
              </w:rPr>
              <w:t>(As restated)</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190" w:type="dxa"/>
            <w:gridSpan w:val="2"/>
            <w:tcBorders/>
            <w:shd w:fill="auto" w:val="clear"/>
            <w:tcMar>
              <w:top w:w="0" w:type="dxa"/>
            </w:tcMar>
            <w:vAlign w:val="bottom"/>
          </w:tcPr>
          <w:p>
            <w:pPr>
              <w:pStyle w:val="TableContents"/>
              <w:spacing w:before="0" w:after="283"/>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23" w:type="dxa"/>
            <w:gridSpan w:val="2"/>
            <w:tcBorders/>
            <w:shd w:fill="auto" w:val="clear"/>
            <w:tcMar>
              <w:top w:w="0" w:type="dxa"/>
            </w:tcMar>
            <w:vAlign w:val="bottom"/>
          </w:tcPr>
          <w:p>
            <w:pPr>
              <w:pStyle w:val="TableContents"/>
              <w:spacing w:before="0" w:after="283"/>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23" w:type="dxa"/>
            <w:gridSpan w:val="2"/>
            <w:tcBorders/>
            <w:shd w:fill="auto" w:val="clear"/>
            <w:tcMar>
              <w:top w:w="0" w:type="dxa"/>
            </w:tcMar>
            <w:vAlign w:val="bottom"/>
          </w:tcPr>
          <w:p>
            <w:pPr>
              <w:pStyle w:val="TableContents"/>
              <w:spacing w:before="0" w:after="283"/>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05" w:type="dxa"/>
            <w:tcBorders/>
            <w:shd w:fill="auto" w:val="clear"/>
            <w:tcMar>
              <w:top w:w="0" w:type="dxa"/>
            </w:tcMar>
            <w:vAlign w:val="bottom"/>
          </w:tcPr>
          <w:p>
            <w:pPr>
              <w:pStyle w:val="TableContents"/>
              <w:spacing w:before="0" w:after="283"/>
              <w:rPr/>
            </w:pPr>
            <w:r>
              <w:rPr/>
              <w:t> </w:t>
            </w:r>
          </w:p>
        </w:tc>
        <w:tc>
          <w:tcPr>
            <w:tcW w:w="1190" w:type="dxa"/>
            <w:gridSpan w:val="2"/>
            <w:tcBorders/>
            <w:shd w:fill="auto" w:val="clear"/>
            <w:tcMar>
              <w:top w:w="0" w:type="dxa"/>
            </w:tcMar>
            <w:vAlign w:val="bottom"/>
          </w:tcPr>
          <w:p>
            <w:pPr>
              <w:pStyle w:val="TableContents"/>
              <w:spacing w:before="0" w:after="283"/>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23" w:type="dxa"/>
            <w:gridSpan w:val="2"/>
            <w:tcBorders/>
            <w:shd w:fill="auto" w:val="clear"/>
            <w:tcMar>
              <w:top w:w="0" w:type="dxa"/>
            </w:tcMar>
            <w:vAlign w:val="bottom"/>
          </w:tcPr>
          <w:p>
            <w:pPr>
              <w:pStyle w:val="TableContents"/>
              <w:spacing w:before="0" w:after="283"/>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23" w:type="dxa"/>
            <w:gridSpan w:val="2"/>
            <w:tcBorders/>
            <w:shd w:fill="auto" w:val="clear"/>
            <w:tcMar>
              <w:top w:w="0" w:type="dxa"/>
            </w:tcMar>
            <w:vAlign w:val="bottom"/>
          </w:tcPr>
          <w:p>
            <w:pPr>
              <w:pStyle w:val="TableContents"/>
              <w:spacing w:before="0" w:after="283"/>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(3,987,640</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(14,265,358</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(42,398,754</w:t>
            </w:r>
          </w:p>
        </w:tc>
        <w:tc>
          <w:tcPr>
            <w:tcW w:w="12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 net</w:t>
            </w:r>
          </w:p>
          <w:p>
            <w:pPr>
              <w:pStyle w:val="TableContents"/>
              <w:spacing w:before="0" w:after="0"/>
              <w:ind w:left="0" w:right="0" w:hanging="0"/>
              <w:jc w:val="left"/>
              <w:rPr>
                <w:rFonts w:ascii="times new roman" w:hAnsi="times new roman"/>
                <w:sz w:val="20"/>
              </w:rPr>
            </w:pPr>
            <w:r>
              <w:rPr>
                <w:rFonts w:ascii="times new roman" w:hAnsi="times new roman"/>
                <w:sz w:val="20"/>
              </w:rPr>
              <w:t>cash used in operating activities:</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Depreciation</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3,740</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213,228</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Non-cash loss on debt financing</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1,615,425</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1,615,425</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Changes in fair value of derivative liabilities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(1,724,217</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(1,724,217</w:t>
            </w:r>
          </w:p>
        </w:tc>
        <w:tc>
          <w:tcPr>
            <w:tcW w:w="12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(Gain) loss on settlement of debts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(53,589</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12,529,302</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11,949,383</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Non-cash interest and finance fees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771,799</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480,423</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4,319,888</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2,116,118</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51,000</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9,383,235</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Changes in operating assets and liabilities:</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32,255</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(1,064</w:t>
            </w:r>
          </w:p>
        </w:tc>
        <w:tc>
          <w:tcPr>
            <w:tcW w:w="12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Prepaid expenses and receivables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(30,700</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(90,480</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(24,700</w:t>
            </w:r>
          </w:p>
        </w:tc>
        <w:tc>
          <w:tcPr>
            <w:tcW w:w="12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Deferred financing costs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41,381</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41,381</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327,727</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589,287</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2,813,740</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73,404</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(25,467</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337,211</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Used in Operating Activities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(850,323</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(689,899</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(13,469,845</w:t>
            </w:r>
          </w:p>
        </w:tc>
        <w:tc>
          <w:tcPr>
            <w:tcW w:w="12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0" w:type="dxa"/>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Purchase of furniture and equipment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(218,626</w:t>
            </w:r>
          </w:p>
        </w:tc>
        <w:tc>
          <w:tcPr>
            <w:tcW w:w="12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1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Cash acquired on reverse acquisition</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423,373</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 Investing Activities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204,747</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Issuance of common stock, net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9,622,125</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Convertible notes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712,254</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1,370,704</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Notes and loans payable</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919,845</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Subscription advances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Advances from related parties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141,379</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50,153</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1,497,165</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 Financing Activities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853,633</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735,153</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13,409,839</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Increase in Cash</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3,310</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45,254</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144,741</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Beginning of Period</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987</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End of Period</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144,741</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46,241</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144,741</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5910"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b/>
                <w:sz w:val="20"/>
              </w:rPr>
              <w:t>Supplemental cash flow information and non-cash investing and financing activities:</w:t>
            </w:r>
            <w:r>
              <w:rPr>
                <w:rFonts w:ascii="times new roman" w:hAnsi="times new roman"/>
                <w:sz w:val="20"/>
              </w:rPr>
              <w:t xml:space="preserve"> (refer to Note 8)</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5"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2"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63" w:name="PGBRK74"/>
      <w:bookmarkStart w:id="864" w:name="PGBRK74"/>
      <w:bookmarkEnd w:id="8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5" w:name="FTR74"/>
      <w:bookmarkStart w:id="866" w:name="FTR74"/>
      <w:bookmarkEnd w:id="8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67" w:name="GLFTR74"/>
      <w:bookmarkEnd w:id="8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68" w:name="PN73"/>
      <w:bookmarkEnd w:id="868"/>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9" w:name="HDR73"/>
      <w:bookmarkStart w:id="870" w:name="HDR73"/>
      <w:bookmarkEnd w:id="8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71" w:name="GLHDR73"/>
      <w:bookmarkEnd w:id="8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SEPTEMBER 30, 2010 (UNAUDITED)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1A:  RESTATEMENT OF CONSOLIDATED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Restatement relating to accounting for debt settlement transactions in fiscal year ended December 2009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restated our consolidated financial statements as of and for the nine months ended September 30, 2009 for changes to the Company’s accounting for debt settlement transactions. We had accounted for the equity issuance in settlement of $3,181,206 of debt by estimating the fair value from third party debt assignments instead of the quoted market value of the stock. Additionally, in connection with the debt settlement, the Company issued 2,000,000 shares pursuant to a consulting services agreement using a block discount from the quoted value of the stock. Following discussions with the SEC in connection with comments issued by the staff of the SEC, the Company determined that its accounting for debt settlement transactions should be reviewed. As a result, we reviewed GAAP guidance, which states that, ‘a quoted market price in an active market is the best evidence of fair value and should be used as the basis for the measurement, if available’. Based on this guidance we have concluded that the difference of $13,137,038 between the fair value recognized using the quoted market price and the debt settled amounts should be recognized as loss on debt settlement.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impact of the restatement on the consolidated financial statements as of and for the three and nine months ended September 30, 2009, and from July 27, 1999 (inception) to September 30, 2009 is shown in the following tables: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652"/>
        <w:gridCol w:w="286"/>
        <w:gridCol w:w="1357"/>
        <w:gridCol w:w="822"/>
        <w:gridCol w:w="2137"/>
        <w:gridCol w:w="293"/>
        <w:gridCol w:w="286"/>
        <w:gridCol w:w="1372"/>
      </w:tblGrid>
      <w:tr>
        <w:trPr/>
        <w:tc>
          <w:tcPr>
            <w:tcW w:w="5295"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2959"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51"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Balance sheet data — </w:t>
            </w:r>
            <w:r>
              <w:rPr>
                <w:rFonts w:ascii="times new roman" w:hAnsi="times new roman"/>
                <w:b/>
                <w:color w:val="0000FF"/>
                <w:sz w:val="20"/>
                <w:u w:val="single"/>
                <w:bdr w:val="double" w:sz="2" w:space="1" w:color="000000"/>
              </w:rPr>
              <w:t>December 31</w:t>
            </w:r>
            <w:r>
              <w:rPr>
                <w:rFonts w:ascii="times new roman" w:hAnsi="times new roman"/>
                <w:b/>
                <w:sz w:val="20"/>
              </w:rPr>
              <w:t>, 2009</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286"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1357"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24,152,319 </w:t>
            </w:r>
          </w:p>
        </w:tc>
        <w:tc>
          <w:tcPr>
            <w:tcW w:w="822"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2430" w:type="dxa"/>
            <w:gridSpan w:val="2"/>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13,137,038 </w:t>
            </w:r>
          </w:p>
        </w:tc>
        <w:tc>
          <w:tcPr>
            <w:tcW w:w="286"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1372"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37,289,357</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(25,274,076)</w:t>
            </w:r>
          </w:p>
        </w:tc>
        <w:tc>
          <w:tcPr>
            <w:tcW w:w="822" w:type="dxa"/>
            <w:tcBorders/>
            <w:shd w:fill="auto" w:val="clear"/>
          </w:tcPr>
          <w:p>
            <w:pPr>
              <w:pStyle w:val="TableContents"/>
              <w:spacing w:before="0" w:after="283"/>
              <w:rPr>
                <w:color w:val="0000FF"/>
                <w:u w:val="single"/>
                <w:bdr w:val="double" w:sz="2" w:space="1" w:color="000000"/>
              </w:rPr>
            </w:pPr>
            <w:r>
              <w:rPr>
                <w:color w:val="0000FF"/>
                <w:u w:val="single"/>
                <w:bdr w:val="double" w:sz="2" w:space="1" w:color="000000"/>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(13,137,038)</w:t>
            </w:r>
          </w:p>
        </w:tc>
        <w:tc>
          <w:tcPr>
            <w:tcW w:w="286" w:type="dxa"/>
            <w:tcBorders/>
            <w:shd w:fill="auto" w:val="clear"/>
          </w:tcPr>
          <w:p>
            <w:pPr>
              <w:pStyle w:val="TableContents"/>
              <w:spacing w:before="0" w:after="283"/>
              <w:rPr>
                <w:color w:val="0000FF"/>
                <w:u w:val="single"/>
                <w:bdr w:val="double" w:sz="2" w:space="1" w:color="000000"/>
              </w:rPr>
            </w:pPr>
            <w:r>
              <w:rPr>
                <w:color w:val="0000FF"/>
                <w:u w:val="single"/>
                <w:bdr w:val="double" w:sz="2" w:space="1" w:color="000000"/>
              </w:rPr>
              <w:t xml:space="preserve">  </w:t>
            </w:r>
          </w:p>
        </w:tc>
        <w:tc>
          <w:tcPr>
            <w:tcW w:w="1372"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(38,411,114)</w:t>
            </w:r>
          </w:p>
        </w:tc>
      </w:tr>
      <w:tr>
        <w:trPr/>
        <w:tc>
          <w:tcPr>
            <w:tcW w:w="3652" w:type="dxa"/>
            <w:tcBorders/>
            <w:shd w:fill="auto" w:val="clear"/>
          </w:tcPr>
          <w:p>
            <w:pPr>
              <w:pStyle w:val="TableContents"/>
              <w:spacing w:before="0" w:after="0"/>
              <w:ind w:left="0" w:right="0" w:hanging="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Total stockholders’ equity</w:t>
            </w:r>
          </w:p>
        </w:tc>
        <w:tc>
          <w:tcPr>
            <w:tcW w:w="286"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1357"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(629,388)</w:t>
            </w:r>
          </w:p>
        </w:tc>
        <w:tc>
          <w:tcPr>
            <w:tcW w:w="822"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2430" w:type="dxa"/>
            <w:gridSpan w:val="2"/>
            <w:tcBorders/>
            <w:shd w:fill="auto" w:val="clear"/>
          </w:tcPr>
          <w:p>
            <w:pPr>
              <w:pStyle w:val="TableContents"/>
              <w:spacing w:before="0" w:after="0"/>
              <w:ind w:left="0" w:right="0" w:hanging="0"/>
              <w:jc w:val="right"/>
              <w:rPr>
                <w:color w:val="0000FF"/>
                <w:u w:val="single"/>
                <w:bdr w:val="double" w:sz="2" w:space="1" w:color="000000"/>
              </w:rPr>
            </w:pPr>
            <w:r>
              <w:rPr>
                <w:color w:val="0000FF"/>
                <w:u w:val="single"/>
                <w:bdr w:val="double" w:sz="2" w:space="1" w:color="000000"/>
              </w:rPr>
              <w:t>—</w:t>
            </w:r>
          </w:p>
        </w:tc>
        <w:tc>
          <w:tcPr>
            <w:tcW w:w="286"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w:t>
            </w:r>
          </w:p>
        </w:tc>
        <w:tc>
          <w:tcPr>
            <w:tcW w:w="1372" w:type="dxa"/>
            <w:tcBorders/>
            <w:shd w:fill="auto" w:val="clear"/>
          </w:tcPr>
          <w:p>
            <w:pPr>
              <w:pStyle w:val="TableContents"/>
              <w:spacing w:before="0" w:after="0"/>
              <w:ind w:left="0" w:right="0" w:hanging="0"/>
              <w:jc w:val="righ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(629,388)</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652"/>
        <w:gridCol w:w="286"/>
        <w:gridCol w:w="1357"/>
        <w:gridCol w:w="822"/>
        <w:gridCol w:w="2138"/>
        <w:gridCol w:w="292"/>
        <w:gridCol w:w="286"/>
        <w:gridCol w:w="1372"/>
      </w:tblGrid>
      <w:tr>
        <w:trPr/>
        <w:tc>
          <w:tcPr>
            <w:tcW w:w="5295" w:type="dxa"/>
            <w:gridSpan w:val="3"/>
            <w:tcBorders/>
            <w:shd w:fill="auto" w:val="clear"/>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296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50"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Operations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For the three months ended September 30, 2009</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 beginning of period</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(21,149,548)</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(13,137,038)</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(34,286,586)</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 end of period</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(21,940,426)</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(13,137,038)</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(35,077,464)</w:t>
            </w:r>
          </w:p>
        </w:tc>
      </w:tr>
      <w:tr>
        <w:trPr/>
        <w:tc>
          <w:tcPr>
            <w:tcW w:w="3652" w:type="dxa"/>
            <w:tcBorders/>
            <w:shd w:fill="auto" w:val="clear"/>
          </w:tcPr>
          <w:p>
            <w:pPr>
              <w:pStyle w:val="TableContents"/>
              <w:spacing w:before="0" w:after="283"/>
              <w:rPr/>
            </w:pPr>
            <w:r>
              <w:rPr/>
              <w:t xml:space="preserve">  </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283"/>
              <w:rPr/>
            </w:pPr>
            <w:r>
              <w:rPr/>
              <w:t xml:space="preserve">  </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283"/>
              <w:rPr/>
            </w:pPr>
            <w:r>
              <w:rPr/>
              <w:t xml:space="preserve">  </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283"/>
              <w:rPr/>
            </w:pPr>
            <w:r>
              <w:rPr/>
              <w:t xml:space="preserve">  </w:t>
            </w:r>
          </w:p>
        </w:tc>
      </w:tr>
      <w:tr>
        <w:trPr/>
        <w:tc>
          <w:tcPr>
            <w:tcW w:w="5295"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296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50"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Operations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For the nine months ended September 30, 2009</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Gain (loss) on settlement of debt</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607,736 </w:t>
            </w:r>
          </w:p>
        </w:tc>
        <w:tc>
          <w:tcPr>
            <w:tcW w:w="82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(13,137,038)</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(12,529,302)</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loss for the period</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(1,128,320)</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(13,137,038)</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(14,265,358)</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 end of period</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(21,940,426)</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(13,137,038)</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(35,077,464)</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 NET LOSS PER SHARE</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Pr>
          <w:p>
            <w:pPr>
              <w:pStyle w:val="TableContents"/>
              <w:spacing w:before="0" w:after="0"/>
              <w:ind w:left="0" w:right="0" w:hanging="0"/>
              <w:jc w:val="right"/>
              <w:rPr/>
            </w:pPr>
            <w:r>
              <w:rPr/>
              <w:t> </w:t>
            </w:r>
            <w:r>
              <w:rPr>
                <w:rFonts w:ascii="times new roman" w:hAnsi="times new roman"/>
                <w:sz w:val="20"/>
              </w:rPr>
              <w:t>(0.08)</w:t>
            </w:r>
          </w:p>
        </w:tc>
        <w:tc>
          <w:tcPr>
            <w:tcW w:w="82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0" w:type="dxa"/>
            <w:gridSpan w:val="2"/>
            <w:tcBorders/>
            <w:shd w:fill="auto" w:val="clear"/>
          </w:tcPr>
          <w:p>
            <w:pPr>
              <w:pStyle w:val="TableContents"/>
              <w:spacing w:before="0" w:after="0"/>
              <w:ind w:left="0" w:right="0" w:hanging="0"/>
              <w:jc w:val="right"/>
              <w:rPr/>
            </w:pPr>
            <w:r>
              <w:rPr/>
              <w:t> </w:t>
            </w:r>
            <w:r>
              <w:rPr>
                <w:rFonts w:ascii="times new roman" w:hAnsi="times new roman"/>
                <w:sz w:val="20"/>
              </w:rPr>
              <w:t>(0.96)</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2" w:type="dxa"/>
            <w:tcBorders/>
            <w:shd w:fill="auto" w:val="clear"/>
          </w:tcPr>
          <w:p>
            <w:pPr>
              <w:pStyle w:val="TableContents"/>
              <w:spacing w:before="0" w:after="0"/>
              <w:ind w:left="0" w:right="0" w:hanging="0"/>
              <w:jc w:val="right"/>
              <w:rPr/>
            </w:pPr>
            <w:r>
              <w:rPr/>
              <w:t> </w:t>
            </w:r>
            <w:r>
              <w:rPr>
                <w:rFonts w:ascii="times new roman" w:hAnsi="times new roman"/>
                <w:sz w:val="20"/>
              </w:rPr>
              <w:t>(1.04)</w:t>
            </w:r>
          </w:p>
        </w:tc>
      </w:tr>
      <w:tr>
        <w:trPr/>
        <w:tc>
          <w:tcPr>
            <w:tcW w:w="3652" w:type="dxa"/>
            <w:tcBorders/>
            <w:shd w:fill="auto" w:val="clear"/>
          </w:tcPr>
          <w:p>
            <w:pPr>
              <w:pStyle w:val="TableContents"/>
              <w:spacing w:before="0" w:after="283"/>
              <w:rPr/>
            </w:pPr>
            <w:r>
              <w:rPr/>
              <w:t xml:space="preserve">  </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283"/>
              <w:rPr/>
            </w:pPr>
            <w:r>
              <w:rPr/>
              <w:t xml:space="preserve">  </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283"/>
              <w:rPr/>
            </w:pPr>
            <w:r>
              <w:rPr/>
              <w:t xml:space="preserve">  </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652"/>
        <w:gridCol w:w="286"/>
        <w:gridCol w:w="1357"/>
        <w:gridCol w:w="822"/>
        <w:gridCol w:w="2138"/>
        <w:gridCol w:w="292"/>
        <w:gridCol w:w="286"/>
        <w:gridCol w:w="1372"/>
      </w:tblGrid>
      <w:tr>
        <w:trPr/>
        <w:tc>
          <w:tcPr>
            <w:tcW w:w="5295"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296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50"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Operations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July 27, 1999 (inception) to September 30, 2009</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Gain (loss) on settlement of debt</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780,746 </w:t>
            </w:r>
          </w:p>
        </w:tc>
        <w:tc>
          <w:tcPr>
            <w:tcW w:w="82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(13,137,038)</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(12,356,292)</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loss for the period</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(21,940,426)</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(13,137,038)</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(35,077,464)</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 end of period</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(21,940,426)</w:t>
            </w:r>
          </w:p>
        </w:tc>
        <w:tc>
          <w:tcPr>
            <w:tcW w:w="82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(13,137,038)</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(35,077,464)</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2" w:name="PGBRK75"/>
      <w:bookmarkStart w:id="873" w:name="PGBRK75"/>
      <w:bookmarkEnd w:id="8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4" w:name="FTR75"/>
      <w:bookmarkStart w:id="875" w:name="FTR75"/>
      <w:bookmarkEnd w:id="8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76" w:name="GLFTR75"/>
      <w:bookmarkEnd w:id="8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77" w:name="PN74"/>
      <w:bookmarkEnd w:id="877"/>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8" w:name="HDR74"/>
      <w:bookmarkStart w:id="879" w:name="HDR74"/>
      <w:bookmarkEnd w:id="8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80" w:name="GLHDR74"/>
      <w:bookmarkEnd w:id="8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731"/>
        <w:gridCol w:w="290"/>
        <w:gridCol w:w="1281"/>
        <w:gridCol w:w="779"/>
        <w:gridCol w:w="2171"/>
        <w:gridCol w:w="300"/>
        <w:gridCol w:w="290"/>
        <w:gridCol w:w="1363"/>
      </w:tblGrid>
      <w:tr>
        <w:trPr/>
        <w:tc>
          <w:tcPr>
            <w:tcW w:w="3731" w:type="dxa"/>
            <w:tcBorders/>
            <w:shd w:fill="auto" w:val="clear"/>
          </w:tcPr>
          <w:p>
            <w:pPr>
              <w:pStyle w:val="TableContents"/>
              <w:spacing w:before="0" w:after="283"/>
              <w:rPr/>
            </w:pPr>
            <w:r>
              <w:rPr/>
              <w:t xml:space="preserve">  </w:t>
            </w:r>
          </w:p>
        </w:tc>
        <w:tc>
          <w:tcPr>
            <w:tcW w:w="290" w:type="dxa"/>
            <w:tcBorders/>
            <w:shd w:fill="auto" w:val="clear"/>
          </w:tcPr>
          <w:p>
            <w:pPr>
              <w:pStyle w:val="TableContents"/>
              <w:spacing w:before="0" w:after="283"/>
              <w:rPr/>
            </w:pPr>
            <w:r>
              <w:rPr/>
              <w:t xml:space="preserve">  </w:t>
            </w:r>
          </w:p>
        </w:tc>
        <w:tc>
          <w:tcPr>
            <w:tcW w:w="1281" w:type="dxa"/>
            <w:tcBorders/>
            <w:shd w:fill="auto" w:val="clear"/>
          </w:tcPr>
          <w:p>
            <w:pPr>
              <w:pStyle w:val="TableContents"/>
              <w:spacing w:before="0" w:after="283"/>
              <w:rPr/>
            </w:pPr>
            <w:r>
              <w:rPr/>
              <w:t xml:space="preserve">  </w:t>
            </w:r>
          </w:p>
        </w:tc>
        <w:tc>
          <w:tcPr>
            <w:tcW w:w="779" w:type="dxa"/>
            <w:tcBorders/>
            <w:shd w:fill="auto" w:val="clear"/>
          </w:tcPr>
          <w:p>
            <w:pPr>
              <w:pStyle w:val="TableContents"/>
              <w:spacing w:before="0" w:after="283"/>
              <w:rPr/>
            </w:pPr>
            <w:r>
              <w:rPr/>
              <w:t xml:space="preserve">  </w:t>
            </w:r>
          </w:p>
        </w:tc>
        <w:tc>
          <w:tcPr>
            <w:tcW w:w="2471" w:type="dxa"/>
            <w:gridSpan w:val="2"/>
            <w:tcBorders/>
            <w:shd w:fill="auto" w:val="clear"/>
          </w:tcPr>
          <w:p>
            <w:pPr>
              <w:pStyle w:val="TableContents"/>
              <w:spacing w:before="0" w:after="283"/>
              <w:rPr/>
            </w:pPr>
            <w:r>
              <w:rPr/>
              <w:t xml:space="preserve">  </w:t>
            </w:r>
          </w:p>
        </w:tc>
        <w:tc>
          <w:tcPr>
            <w:tcW w:w="290" w:type="dxa"/>
            <w:tcBorders/>
            <w:shd w:fill="auto" w:val="clear"/>
          </w:tcPr>
          <w:p>
            <w:pPr>
              <w:pStyle w:val="TableContents"/>
              <w:spacing w:before="0" w:after="283"/>
              <w:rPr/>
            </w:pPr>
            <w:r>
              <w:rPr/>
              <w:t xml:space="preserve">  </w:t>
            </w:r>
          </w:p>
        </w:tc>
        <w:tc>
          <w:tcPr>
            <w:tcW w:w="1363" w:type="dxa"/>
            <w:tcBorders/>
            <w:shd w:fill="auto" w:val="clear"/>
          </w:tcPr>
          <w:p>
            <w:pPr>
              <w:pStyle w:val="TableContents"/>
              <w:spacing w:before="0" w:after="283"/>
              <w:rPr/>
            </w:pPr>
            <w:r>
              <w:rPr/>
              <w:t xml:space="preserve">  </w:t>
            </w:r>
          </w:p>
        </w:tc>
      </w:tr>
      <w:tr>
        <w:trPr/>
        <w:tc>
          <w:tcPr>
            <w:tcW w:w="5302"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295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53"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Cash Flows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For the nine months ended September 30, 2009</w:t>
            </w:r>
          </w:p>
        </w:tc>
      </w:tr>
      <w:tr>
        <w:trPr/>
        <w:tc>
          <w:tcPr>
            <w:tcW w:w="373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290"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81"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(1,128,320)</w:t>
            </w:r>
          </w:p>
        </w:tc>
        <w:tc>
          <w:tcPr>
            <w:tcW w:w="779"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71"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(13,137,038)</w:t>
            </w:r>
          </w:p>
        </w:tc>
        <w:tc>
          <w:tcPr>
            <w:tcW w:w="290"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63"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(14,265,358)</w:t>
            </w:r>
          </w:p>
        </w:tc>
      </w:tr>
      <w:tr>
        <w:trPr/>
        <w:tc>
          <w:tcPr>
            <w:tcW w:w="373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Gain on settlement of debt</w:t>
            </w:r>
          </w:p>
        </w:tc>
        <w:tc>
          <w:tcPr>
            <w:tcW w:w="290" w:type="dxa"/>
            <w:tcBorders/>
            <w:shd w:fill="auto" w:val="clear"/>
          </w:tcPr>
          <w:p>
            <w:pPr>
              <w:pStyle w:val="TableContents"/>
              <w:spacing w:before="0" w:after="283"/>
              <w:rPr/>
            </w:pPr>
            <w:r>
              <w:rPr/>
              <w:t xml:space="preserve">  </w:t>
            </w:r>
          </w:p>
        </w:tc>
        <w:tc>
          <w:tcPr>
            <w:tcW w:w="1281"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(607,736)</w:t>
            </w:r>
          </w:p>
        </w:tc>
        <w:tc>
          <w:tcPr>
            <w:tcW w:w="779" w:type="dxa"/>
            <w:tcBorders/>
            <w:shd w:fill="auto" w:val="clear"/>
          </w:tcPr>
          <w:p>
            <w:pPr>
              <w:pStyle w:val="TableContents"/>
              <w:spacing w:before="0" w:after="283"/>
              <w:rPr/>
            </w:pPr>
            <w:r>
              <w:rPr/>
              <w:t xml:space="preserve">  </w:t>
            </w:r>
          </w:p>
        </w:tc>
        <w:tc>
          <w:tcPr>
            <w:tcW w:w="2471"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13,137,038 </w:t>
            </w:r>
          </w:p>
        </w:tc>
        <w:tc>
          <w:tcPr>
            <w:tcW w:w="290" w:type="dxa"/>
            <w:tcBorders/>
            <w:shd w:fill="auto" w:val="clear"/>
          </w:tcPr>
          <w:p>
            <w:pPr>
              <w:pStyle w:val="TableContents"/>
              <w:spacing w:before="0" w:after="283"/>
              <w:rPr/>
            </w:pPr>
            <w:r>
              <w:rPr/>
              <w:t xml:space="preserve">  </w:t>
            </w:r>
          </w:p>
        </w:tc>
        <w:tc>
          <w:tcPr>
            <w:tcW w:w="1363"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12,529,302 </w:t>
            </w:r>
          </w:p>
        </w:tc>
      </w:tr>
      <w:tr>
        <w:trPr/>
        <w:tc>
          <w:tcPr>
            <w:tcW w:w="373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290"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281"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(689,899)</w:t>
            </w:r>
          </w:p>
        </w:tc>
        <w:tc>
          <w:tcPr>
            <w:tcW w:w="779"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71"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290"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63"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(689,899)</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648"/>
        <w:gridCol w:w="286"/>
        <w:gridCol w:w="1357"/>
        <w:gridCol w:w="821"/>
        <w:gridCol w:w="2141"/>
        <w:gridCol w:w="293"/>
        <w:gridCol w:w="286"/>
        <w:gridCol w:w="1373"/>
      </w:tblGrid>
      <w:tr>
        <w:trPr/>
        <w:tc>
          <w:tcPr>
            <w:tcW w:w="5291"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2962"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52"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Cash Flows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From July 27, 1999 (inception) to September 30, 2009</w:t>
            </w:r>
          </w:p>
        </w:tc>
      </w:tr>
      <w:tr>
        <w:trPr/>
        <w:tc>
          <w:tcPr>
            <w:tcW w:w="364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(21,940,426)</w:t>
            </w:r>
          </w:p>
        </w:tc>
        <w:tc>
          <w:tcPr>
            <w:tcW w:w="821"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4"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(13,137,038)</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3"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(35,077,464)</w:t>
            </w:r>
          </w:p>
        </w:tc>
      </w:tr>
      <w:tr>
        <w:trPr/>
        <w:tc>
          <w:tcPr>
            <w:tcW w:w="364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Gain on settlement of debt</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(780,746)</w:t>
            </w:r>
          </w:p>
        </w:tc>
        <w:tc>
          <w:tcPr>
            <w:tcW w:w="821" w:type="dxa"/>
            <w:tcBorders/>
            <w:shd w:fill="auto" w:val="clear"/>
          </w:tcPr>
          <w:p>
            <w:pPr>
              <w:pStyle w:val="TableContents"/>
              <w:spacing w:before="0" w:after="283"/>
              <w:rPr/>
            </w:pPr>
            <w:r>
              <w:rPr/>
              <w:t xml:space="preserve">  </w:t>
            </w:r>
          </w:p>
        </w:tc>
        <w:tc>
          <w:tcPr>
            <w:tcW w:w="2434"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13,137,038 </w:t>
            </w:r>
          </w:p>
        </w:tc>
        <w:tc>
          <w:tcPr>
            <w:tcW w:w="286" w:type="dxa"/>
            <w:tcBorders/>
            <w:shd w:fill="auto" w:val="clear"/>
          </w:tcPr>
          <w:p>
            <w:pPr>
              <w:pStyle w:val="TableContents"/>
              <w:spacing w:before="0" w:after="283"/>
              <w:rPr/>
            </w:pPr>
            <w:r>
              <w:rPr/>
              <w:t xml:space="preserve">  </w:t>
            </w:r>
          </w:p>
        </w:tc>
        <w:tc>
          <w:tcPr>
            <w:tcW w:w="1373"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12,356,292 </w:t>
            </w:r>
          </w:p>
        </w:tc>
      </w:tr>
      <w:tr>
        <w:trPr/>
        <w:tc>
          <w:tcPr>
            <w:tcW w:w="364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(12,187,695)</w:t>
            </w:r>
          </w:p>
        </w:tc>
        <w:tc>
          <w:tcPr>
            <w:tcW w:w="821"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4"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3"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(12,187,695)</w:t>
            </w:r>
          </w:p>
        </w:tc>
      </w:tr>
      <w:tr>
        <w:trPr/>
        <w:tc>
          <w:tcPr>
            <w:tcW w:w="3648" w:type="dxa"/>
            <w:tcBorders/>
            <w:shd w:fill="auto" w:val="clear"/>
          </w:tcPr>
          <w:p>
            <w:pPr>
              <w:pStyle w:val="TableContents"/>
              <w:spacing w:before="0" w:after="283"/>
              <w:rPr/>
            </w:pPr>
            <w:r>
              <w:rPr/>
              <w:t xml:space="preserve">  </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283"/>
              <w:rPr/>
            </w:pPr>
            <w:r>
              <w:rPr/>
              <w:t xml:space="preserve">  </w:t>
            </w:r>
          </w:p>
        </w:tc>
        <w:tc>
          <w:tcPr>
            <w:tcW w:w="821" w:type="dxa"/>
            <w:tcBorders/>
            <w:shd w:fill="auto" w:val="clear"/>
          </w:tcPr>
          <w:p>
            <w:pPr>
              <w:pStyle w:val="TableContents"/>
              <w:spacing w:before="0" w:after="283"/>
              <w:rPr/>
            </w:pPr>
            <w:r>
              <w:rPr/>
              <w:t xml:space="preserve">  </w:t>
            </w:r>
          </w:p>
        </w:tc>
        <w:tc>
          <w:tcPr>
            <w:tcW w:w="2434" w:type="dxa"/>
            <w:gridSpan w:val="2"/>
            <w:tcBorders/>
            <w:shd w:fill="auto" w:val="clear"/>
          </w:tcPr>
          <w:p>
            <w:pPr>
              <w:pStyle w:val="TableContents"/>
              <w:spacing w:before="0" w:after="283"/>
              <w:rPr/>
            </w:pPr>
            <w:r>
              <w:rPr/>
              <w:t xml:space="preserve">  </w:t>
            </w:r>
          </w:p>
        </w:tc>
        <w:tc>
          <w:tcPr>
            <w:tcW w:w="286" w:type="dxa"/>
            <w:tcBorders/>
            <w:shd w:fill="auto" w:val="clear"/>
          </w:tcPr>
          <w:p>
            <w:pPr>
              <w:pStyle w:val="TableContents"/>
              <w:spacing w:before="0" w:after="283"/>
              <w:rPr/>
            </w:pPr>
            <w:r>
              <w:rPr/>
              <w:t xml:space="preserve">  </w:t>
            </w:r>
          </w:p>
        </w:tc>
        <w:tc>
          <w:tcPr>
            <w:tcW w:w="1373"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Restatement relating to recognition of derivative liabilities for the period ended June 30,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restated our consolidated financial statements as of and for the nine months ended September 30, 2010 related to the Company’s accounting for embedded warrants in the convertible notes issued during the nine months ended September 30, 2010. We had recorded the fair value of the Series A Warrants, Series B Warrants and Series C Warrants to equity. Following discussions with the SEC in connection with comments issued by the staff of the SEC, the Company determined that its accounting for the warrants should be reviewed. As a result, we evaluated the application of ASC 815 Derivatives and Hedging (formerly SFAS No. 133) and ASC 815-40 Contracts in an Entity’s Own Equity to the issued and outstanding warrants to purchase common stock that were issued with the convertible notes during the nine months ended September 30, 2010 and those issued as finders’ fees. Based on the guidance in ASC 815 and ASC 815-40-25, the Company concluded these instruments are required to be accounted for as derivatives due to a ratchet down protection feature available on the exercise price (Note 5). Under ASC 815-40-25, the Company has recorded the fair value of these derivatives on its balance sheet at fair value with changes in the values reflected in the statements of operations as “Changes in fair value of derivative liabilities”.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impact of the restatement on the consolidated financial statements as of and for the three and nine months ended September 30, 2010, and from July 27, 1999 (inception) to September 30, 2010 is shown in the following tables: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666"/>
        <w:gridCol w:w="285"/>
        <w:gridCol w:w="1357"/>
        <w:gridCol w:w="822"/>
        <w:gridCol w:w="2124"/>
        <w:gridCol w:w="292"/>
        <w:gridCol w:w="285"/>
        <w:gridCol w:w="1374"/>
      </w:tblGrid>
      <w:tr>
        <w:trPr/>
        <w:tc>
          <w:tcPr>
            <w:tcW w:w="5308"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2946"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51"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sheet data — September 30, 2010</w:t>
            </w:r>
          </w:p>
        </w:tc>
      </w:tr>
      <w:tr>
        <w:trPr/>
        <w:tc>
          <w:tcPr>
            <w:tcW w:w="3666" w:type="dxa"/>
            <w:tcBorders/>
            <w:shd w:fill="auto" w:val="clear"/>
          </w:tcPr>
          <w:p>
            <w:pPr>
              <w:pStyle w:val="TableContents"/>
              <w:spacing w:before="0" w:after="283"/>
              <w:rPr/>
            </w:pPr>
            <w:r>
              <w:rPr/>
              <w:t xml:space="preserve">  </w:t>
            </w:r>
          </w:p>
        </w:tc>
        <w:tc>
          <w:tcPr>
            <w:tcW w:w="285"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283"/>
              <w:rPr/>
            </w:pPr>
            <w:r>
              <w:rPr/>
              <w:t xml:space="preserve">  </w:t>
            </w:r>
          </w:p>
        </w:tc>
        <w:tc>
          <w:tcPr>
            <w:tcW w:w="822" w:type="dxa"/>
            <w:tcBorders/>
            <w:shd w:fill="auto" w:val="clear"/>
          </w:tcPr>
          <w:p>
            <w:pPr>
              <w:pStyle w:val="TableContents"/>
              <w:spacing w:before="0" w:after="283"/>
              <w:rPr/>
            </w:pPr>
            <w:r>
              <w:rPr/>
              <w:t xml:space="preserve">  </w:t>
            </w:r>
          </w:p>
        </w:tc>
        <w:tc>
          <w:tcPr>
            <w:tcW w:w="2416" w:type="dxa"/>
            <w:gridSpan w:val="2"/>
            <w:tcBorders/>
            <w:shd w:fill="auto" w:val="clear"/>
          </w:tcPr>
          <w:p>
            <w:pPr>
              <w:pStyle w:val="TableContents"/>
              <w:spacing w:before="0" w:after="283"/>
              <w:rPr/>
            </w:pPr>
            <w:r>
              <w:rPr/>
              <w:t xml:space="preserve">  </w:t>
            </w:r>
          </w:p>
        </w:tc>
        <w:tc>
          <w:tcPr>
            <w:tcW w:w="285" w:type="dxa"/>
            <w:tcBorders/>
            <w:shd w:fill="auto" w:val="clear"/>
          </w:tcPr>
          <w:p>
            <w:pPr>
              <w:pStyle w:val="TableContents"/>
              <w:spacing w:before="0" w:after="283"/>
              <w:rPr/>
            </w:pPr>
            <w:r>
              <w:rPr/>
              <w:t xml:space="preserve">  </w:t>
            </w:r>
          </w:p>
        </w:tc>
        <w:tc>
          <w:tcPr>
            <w:tcW w:w="1374" w:type="dxa"/>
            <w:tcBorders/>
            <w:shd w:fill="auto" w:val="clear"/>
          </w:tcPr>
          <w:p>
            <w:pPr>
              <w:pStyle w:val="TableContents"/>
              <w:spacing w:before="0" w:after="283"/>
              <w:rPr/>
            </w:pPr>
            <w:r>
              <w:rPr/>
              <w:t xml:space="preserve">  </w:t>
            </w:r>
          </w:p>
        </w:tc>
      </w:tr>
      <w:tr>
        <w:trPr/>
        <w:tc>
          <w:tcPr>
            <w:tcW w:w="36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Deferred financing costs</w:t>
            </w:r>
          </w:p>
        </w:tc>
        <w:tc>
          <w:tcPr>
            <w:tcW w:w="28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82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16"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148,131 </w:t>
            </w:r>
          </w:p>
        </w:tc>
        <w:tc>
          <w:tcPr>
            <w:tcW w:w="28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148,131 </w:t>
            </w:r>
          </w:p>
        </w:tc>
      </w:tr>
      <w:tr>
        <w:trPr/>
        <w:tc>
          <w:tcPr>
            <w:tcW w:w="36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285"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146,492</w:t>
            </w:r>
          </w:p>
        </w:tc>
        <w:tc>
          <w:tcPr>
            <w:tcW w:w="822" w:type="dxa"/>
            <w:tcBorders/>
            <w:shd w:fill="auto" w:val="clear"/>
          </w:tcPr>
          <w:p>
            <w:pPr>
              <w:pStyle w:val="TableContents"/>
              <w:spacing w:before="0" w:after="283"/>
              <w:rPr/>
            </w:pPr>
            <w:r>
              <w:rPr/>
              <w:t xml:space="preserve">  </w:t>
            </w:r>
          </w:p>
        </w:tc>
        <w:tc>
          <w:tcPr>
            <w:tcW w:w="2416"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148,131 </w:t>
            </w:r>
          </w:p>
        </w:tc>
        <w:tc>
          <w:tcPr>
            <w:tcW w:w="285" w:type="dxa"/>
            <w:tcBorders/>
            <w:shd w:fill="auto" w:val="clear"/>
          </w:tcPr>
          <w:p>
            <w:pPr>
              <w:pStyle w:val="TableContents"/>
              <w:spacing w:before="0" w:after="283"/>
              <w:rPr/>
            </w:pPr>
            <w:r>
              <w:rPr/>
              <w:t xml:space="preserve">  </w:t>
            </w:r>
          </w:p>
        </w:tc>
        <w:tc>
          <w:tcPr>
            <w:tcW w:w="137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294,623</w:t>
            </w:r>
          </w:p>
        </w:tc>
      </w:tr>
      <w:tr>
        <w:trPr/>
        <w:tc>
          <w:tcPr>
            <w:tcW w:w="36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conversion option</w:t>
            </w:r>
          </w:p>
        </w:tc>
        <w:tc>
          <w:tcPr>
            <w:tcW w:w="285"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822" w:type="dxa"/>
            <w:tcBorders/>
            <w:shd w:fill="auto" w:val="clear"/>
          </w:tcPr>
          <w:p>
            <w:pPr>
              <w:pStyle w:val="TableContents"/>
              <w:spacing w:before="0" w:after="283"/>
              <w:rPr/>
            </w:pPr>
            <w:r>
              <w:rPr/>
              <w:t xml:space="preserve">  </w:t>
            </w:r>
          </w:p>
        </w:tc>
        <w:tc>
          <w:tcPr>
            <w:tcW w:w="2416"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262,933 </w:t>
            </w:r>
          </w:p>
        </w:tc>
        <w:tc>
          <w:tcPr>
            <w:tcW w:w="285" w:type="dxa"/>
            <w:tcBorders/>
            <w:shd w:fill="auto" w:val="clear"/>
          </w:tcPr>
          <w:p>
            <w:pPr>
              <w:pStyle w:val="TableContents"/>
              <w:spacing w:before="0" w:after="283"/>
              <w:rPr/>
            </w:pPr>
            <w:r>
              <w:rPr/>
              <w:t xml:space="preserve">  </w:t>
            </w:r>
          </w:p>
        </w:tc>
        <w:tc>
          <w:tcPr>
            <w:tcW w:w="137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262,933 </w:t>
            </w:r>
          </w:p>
        </w:tc>
      </w:tr>
      <w:tr>
        <w:trPr/>
        <w:tc>
          <w:tcPr>
            <w:tcW w:w="36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warrants</w:t>
            </w:r>
          </w:p>
        </w:tc>
        <w:tc>
          <w:tcPr>
            <w:tcW w:w="285"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822" w:type="dxa"/>
            <w:tcBorders/>
            <w:shd w:fill="auto" w:val="clear"/>
          </w:tcPr>
          <w:p>
            <w:pPr>
              <w:pStyle w:val="TableContents"/>
              <w:spacing w:before="0" w:after="283"/>
              <w:rPr/>
            </w:pPr>
            <w:r>
              <w:rPr/>
              <w:t xml:space="preserve">  </w:t>
            </w:r>
          </w:p>
        </w:tc>
        <w:tc>
          <w:tcPr>
            <w:tcW w:w="2416"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1,068,375 </w:t>
            </w:r>
          </w:p>
        </w:tc>
        <w:tc>
          <w:tcPr>
            <w:tcW w:w="285" w:type="dxa"/>
            <w:tcBorders/>
            <w:shd w:fill="auto" w:val="clear"/>
          </w:tcPr>
          <w:p>
            <w:pPr>
              <w:pStyle w:val="TableContents"/>
              <w:spacing w:before="0" w:after="283"/>
              <w:rPr/>
            </w:pPr>
            <w:r>
              <w:rPr/>
              <w:t xml:space="preserve">  </w:t>
            </w:r>
          </w:p>
        </w:tc>
        <w:tc>
          <w:tcPr>
            <w:tcW w:w="137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1,068,375 </w:t>
            </w:r>
          </w:p>
        </w:tc>
      </w:tr>
      <w:tr>
        <w:trPr/>
        <w:tc>
          <w:tcPr>
            <w:tcW w:w="36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w:t>
            </w:r>
          </w:p>
        </w:tc>
        <w:tc>
          <w:tcPr>
            <w:tcW w:w="28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1,303,277 </w:t>
            </w:r>
          </w:p>
        </w:tc>
        <w:tc>
          <w:tcPr>
            <w:tcW w:w="82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16"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1,331,308 </w:t>
            </w:r>
          </w:p>
        </w:tc>
        <w:tc>
          <w:tcPr>
            <w:tcW w:w="28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2,634,585 </w:t>
            </w:r>
          </w:p>
        </w:tc>
      </w:tr>
      <w:tr>
        <w:trPr/>
        <w:tc>
          <w:tcPr>
            <w:tcW w:w="36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285"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28,187,821 </w:t>
            </w:r>
          </w:p>
        </w:tc>
        <w:tc>
          <w:tcPr>
            <w:tcW w:w="822" w:type="dxa"/>
            <w:tcBorders/>
            <w:shd w:fill="auto" w:val="clear"/>
          </w:tcPr>
          <w:p>
            <w:pPr>
              <w:pStyle w:val="TableContents"/>
              <w:spacing w:before="0" w:after="283"/>
              <w:rPr/>
            </w:pPr>
            <w:r>
              <w:rPr/>
              <w:t xml:space="preserve">  </w:t>
            </w:r>
          </w:p>
        </w:tc>
        <w:tc>
          <w:tcPr>
            <w:tcW w:w="2416"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11,862,038 </w:t>
            </w:r>
          </w:p>
        </w:tc>
        <w:tc>
          <w:tcPr>
            <w:tcW w:w="285" w:type="dxa"/>
            <w:tcBorders/>
            <w:shd w:fill="auto" w:val="clear"/>
          </w:tcPr>
          <w:p>
            <w:pPr>
              <w:pStyle w:val="TableContents"/>
              <w:spacing w:before="0" w:after="283"/>
              <w:rPr/>
            </w:pPr>
            <w:r>
              <w:rPr/>
              <w:t xml:space="preserve">  </w:t>
            </w:r>
          </w:p>
        </w:tc>
        <w:tc>
          <w:tcPr>
            <w:tcW w:w="137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40,049,859 </w:t>
            </w:r>
          </w:p>
        </w:tc>
      </w:tr>
      <w:tr>
        <w:trPr/>
        <w:tc>
          <w:tcPr>
            <w:tcW w:w="36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w:t>
            </w:r>
          </w:p>
        </w:tc>
        <w:tc>
          <w:tcPr>
            <w:tcW w:w="285"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(29,353,539)</w:t>
            </w:r>
          </w:p>
        </w:tc>
        <w:tc>
          <w:tcPr>
            <w:tcW w:w="822" w:type="dxa"/>
            <w:tcBorders/>
            <w:shd w:fill="auto" w:val="clear"/>
          </w:tcPr>
          <w:p>
            <w:pPr>
              <w:pStyle w:val="TableContents"/>
              <w:spacing w:before="0" w:after="283"/>
              <w:rPr/>
            </w:pPr>
            <w:r>
              <w:rPr/>
              <w:t xml:space="preserve">  </w:t>
            </w:r>
          </w:p>
        </w:tc>
        <w:tc>
          <w:tcPr>
            <w:tcW w:w="2416"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13,045,215 </w:t>
            </w:r>
          </w:p>
        </w:tc>
        <w:tc>
          <w:tcPr>
            <w:tcW w:w="285" w:type="dxa"/>
            <w:tcBorders/>
            <w:shd w:fill="auto" w:val="clear"/>
          </w:tcPr>
          <w:p>
            <w:pPr>
              <w:pStyle w:val="TableContents"/>
              <w:spacing w:before="0" w:after="283"/>
              <w:rPr/>
            </w:pPr>
            <w:r>
              <w:rPr/>
              <w:t xml:space="preserve">  </w:t>
            </w:r>
          </w:p>
        </w:tc>
        <w:tc>
          <w:tcPr>
            <w:tcW w:w="137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(42,398,754)</w:t>
            </w:r>
          </w:p>
        </w:tc>
      </w:tr>
      <w:tr>
        <w:trPr/>
        <w:tc>
          <w:tcPr>
            <w:tcW w:w="36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Stockholders’ Deficit</w:t>
            </w:r>
          </w:p>
        </w:tc>
        <w:tc>
          <w:tcPr>
            <w:tcW w:w="28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(1,156,785)</w:t>
            </w:r>
          </w:p>
        </w:tc>
        <w:tc>
          <w:tcPr>
            <w:tcW w:w="82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16"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1,183,177 </w:t>
            </w:r>
          </w:p>
        </w:tc>
        <w:tc>
          <w:tcPr>
            <w:tcW w:w="28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4"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(2,339,962)</w:t>
            </w:r>
          </w:p>
        </w:tc>
      </w:tr>
    </w:tbl>
    <w:p>
      <w:pPr>
        <w:pStyle w:val="TextBody"/>
        <w:spacing w:before="0" w:after="0"/>
        <w:ind w:left="0" w:right="0" w:hanging="0"/>
        <w:jc w:val="left"/>
        <w:rPr>
          <w:rFonts w:ascii="Times New Roman" w:hAnsi="Times New Roman"/>
          <w:sz w:val="20"/>
        </w:rPr>
      </w:pPr>
      <w:r>
        <w:rPr>
          <w:rFonts w:ascii="Times New Roman" w:hAnsi="Times New Roman"/>
          <w:sz w:val="20"/>
        </w:rPr>
        <w:t>* Includes adjustments relating to accounting for debt settlement transactions in fiscal year ended December 2009</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81" w:name="PGBRK76"/>
      <w:bookmarkStart w:id="882" w:name="PGBRK76"/>
      <w:bookmarkEnd w:id="8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3" w:name="FTR76"/>
      <w:bookmarkStart w:id="884" w:name="FTR76"/>
      <w:bookmarkEnd w:id="8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85" w:name="GLFTR76"/>
      <w:bookmarkEnd w:id="8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86" w:name="PN75"/>
      <w:bookmarkEnd w:id="886"/>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7" w:name="HDR75"/>
      <w:bookmarkStart w:id="888" w:name="HDR75"/>
      <w:bookmarkEnd w:id="8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89" w:name="GLHDR75"/>
      <w:bookmarkEnd w:id="8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652"/>
        <w:gridCol w:w="286"/>
        <w:gridCol w:w="1357"/>
        <w:gridCol w:w="822"/>
        <w:gridCol w:w="2135"/>
        <w:gridCol w:w="295"/>
        <w:gridCol w:w="286"/>
        <w:gridCol w:w="1372"/>
      </w:tblGrid>
      <w:tr>
        <w:trPr/>
        <w:tc>
          <w:tcPr>
            <w:tcW w:w="5295" w:type="dxa"/>
            <w:gridSpan w:val="3"/>
            <w:tcBorders/>
            <w:shd w:fill="auto" w:val="clear"/>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2957" w:type="dxa"/>
            <w:gridSpan w:val="2"/>
            <w:tcBorders/>
            <w:shd w:fill="auto" w:val="clear"/>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53" w:type="dxa"/>
            <w:gridSpan w:val="3"/>
            <w:tcBorders/>
            <w:shd w:fill="auto" w:val="clear"/>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Operations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For the three months ended September 30, 2010</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Interest and finance charges</w:t>
            </w:r>
          </w:p>
        </w:tc>
        <w:tc>
          <w:tcPr>
            <w:tcW w:w="286" w:type="dxa"/>
            <w:tcBorders/>
            <w:shd w:fill="auto" w:val="clear"/>
          </w:tcPr>
          <w:p>
            <w:pPr>
              <w:pStyle w:val="TableContents"/>
              <w:spacing w:before="0" w:after="0"/>
              <w:ind w:left="0" w:right="0" w:hanging="0"/>
              <w:jc w:val="right"/>
              <w:rPr/>
            </w:pPr>
            <w:r>
              <w:rPr/>
              <w:t>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400,820 </w:t>
            </w:r>
          </w:p>
        </w:tc>
        <w:tc>
          <w:tcPr>
            <w:tcW w:w="822" w:type="dxa"/>
            <w:tcBorders/>
            <w:shd w:fill="auto" w:val="clear"/>
          </w:tcPr>
          <w:p>
            <w:pPr>
              <w:pStyle w:val="TableContents"/>
              <w:spacing w:before="0" w:after="0"/>
              <w:ind w:left="0" w:right="0" w:hanging="0"/>
              <w:jc w:val="right"/>
              <w:rPr/>
            </w:pPr>
            <w:r>
              <w:rPr/>
              <w:t>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57,745 </w:t>
            </w:r>
          </w:p>
        </w:tc>
        <w:tc>
          <w:tcPr>
            <w:tcW w:w="286" w:type="dxa"/>
            <w:tcBorders/>
            <w:shd w:fill="auto" w:val="clear"/>
          </w:tcPr>
          <w:p>
            <w:pPr>
              <w:pStyle w:val="TableContents"/>
              <w:spacing w:before="0" w:after="0"/>
              <w:ind w:left="0" w:right="0" w:hanging="0"/>
              <w:jc w:val="right"/>
              <w:rPr/>
            </w:pPr>
            <w:r>
              <w:rPr/>
              <w:t>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458,565 </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Loss Before Other Items</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(1,176,113)</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(57,745)</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(1,233,858)</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w:t>
            </w:r>
          </w:p>
        </w:tc>
        <w:tc>
          <w:tcPr>
            <w:tcW w:w="286" w:type="dxa"/>
            <w:tcBorders/>
            <w:shd w:fill="auto" w:val="clear"/>
          </w:tcPr>
          <w:p>
            <w:pPr>
              <w:pStyle w:val="TableContents"/>
              <w:spacing w:before="0" w:after="0"/>
              <w:ind w:left="0" w:right="0" w:hanging="0"/>
              <w:jc w:val="right"/>
              <w:rPr/>
            </w:pPr>
            <w:r>
              <w:rPr/>
              <w:t>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822" w:type="dxa"/>
            <w:tcBorders/>
            <w:shd w:fill="auto" w:val="clear"/>
          </w:tcPr>
          <w:p>
            <w:pPr>
              <w:pStyle w:val="TableContents"/>
              <w:spacing w:before="0" w:after="0"/>
              <w:ind w:left="0" w:right="0" w:hanging="0"/>
              <w:jc w:val="right"/>
              <w:rPr/>
            </w:pPr>
            <w:r>
              <w:rPr/>
              <w:t>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191,867 </w:t>
            </w:r>
          </w:p>
        </w:tc>
        <w:tc>
          <w:tcPr>
            <w:tcW w:w="286" w:type="dxa"/>
            <w:tcBorders/>
            <w:shd w:fill="auto" w:val="clear"/>
          </w:tcPr>
          <w:p>
            <w:pPr>
              <w:pStyle w:val="TableContents"/>
              <w:spacing w:before="0" w:after="0"/>
              <w:ind w:left="0" w:right="0" w:hanging="0"/>
              <w:jc w:val="right"/>
              <w:rPr/>
            </w:pPr>
            <w:r>
              <w:rPr/>
              <w:t>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191,867 </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Loss on debt financing</w:t>
            </w:r>
          </w:p>
        </w:tc>
        <w:tc>
          <w:tcPr>
            <w:tcW w:w="286" w:type="dxa"/>
            <w:tcBorders/>
            <w:shd w:fill="auto" w:val="clear"/>
          </w:tcPr>
          <w:p>
            <w:pPr>
              <w:pStyle w:val="TableContents"/>
              <w:spacing w:before="0" w:after="0"/>
              <w:ind w:left="0" w:right="0" w:hanging="0"/>
              <w:jc w:val="right"/>
              <w:rPr/>
            </w:pPr>
            <w:r>
              <w:rPr/>
              <w:t>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822" w:type="dxa"/>
            <w:tcBorders/>
            <w:shd w:fill="auto" w:val="clear"/>
          </w:tcPr>
          <w:p>
            <w:pPr>
              <w:pStyle w:val="TableContents"/>
              <w:spacing w:before="0" w:after="0"/>
              <w:ind w:left="0" w:right="0" w:hanging="0"/>
              <w:jc w:val="right"/>
              <w:rPr/>
            </w:pPr>
            <w:r>
              <w:rPr/>
              <w:t>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(1,615,425)</w:t>
            </w:r>
          </w:p>
        </w:tc>
        <w:tc>
          <w:tcPr>
            <w:tcW w:w="286" w:type="dxa"/>
            <w:tcBorders/>
            <w:shd w:fill="auto" w:val="clear"/>
          </w:tcPr>
          <w:p>
            <w:pPr>
              <w:pStyle w:val="TableContents"/>
              <w:spacing w:before="0" w:after="0"/>
              <w:ind w:left="0" w:right="0" w:hanging="0"/>
              <w:jc w:val="right"/>
              <w:rPr/>
            </w:pPr>
            <w:r>
              <w:rPr/>
              <w:t>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(1,615,425)</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Loss for the period</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(1,148,135)</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134,122 </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(1,014,013)</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 beginning of period*</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(28,205,404)</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(13,179,337)</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(41,384,741)</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 end of period*</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(29,353,539)</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(13,045,215)</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(42,398,754)</w:t>
            </w:r>
          </w:p>
        </w:tc>
      </w:tr>
      <w:tr>
        <w:trPr/>
        <w:tc>
          <w:tcPr>
            <w:tcW w:w="3652" w:type="dxa"/>
            <w:tcBorders>
              <w:bottom w:val="single" w:sz="12" w:space="0" w:color="000000"/>
            </w:tcBorders>
            <w:shd w:fill="auto" w:val="clear"/>
            <w:tcMar>
              <w:bottom w:w="28" w:type="dxa"/>
            </w:tcMar>
          </w:tcPr>
          <w:p>
            <w:pPr>
              <w:pStyle w:val="TableContents"/>
              <w:spacing w:before="0" w:after="283"/>
              <w:rPr/>
            </w:pPr>
            <w:r>
              <w:rPr/>
              <w:t xml:space="preserve">  </w:t>
            </w:r>
          </w:p>
        </w:tc>
        <w:tc>
          <w:tcPr>
            <w:tcW w:w="286" w:type="dxa"/>
            <w:tcBorders>
              <w:bottom w:val="single" w:sz="12" w:space="0" w:color="000000"/>
            </w:tcBorders>
            <w:shd w:fill="auto" w:val="clear"/>
            <w:tcMar>
              <w:bottom w:w="28" w:type="dxa"/>
            </w:tcMar>
          </w:tcPr>
          <w:p>
            <w:pPr>
              <w:pStyle w:val="TableContents"/>
              <w:spacing w:before="0" w:after="283"/>
              <w:rPr/>
            </w:pPr>
            <w:r>
              <w:rPr/>
              <w:t xml:space="preserve">  </w:t>
            </w:r>
          </w:p>
        </w:tc>
        <w:tc>
          <w:tcPr>
            <w:tcW w:w="1357" w:type="dxa"/>
            <w:tcBorders>
              <w:bottom w:val="single" w:sz="12" w:space="0" w:color="000000"/>
            </w:tcBorders>
            <w:shd w:fill="auto" w:val="clear"/>
            <w:tcMar>
              <w:bottom w:w="28" w:type="dxa"/>
            </w:tcMar>
          </w:tcPr>
          <w:p>
            <w:pPr>
              <w:pStyle w:val="TableContents"/>
              <w:spacing w:before="0" w:after="283"/>
              <w:rPr/>
            </w:pPr>
            <w:r>
              <w:rPr/>
              <w:t xml:space="preserve">  </w:t>
            </w:r>
          </w:p>
        </w:tc>
        <w:tc>
          <w:tcPr>
            <w:tcW w:w="822" w:type="dxa"/>
            <w:tcBorders>
              <w:bottom w:val="single" w:sz="12" w:space="0" w:color="000000"/>
            </w:tcBorders>
            <w:shd w:fill="auto" w:val="clear"/>
            <w:tcMar>
              <w:bottom w:w="28" w:type="dxa"/>
            </w:tcMar>
          </w:tcPr>
          <w:p>
            <w:pPr>
              <w:pStyle w:val="TableContents"/>
              <w:spacing w:before="0" w:after="283"/>
              <w:rPr/>
            </w:pPr>
            <w:r>
              <w:rPr/>
              <w:t xml:space="preserve">  </w:t>
            </w:r>
          </w:p>
        </w:tc>
        <w:tc>
          <w:tcPr>
            <w:tcW w:w="2430" w:type="dxa"/>
            <w:gridSpan w:val="2"/>
            <w:tcBorders>
              <w:bottom w:val="single" w:sz="12" w:space="0" w:color="000000"/>
            </w:tcBorders>
            <w:shd w:fill="auto" w:val="clear"/>
            <w:tcMar>
              <w:bottom w:w="28" w:type="dxa"/>
            </w:tcMar>
          </w:tcPr>
          <w:p>
            <w:pPr>
              <w:pStyle w:val="TableContents"/>
              <w:spacing w:before="0" w:after="283"/>
              <w:rPr/>
            </w:pPr>
            <w:r>
              <w:rPr/>
              <w:t xml:space="preserve">  </w:t>
            </w:r>
          </w:p>
        </w:tc>
        <w:tc>
          <w:tcPr>
            <w:tcW w:w="286" w:type="dxa"/>
            <w:tcBorders>
              <w:bottom w:val="single" w:sz="12" w:space="0" w:color="000000"/>
            </w:tcBorders>
            <w:shd w:fill="auto" w:val="clear"/>
            <w:tcMar>
              <w:bottom w:w="28" w:type="dxa"/>
            </w:tcMar>
          </w:tcPr>
          <w:p>
            <w:pPr>
              <w:pStyle w:val="TableContents"/>
              <w:spacing w:before="0" w:after="283"/>
              <w:rPr/>
            </w:pPr>
            <w:r>
              <w:rPr/>
              <w:t xml:space="preserve">  </w:t>
            </w:r>
          </w:p>
        </w:tc>
        <w:tc>
          <w:tcPr>
            <w:tcW w:w="1372" w:type="dxa"/>
            <w:tcBorders>
              <w:bottom w:val="single" w:sz="12" w:space="0" w:color="000000"/>
            </w:tcBorders>
            <w:shd w:fill="auto" w:val="clear"/>
            <w:tcMar>
              <w:bottom w:w="28" w:type="dxa"/>
            </w:tcMar>
          </w:tcPr>
          <w:p>
            <w:pPr>
              <w:pStyle w:val="TableContents"/>
              <w:spacing w:before="0" w:after="283"/>
              <w:rPr/>
            </w:pPr>
            <w:r>
              <w:rPr/>
              <w:t xml:space="preserve">  </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 NET LOSS PER SHARE</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(0.03)</w:t>
            </w:r>
          </w:p>
        </w:tc>
        <w:tc>
          <w:tcPr>
            <w:tcW w:w="82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0" w:type="dxa"/>
            <w:gridSpan w:val="2"/>
            <w:tcBorders/>
            <w:shd w:fill="auto" w:val="clear"/>
          </w:tcPr>
          <w:p>
            <w:pPr>
              <w:pStyle w:val="TableContents"/>
              <w:spacing w:before="0" w:after="0"/>
              <w:ind w:left="0" w:right="0" w:hanging="0"/>
              <w:jc w:val="right"/>
              <w:rPr/>
            </w:pPr>
            <w:r>
              <w:rPr/>
              <w:t> </w:t>
            </w:r>
            <w:r>
              <w:rPr>
                <w:rFonts w:ascii="times new roman" w:hAnsi="times new roman"/>
                <w:sz w:val="20"/>
              </w:rPr>
              <w:t>(0.00)</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2" w:type="dxa"/>
            <w:tcBorders/>
            <w:shd w:fill="auto" w:val="clear"/>
          </w:tcPr>
          <w:p>
            <w:pPr>
              <w:pStyle w:val="TableContents"/>
              <w:spacing w:before="0" w:after="0"/>
              <w:ind w:left="0" w:right="0" w:hanging="0"/>
              <w:jc w:val="right"/>
              <w:rPr/>
            </w:pPr>
            <w:r>
              <w:rPr/>
              <w:t> </w:t>
            </w:r>
            <w:r>
              <w:rPr>
                <w:rFonts w:ascii="times new roman" w:hAnsi="times new roman"/>
                <w:sz w:val="20"/>
              </w:rPr>
              <w:t>(0.03)</w:t>
            </w:r>
          </w:p>
        </w:tc>
      </w:tr>
      <w:tr>
        <w:trPr/>
        <w:tc>
          <w:tcPr>
            <w:tcW w:w="10205" w:type="dxa"/>
            <w:gridSpan w:val="8"/>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Includes adjustments relating to accounting for debt settlement transactions in fiscal year ended December 2009</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652"/>
        <w:gridCol w:w="286"/>
        <w:gridCol w:w="1357"/>
        <w:gridCol w:w="822"/>
        <w:gridCol w:w="2136"/>
        <w:gridCol w:w="294"/>
        <w:gridCol w:w="286"/>
        <w:gridCol w:w="1372"/>
      </w:tblGrid>
      <w:tr>
        <w:trPr/>
        <w:tc>
          <w:tcPr>
            <w:tcW w:w="5295"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2958"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52"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Operations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For the nine months ended September 30, 2010</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Consulting fees</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130,699 </w:t>
            </w:r>
          </w:p>
        </w:tc>
        <w:tc>
          <w:tcPr>
            <w:tcW w:w="82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(64,000)</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66,699 </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Interest and finance charges</w:t>
            </w:r>
          </w:p>
        </w:tc>
        <w:tc>
          <w:tcPr>
            <w:tcW w:w="286" w:type="dxa"/>
            <w:tcBorders/>
            <w:shd w:fill="auto" w:val="clear"/>
          </w:tcPr>
          <w:p>
            <w:pPr>
              <w:pStyle w:val="TableContents"/>
              <w:spacing w:before="0" w:after="0"/>
              <w:ind w:left="0" w:right="0" w:hanging="0"/>
              <w:jc w:val="right"/>
              <w:rPr/>
            </w:pPr>
            <w:r>
              <w:rPr/>
              <w:t>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713,449 </w:t>
            </w:r>
          </w:p>
        </w:tc>
        <w:tc>
          <w:tcPr>
            <w:tcW w:w="822" w:type="dxa"/>
            <w:tcBorders/>
            <w:shd w:fill="auto" w:val="clear"/>
          </w:tcPr>
          <w:p>
            <w:pPr>
              <w:pStyle w:val="TableContents"/>
              <w:spacing w:before="0" w:after="0"/>
              <w:ind w:left="0" w:right="0" w:hanging="0"/>
              <w:jc w:val="right"/>
              <w:rPr/>
            </w:pPr>
            <w:r>
              <w:rPr/>
              <w:t>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80,969 </w:t>
            </w:r>
          </w:p>
        </w:tc>
        <w:tc>
          <w:tcPr>
            <w:tcW w:w="286" w:type="dxa"/>
            <w:tcBorders/>
            <w:shd w:fill="auto" w:val="clear"/>
          </w:tcPr>
          <w:p>
            <w:pPr>
              <w:pStyle w:val="TableContents"/>
              <w:spacing w:before="0" w:after="0"/>
              <w:ind w:left="0" w:right="0" w:hanging="0"/>
              <w:jc w:val="right"/>
              <w:rPr/>
            </w:pPr>
            <w:r>
              <w:rPr/>
              <w:t>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794,418 </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Loss Before Other Items</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(4,129,480)</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(16,969)</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(4,146,449)</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w:t>
            </w:r>
          </w:p>
        </w:tc>
        <w:tc>
          <w:tcPr>
            <w:tcW w:w="286" w:type="dxa"/>
            <w:tcBorders/>
            <w:shd w:fill="auto" w:val="clear"/>
          </w:tcPr>
          <w:p>
            <w:pPr>
              <w:pStyle w:val="TableContents"/>
              <w:spacing w:before="0" w:after="0"/>
              <w:ind w:left="0" w:right="0" w:hanging="0"/>
              <w:jc w:val="right"/>
              <w:rPr/>
            </w:pPr>
            <w:r>
              <w:rPr/>
              <w:t>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822" w:type="dxa"/>
            <w:tcBorders/>
            <w:shd w:fill="auto" w:val="clear"/>
          </w:tcPr>
          <w:p>
            <w:pPr>
              <w:pStyle w:val="TableContents"/>
              <w:spacing w:before="0" w:after="0"/>
              <w:ind w:left="0" w:right="0" w:hanging="0"/>
              <w:jc w:val="right"/>
              <w:rPr/>
            </w:pPr>
            <w:r>
              <w:rPr/>
              <w:t>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1,724,217 </w:t>
            </w:r>
          </w:p>
        </w:tc>
        <w:tc>
          <w:tcPr>
            <w:tcW w:w="286" w:type="dxa"/>
            <w:tcBorders/>
            <w:shd w:fill="auto" w:val="clear"/>
          </w:tcPr>
          <w:p>
            <w:pPr>
              <w:pStyle w:val="TableContents"/>
              <w:spacing w:before="0" w:after="0"/>
              <w:ind w:left="0" w:right="0" w:hanging="0"/>
              <w:jc w:val="right"/>
              <w:rPr/>
            </w:pPr>
            <w:r>
              <w:rPr/>
              <w:t>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1,724,217 </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Loss on debt financing</w:t>
            </w:r>
          </w:p>
        </w:tc>
        <w:tc>
          <w:tcPr>
            <w:tcW w:w="286" w:type="dxa"/>
            <w:tcBorders/>
            <w:shd w:fill="auto" w:val="clear"/>
          </w:tcPr>
          <w:p>
            <w:pPr>
              <w:pStyle w:val="TableContents"/>
              <w:spacing w:before="0" w:after="0"/>
              <w:ind w:left="0" w:right="0" w:hanging="0"/>
              <w:jc w:val="right"/>
              <w:rPr/>
            </w:pPr>
            <w:r>
              <w:rPr/>
              <w:t>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822" w:type="dxa"/>
            <w:tcBorders/>
            <w:shd w:fill="auto" w:val="clear"/>
          </w:tcPr>
          <w:p>
            <w:pPr>
              <w:pStyle w:val="TableContents"/>
              <w:spacing w:before="0" w:after="0"/>
              <w:ind w:left="0" w:right="0" w:hanging="0"/>
              <w:jc w:val="right"/>
              <w:rPr/>
            </w:pPr>
            <w:r>
              <w:rPr/>
              <w:t>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(1,615,425)</w:t>
            </w:r>
          </w:p>
        </w:tc>
        <w:tc>
          <w:tcPr>
            <w:tcW w:w="286" w:type="dxa"/>
            <w:tcBorders/>
            <w:shd w:fill="auto" w:val="clear"/>
          </w:tcPr>
          <w:p>
            <w:pPr>
              <w:pStyle w:val="TableContents"/>
              <w:spacing w:before="0" w:after="0"/>
              <w:ind w:left="0" w:right="0" w:hanging="0"/>
              <w:jc w:val="right"/>
              <w:rPr/>
            </w:pPr>
            <w:r>
              <w:rPr/>
              <w:t>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(1,615,425)</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Loss for the period</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(4,079,463)</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91,823 </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(3,987,640)</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 beginning of period*</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(25,274,076)</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(13,137,038)</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(38,411,114)</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 end of period*</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(29,353,539)</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(13,045,215)</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(42,398,754)</w:t>
            </w:r>
          </w:p>
        </w:tc>
      </w:tr>
      <w:tr>
        <w:trPr/>
        <w:tc>
          <w:tcPr>
            <w:tcW w:w="3652" w:type="dxa"/>
            <w:tcBorders>
              <w:bottom w:val="single" w:sz="12" w:space="0" w:color="000000"/>
            </w:tcBorders>
            <w:shd w:fill="auto" w:val="clear"/>
            <w:tcMar>
              <w:bottom w:w="28" w:type="dxa"/>
            </w:tcMar>
          </w:tcPr>
          <w:p>
            <w:pPr>
              <w:pStyle w:val="TableContents"/>
              <w:spacing w:before="0" w:after="283"/>
              <w:rPr/>
            </w:pPr>
            <w:r>
              <w:rPr/>
              <w:t xml:space="preserve">  </w:t>
            </w:r>
          </w:p>
        </w:tc>
        <w:tc>
          <w:tcPr>
            <w:tcW w:w="286" w:type="dxa"/>
            <w:tcBorders>
              <w:bottom w:val="single" w:sz="12" w:space="0" w:color="000000"/>
            </w:tcBorders>
            <w:shd w:fill="auto" w:val="clear"/>
            <w:tcMar>
              <w:bottom w:w="28" w:type="dxa"/>
            </w:tcMar>
          </w:tcPr>
          <w:p>
            <w:pPr>
              <w:pStyle w:val="TableContents"/>
              <w:spacing w:before="0" w:after="283"/>
              <w:rPr/>
            </w:pPr>
            <w:r>
              <w:rPr/>
              <w:t xml:space="preserve">  </w:t>
            </w:r>
          </w:p>
        </w:tc>
        <w:tc>
          <w:tcPr>
            <w:tcW w:w="1357" w:type="dxa"/>
            <w:tcBorders>
              <w:bottom w:val="single" w:sz="12" w:space="0" w:color="000000"/>
            </w:tcBorders>
            <w:shd w:fill="auto" w:val="clear"/>
            <w:tcMar>
              <w:bottom w:w="28" w:type="dxa"/>
            </w:tcMar>
          </w:tcPr>
          <w:p>
            <w:pPr>
              <w:pStyle w:val="TableContents"/>
              <w:spacing w:before="0" w:after="283"/>
              <w:rPr/>
            </w:pPr>
            <w:r>
              <w:rPr/>
              <w:t xml:space="preserve">  </w:t>
            </w:r>
          </w:p>
        </w:tc>
        <w:tc>
          <w:tcPr>
            <w:tcW w:w="822" w:type="dxa"/>
            <w:tcBorders>
              <w:bottom w:val="single" w:sz="12" w:space="0" w:color="000000"/>
            </w:tcBorders>
            <w:shd w:fill="auto" w:val="clear"/>
            <w:tcMar>
              <w:bottom w:w="28" w:type="dxa"/>
            </w:tcMar>
          </w:tcPr>
          <w:p>
            <w:pPr>
              <w:pStyle w:val="TableContents"/>
              <w:spacing w:before="0" w:after="283"/>
              <w:rPr/>
            </w:pPr>
            <w:r>
              <w:rPr/>
              <w:t xml:space="preserve">  </w:t>
            </w:r>
          </w:p>
        </w:tc>
        <w:tc>
          <w:tcPr>
            <w:tcW w:w="2430" w:type="dxa"/>
            <w:gridSpan w:val="2"/>
            <w:tcBorders>
              <w:bottom w:val="single" w:sz="12" w:space="0" w:color="000000"/>
            </w:tcBorders>
            <w:shd w:fill="auto" w:val="clear"/>
            <w:tcMar>
              <w:bottom w:w="28" w:type="dxa"/>
            </w:tcMar>
          </w:tcPr>
          <w:p>
            <w:pPr>
              <w:pStyle w:val="TableContents"/>
              <w:spacing w:before="0" w:after="283"/>
              <w:rPr/>
            </w:pPr>
            <w:r>
              <w:rPr/>
              <w:t xml:space="preserve">  </w:t>
            </w:r>
          </w:p>
        </w:tc>
        <w:tc>
          <w:tcPr>
            <w:tcW w:w="286" w:type="dxa"/>
            <w:tcBorders>
              <w:bottom w:val="single" w:sz="12" w:space="0" w:color="000000"/>
            </w:tcBorders>
            <w:shd w:fill="auto" w:val="clear"/>
            <w:tcMar>
              <w:bottom w:w="28" w:type="dxa"/>
            </w:tcMar>
          </w:tcPr>
          <w:p>
            <w:pPr>
              <w:pStyle w:val="TableContents"/>
              <w:spacing w:before="0" w:after="283"/>
              <w:rPr/>
            </w:pPr>
            <w:r>
              <w:rPr/>
              <w:t xml:space="preserve">  </w:t>
            </w:r>
          </w:p>
        </w:tc>
        <w:tc>
          <w:tcPr>
            <w:tcW w:w="1372" w:type="dxa"/>
            <w:tcBorders>
              <w:bottom w:val="single" w:sz="12" w:space="0" w:color="000000"/>
            </w:tcBorders>
            <w:shd w:fill="auto" w:val="clear"/>
            <w:tcMar>
              <w:bottom w:w="28" w:type="dxa"/>
            </w:tcMar>
          </w:tcPr>
          <w:p>
            <w:pPr>
              <w:pStyle w:val="TableContents"/>
              <w:spacing w:before="0" w:after="283"/>
              <w:rPr/>
            </w:pPr>
            <w:r>
              <w:rPr/>
              <w:t xml:space="preserve">  </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 NET INCOME (LOSS) PER SHARE</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(0.10)</w:t>
            </w:r>
          </w:p>
        </w:tc>
        <w:tc>
          <w:tcPr>
            <w:tcW w:w="82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0" w:type="dxa"/>
            <w:gridSpan w:val="2"/>
            <w:tcBorders/>
            <w:shd w:fill="auto" w:val="clear"/>
          </w:tcPr>
          <w:p>
            <w:pPr>
              <w:pStyle w:val="TableContents"/>
              <w:spacing w:before="0" w:after="0"/>
              <w:ind w:left="0" w:right="0" w:hanging="0"/>
              <w:jc w:val="right"/>
              <w:rPr/>
            </w:pPr>
            <w:r>
              <w:rPr/>
              <w:t> </w:t>
            </w:r>
            <w:r>
              <w:rPr>
                <w:rFonts w:ascii="times new roman" w:hAnsi="times new roman"/>
                <w:sz w:val="20"/>
              </w:rPr>
              <w:t>(0.00)</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2" w:type="dxa"/>
            <w:tcBorders/>
            <w:shd w:fill="auto" w:val="clear"/>
          </w:tcPr>
          <w:p>
            <w:pPr>
              <w:pStyle w:val="TableContents"/>
              <w:spacing w:before="0" w:after="0"/>
              <w:ind w:left="0" w:right="0" w:hanging="0"/>
              <w:jc w:val="right"/>
              <w:rPr/>
            </w:pPr>
            <w:r>
              <w:rPr/>
              <w:t> </w:t>
            </w:r>
            <w:r>
              <w:rPr>
                <w:rFonts w:ascii="times new roman" w:hAnsi="times new roman"/>
                <w:sz w:val="20"/>
              </w:rPr>
              <w:t>(0.10)</w:t>
            </w:r>
          </w:p>
        </w:tc>
      </w:tr>
      <w:tr>
        <w:trPr/>
        <w:tc>
          <w:tcPr>
            <w:tcW w:w="10205" w:type="dxa"/>
            <w:gridSpan w:val="8"/>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Includes adjustments relating to accounting for debt settlement transactions in fiscal year ended December 2009</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652"/>
        <w:gridCol w:w="286"/>
        <w:gridCol w:w="1357"/>
        <w:gridCol w:w="822"/>
        <w:gridCol w:w="2136"/>
        <w:gridCol w:w="294"/>
        <w:gridCol w:w="286"/>
        <w:gridCol w:w="1372"/>
      </w:tblGrid>
      <w:tr>
        <w:trPr/>
        <w:tc>
          <w:tcPr>
            <w:tcW w:w="5295"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2958"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52" w:type="dxa"/>
            <w:gridSpan w:val="3"/>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Operations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From July 27, 1999 (inception) to September 30, 2010</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Consulting fees</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1,901,905 </w:t>
            </w:r>
          </w:p>
        </w:tc>
        <w:tc>
          <w:tcPr>
            <w:tcW w:w="82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(64,000)</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1,837,905 </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Interest and finance charges</w:t>
            </w:r>
          </w:p>
        </w:tc>
        <w:tc>
          <w:tcPr>
            <w:tcW w:w="286" w:type="dxa"/>
            <w:tcBorders/>
            <w:shd w:fill="auto" w:val="clear"/>
          </w:tcPr>
          <w:p>
            <w:pPr>
              <w:pStyle w:val="TableContents"/>
              <w:spacing w:before="0" w:after="0"/>
              <w:ind w:left="0" w:right="0" w:hanging="0"/>
              <w:jc w:val="right"/>
              <w:rPr/>
            </w:pPr>
            <w:r>
              <w:rPr/>
              <w:t>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4,624,052 </w:t>
            </w:r>
          </w:p>
        </w:tc>
        <w:tc>
          <w:tcPr>
            <w:tcW w:w="822" w:type="dxa"/>
            <w:tcBorders/>
            <w:shd w:fill="auto" w:val="clear"/>
          </w:tcPr>
          <w:p>
            <w:pPr>
              <w:pStyle w:val="TableContents"/>
              <w:spacing w:before="0" w:after="0"/>
              <w:ind w:left="0" w:right="0" w:hanging="0"/>
              <w:jc w:val="right"/>
              <w:rPr/>
            </w:pPr>
            <w:r>
              <w:rPr/>
              <w:t>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80,969 </w:t>
            </w:r>
          </w:p>
        </w:tc>
        <w:tc>
          <w:tcPr>
            <w:tcW w:w="286" w:type="dxa"/>
            <w:tcBorders/>
            <w:shd w:fill="auto" w:val="clear"/>
          </w:tcPr>
          <w:p>
            <w:pPr>
              <w:pStyle w:val="TableContents"/>
              <w:spacing w:before="0" w:after="0"/>
              <w:ind w:left="0" w:right="0" w:hanging="0"/>
              <w:jc w:val="right"/>
              <w:rPr/>
            </w:pPr>
            <w:r>
              <w:rPr/>
              <w:t>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4,705,021 </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Loss Before Other Items</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(30,610,157)</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(16,969)</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(30,627,126)</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w:t>
            </w:r>
          </w:p>
        </w:tc>
        <w:tc>
          <w:tcPr>
            <w:tcW w:w="286" w:type="dxa"/>
            <w:tcBorders/>
            <w:shd w:fill="auto" w:val="clear"/>
          </w:tcPr>
          <w:p>
            <w:pPr>
              <w:pStyle w:val="TableContents"/>
              <w:spacing w:before="0" w:after="0"/>
              <w:ind w:left="0" w:right="0" w:hanging="0"/>
              <w:jc w:val="right"/>
              <w:rPr/>
            </w:pPr>
            <w:r>
              <w:rPr/>
              <w:t>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822" w:type="dxa"/>
            <w:tcBorders/>
            <w:shd w:fill="auto" w:val="clear"/>
          </w:tcPr>
          <w:p>
            <w:pPr>
              <w:pStyle w:val="TableContents"/>
              <w:spacing w:before="0" w:after="0"/>
              <w:ind w:left="0" w:right="0" w:hanging="0"/>
              <w:jc w:val="right"/>
              <w:rPr/>
            </w:pPr>
            <w:r>
              <w:rPr/>
              <w:t>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1,724,217 </w:t>
            </w:r>
          </w:p>
        </w:tc>
        <w:tc>
          <w:tcPr>
            <w:tcW w:w="286" w:type="dxa"/>
            <w:tcBorders/>
            <w:shd w:fill="auto" w:val="clear"/>
          </w:tcPr>
          <w:p>
            <w:pPr>
              <w:pStyle w:val="TableContents"/>
              <w:spacing w:before="0" w:after="0"/>
              <w:ind w:left="0" w:right="0" w:hanging="0"/>
              <w:jc w:val="right"/>
              <w:rPr/>
            </w:pPr>
            <w:r>
              <w:rPr/>
              <w:t>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1,724,217 </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Loss on debt financing</w:t>
            </w:r>
          </w:p>
        </w:tc>
        <w:tc>
          <w:tcPr>
            <w:tcW w:w="286" w:type="dxa"/>
            <w:tcBorders/>
            <w:shd w:fill="auto" w:val="clear"/>
          </w:tcPr>
          <w:p>
            <w:pPr>
              <w:pStyle w:val="TableContents"/>
              <w:spacing w:before="0" w:after="0"/>
              <w:ind w:left="0" w:right="0" w:hanging="0"/>
              <w:jc w:val="right"/>
              <w:rPr/>
            </w:pPr>
            <w:r>
              <w:rPr/>
              <w:t>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822" w:type="dxa"/>
            <w:tcBorders/>
            <w:shd w:fill="auto" w:val="clear"/>
          </w:tcPr>
          <w:p>
            <w:pPr>
              <w:pStyle w:val="TableContents"/>
              <w:spacing w:before="0" w:after="0"/>
              <w:ind w:left="0" w:right="0" w:hanging="0"/>
              <w:jc w:val="right"/>
              <w:rPr/>
            </w:pPr>
            <w:r>
              <w:rPr/>
              <w:t>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(1,615,425)</w:t>
            </w:r>
          </w:p>
        </w:tc>
        <w:tc>
          <w:tcPr>
            <w:tcW w:w="286" w:type="dxa"/>
            <w:tcBorders/>
            <w:shd w:fill="auto" w:val="clear"/>
          </w:tcPr>
          <w:p>
            <w:pPr>
              <w:pStyle w:val="TableContents"/>
              <w:spacing w:before="0" w:after="0"/>
              <w:ind w:left="0" w:right="0" w:hanging="0"/>
              <w:jc w:val="right"/>
              <w:rPr/>
            </w:pPr>
            <w:r>
              <w:rPr/>
              <w:t>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(1,615,425)</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Gain (loss) on settlement of debt</w:t>
            </w:r>
          </w:p>
        </w:tc>
        <w:tc>
          <w:tcPr>
            <w:tcW w:w="286" w:type="dxa"/>
            <w:tcBorders/>
            <w:shd w:fill="auto" w:val="clear"/>
          </w:tcPr>
          <w:p>
            <w:pPr>
              <w:pStyle w:val="TableContents"/>
              <w:spacing w:before="0" w:after="0"/>
              <w:ind w:left="0" w:right="0" w:hanging="0"/>
              <w:jc w:val="right"/>
              <w:rPr/>
            </w:pPr>
            <w:r>
              <w:rPr/>
              <w:t>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1,187,655 </w:t>
            </w:r>
          </w:p>
        </w:tc>
        <w:tc>
          <w:tcPr>
            <w:tcW w:w="822" w:type="dxa"/>
            <w:tcBorders/>
            <w:shd w:fill="auto" w:val="clear"/>
          </w:tcPr>
          <w:p>
            <w:pPr>
              <w:pStyle w:val="TableContents"/>
              <w:spacing w:before="0" w:after="0"/>
              <w:ind w:left="0" w:right="0" w:hanging="0"/>
              <w:jc w:val="right"/>
              <w:rPr/>
            </w:pPr>
            <w:r>
              <w:rPr/>
              <w:t>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(13,137,038)</w:t>
            </w:r>
          </w:p>
        </w:tc>
        <w:tc>
          <w:tcPr>
            <w:tcW w:w="286" w:type="dxa"/>
            <w:tcBorders/>
            <w:shd w:fill="auto" w:val="clear"/>
          </w:tcPr>
          <w:p>
            <w:pPr>
              <w:pStyle w:val="TableContents"/>
              <w:spacing w:before="0" w:after="0"/>
              <w:ind w:left="0" w:right="0" w:hanging="0"/>
              <w:jc w:val="right"/>
              <w:rPr/>
            </w:pPr>
            <w:r>
              <w:rPr/>
              <w:t>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(11,949,383)</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Loss for the period</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(29,353,539)</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(13,045,215)</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(42,398,754)</w:t>
            </w:r>
          </w:p>
        </w:tc>
      </w:tr>
      <w:tr>
        <w:trPr/>
        <w:tc>
          <w:tcPr>
            <w:tcW w:w="36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 end of period</w:t>
            </w:r>
          </w:p>
        </w:tc>
        <w:tc>
          <w:tcPr>
            <w:tcW w:w="286"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(29,353,539)</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(13,045,215)</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(42,398,754)</w:t>
            </w:r>
          </w:p>
        </w:tc>
      </w:tr>
      <w:tr>
        <w:trPr/>
        <w:tc>
          <w:tcPr>
            <w:tcW w:w="3652" w:type="dxa"/>
            <w:tcBorders/>
            <w:shd w:fill="auto" w:val="clear"/>
          </w:tcPr>
          <w:p>
            <w:pPr>
              <w:pStyle w:val="TableContents"/>
              <w:spacing w:before="0" w:after="283"/>
              <w:rPr/>
            </w:pPr>
            <w:r>
              <w:rPr/>
              <w:t xml:space="preserve">  </w:t>
            </w:r>
          </w:p>
        </w:tc>
        <w:tc>
          <w:tcPr>
            <w:tcW w:w="286" w:type="dxa"/>
            <w:tcBorders/>
            <w:shd w:fill="auto" w:val="clear"/>
          </w:tcPr>
          <w:p>
            <w:pPr>
              <w:pStyle w:val="TableContents"/>
              <w:spacing w:before="0" w:after="283"/>
              <w:rPr/>
            </w:pPr>
            <w:r>
              <w:rPr/>
              <w:t xml:space="preserve">  </w:t>
            </w:r>
          </w:p>
        </w:tc>
        <w:tc>
          <w:tcPr>
            <w:tcW w:w="1357" w:type="dxa"/>
            <w:tcBorders/>
            <w:shd w:fill="auto" w:val="clear"/>
          </w:tcPr>
          <w:p>
            <w:pPr>
              <w:pStyle w:val="TableContents"/>
              <w:spacing w:before="0" w:after="283"/>
              <w:rPr/>
            </w:pPr>
            <w:r>
              <w:rPr/>
              <w:t xml:space="preserve">  </w:t>
            </w:r>
          </w:p>
        </w:tc>
        <w:tc>
          <w:tcPr>
            <w:tcW w:w="822" w:type="dxa"/>
            <w:tcBorders/>
            <w:shd w:fill="auto" w:val="clear"/>
          </w:tcPr>
          <w:p>
            <w:pPr>
              <w:pStyle w:val="TableContents"/>
              <w:spacing w:before="0" w:after="283"/>
              <w:rPr/>
            </w:pPr>
            <w:r>
              <w:rPr/>
              <w:t xml:space="preserve">  </w:t>
            </w:r>
          </w:p>
        </w:tc>
        <w:tc>
          <w:tcPr>
            <w:tcW w:w="2430" w:type="dxa"/>
            <w:gridSpan w:val="2"/>
            <w:tcBorders/>
            <w:shd w:fill="auto" w:val="clear"/>
          </w:tcPr>
          <w:p>
            <w:pPr>
              <w:pStyle w:val="TableContents"/>
              <w:spacing w:before="0" w:after="283"/>
              <w:rPr/>
            </w:pPr>
            <w:r>
              <w:rPr/>
              <w:t xml:space="preserve">  </w:t>
            </w:r>
          </w:p>
        </w:tc>
        <w:tc>
          <w:tcPr>
            <w:tcW w:w="286" w:type="dxa"/>
            <w:tcBorders/>
            <w:shd w:fill="auto" w:val="clear"/>
          </w:tcPr>
          <w:p>
            <w:pPr>
              <w:pStyle w:val="TableContents"/>
              <w:spacing w:before="0" w:after="283"/>
              <w:rPr/>
            </w:pPr>
            <w:r>
              <w:rPr/>
              <w:t xml:space="preserve">  </w:t>
            </w:r>
          </w:p>
        </w:tc>
        <w:tc>
          <w:tcPr>
            <w:tcW w:w="1372" w:type="dxa"/>
            <w:tcBorders/>
            <w:shd w:fill="auto" w:val="clear"/>
          </w:tcPr>
          <w:p>
            <w:pPr>
              <w:pStyle w:val="TableContents"/>
              <w:spacing w:before="0" w:after="283"/>
              <w:rPr/>
            </w:pPr>
            <w:r>
              <w:rPr/>
              <w:t xml:space="preserve">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0" w:name="PGBRK77"/>
      <w:bookmarkStart w:id="891" w:name="PGBRK77"/>
      <w:bookmarkEnd w:id="8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2" w:name="FTR77"/>
      <w:bookmarkStart w:id="893" w:name="FTR77"/>
      <w:bookmarkEnd w:id="8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94" w:name="GLFTR77"/>
      <w:bookmarkEnd w:id="8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95" w:name="PN76"/>
      <w:bookmarkEnd w:id="895"/>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6" w:name="HDR76"/>
      <w:bookmarkStart w:id="897" w:name="HDR76"/>
      <w:bookmarkEnd w:id="8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98" w:name="GLHDR76"/>
      <w:bookmarkEnd w:id="8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3648"/>
        <w:gridCol w:w="286"/>
        <w:gridCol w:w="1357"/>
        <w:gridCol w:w="821"/>
        <w:gridCol w:w="2139"/>
        <w:gridCol w:w="295"/>
        <w:gridCol w:w="286"/>
        <w:gridCol w:w="1373"/>
      </w:tblGrid>
      <w:tr>
        <w:trPr/>
        <w:tc>
          <w:tcPr>
            <w:tcW w:w="10205" w:type="dxa"/>
            <w:gridSpan w:val="8"/>
            <w:tcBorders>
              <w:top w:val="single" w:sz="12" w:space="0" w:color="000000"/>
            </w:tcBorders>
            <w:shd w:fill="auto" w:val="clear"/>
          </w:tcPr>
          <w:p>
            <w:pPr>
              <w:pStyle w:val="TableContents"/>
              <w:spacing w:before="0" w:after="283"/>
              <w:rPr/>
            </w:pPr>
            <w:r>
              <w:rPr/>
              <w:t xml:space="preserve">  </w:t>
            </w:r>
          </w:p>
        </w:tc>
      </w:tr>
      <w:tr>
        <w:trPr/>
        <w:tc>
          <w:tcPr>
            <w:tcW w:w="5291" w:type="dxa"/>
            <w:gridSpan w:val="3"/>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2960" w:type="dxa"/>
            <w:gridSpan w:val="2"/>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54" w:type="dxa"/>
            <w:gridSpan w:val="3"/>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Cash Flows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For the nine months ended September 30, 2010</w:t>
            </w:r>
          </w:p>
        </w:tc>
      </w:tr>
      <w:tr>
        <w:trPr/>
        <w:tc>
          <w:tcPr>
            <w:tcW w:w="3648" w:type="dxa"/>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286"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(4,079,463)</w:t>
            </w:r>
          </w:p>
        </w:tc>
        <w:tc>
          <w:tcPr>
            <w:tcW w:w="821"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4" w:type="dxa"/>
            <w:gridSpan w:val="2"/>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91,823 </w:t>
            </w:r>
          </w:p>
        </w:tc>
        <w:tc>
          <w:tcPr>
            <w:tcW w:w="286"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3"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(3,987,640)</w:t>
            </w:r>
          </w:p>
        </w:tc>
      </w:tr>
      <w:tr>
        <w:trPr/>
        <w:tc>
          <w:tcPr>
            <w:tcW w:w="3648" w:type="dxa"/>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Non-cash loss on debt financing</w:t>
            </w:r>
          </w:p>
        </w:tc>
        <w:tc>
          <w:tcPr>
            <w:tcW w:w="286" w:type="dxa"/>
            <w:tcBorders/>
            <w:shd w:fill="auto" w:val="clear"/>
            <w:tcMar>
              <w:top w:w="0" w:type="dxa"/>
            </w:tcMar>
          </w:tcPr>
          <w:p>
            <w:pPr>
              <w:pStyle w:val="TableContents"/>
              <w:spacing w:before="0" w:after="283"/>
              <w:rPr/>
            </w:pPr>
            <w:r>
              <w:rPr/>
              <w:t xml:space="preserve">  </w:t>
            </w:r>
          </w:p>
        </w:tc>
        <w:tc>
          <w:tcPr>
            <w:tcW w:w="1357"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821" w:type="dxa"/>
            <w:tcBorders/>
            <w:shd w:fill="auto" w:val="clear"/>
            <w:tcMar>
              <w:top w:w="0" w:type="dxa"/>
            </w:tcMar>
          </w:tcPr>
          <w:p>
            <w:pPr>
              <w:pStyle w:val="TableContents"/>
              <w:spacing w:before="0" w:after="283"/>
              <w:rPr/>
            </w:pPr>
            <w:r>
              <w:rPr/>
              <w:t xml:space="preserve">  </w:t>
            </w:r>
          </w:p>
        </w:tc>
        <w:tc>
          <w:tcPr>
            <w:tcW w:w="2434" w:type="dxa"/>
            <w:gridSpan w:val="2"/>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1,615,425 </w:t>
            </w:r>
          </w:p>
        </w:tc>
        <w:tc>
          <w:tcPr>
            <w:tcW w:w="286" w:type="dxa"/>
            <w:tcBorders/>
            <w:shd w:fill="auto" w:val="clear"/>
            <w:tcMar>
              <w:top w:w="0" w:type="dxa"/>
            </w:tcMar>
          </w:tcPr>
          <w:p>
            <w:pPr>
              <w:pStyle w:val="TableContents"/>
              <w:spacing w:before="0" w:after="283"/>
              <w:rPr/>
            </w:pPr>
            <w:r>
              <w:rPr/>
              <w:t xml:space="preserve">  </w:t>
            </w:r>
          </w:p>
        </w:tc>
        <w:tc>
          <w:tcPr>
            <w:tcW w:w="1373"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1,615,425 </w:t>
            </w:r>
          </w:p>
        </w:tc>
      </w:tr>
      <w:tr>
        <w:trPr/>
        <w:tc>
          <w:tcPr>
            <w:tcW w:w="3648" w:type="dxa"/>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w:t>
            </w:r>
          </w:p>
        </w:tc>
        <w:tc>
          <w:tcPr>
            <w:tcW w:w="286" w:type="dxa"/>
            <w:tcBorders/>
            <w:shd w:fill="auto" w:val="clear"/>
            <w:tcMar>
              <w:top w:w="0" w:type="dxa"/>
            </w:tcMar>
          </w:tcPr>
          <w:p>
            <w:pPr>
              <w:pStyle w:val="TableContents"/>
              <w:spacing w:before="0" w:after="283"/>
              <w:rPr/>
            </w:pPr>
            <w:r>
              <w:rPr/>
              <w:t xml:space="preserve">  </w:t>
            </w:r>
          </w:p>
        </w:tc>
        <w:tc>
          <w:tcPr>
            <w:tcW w:w="1357"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821" w:type="dxa"/>
            <w:tcBorders/>
            <w:shd w:fill="auto" w:val="clear"/>
            <w:tcMar>
              <w:top w:w="0" w:type="dxa"/>
            </w:tcMar>
          </w:tcPr>
          <w:p>
            <w:pPr>
              <w:pStyle w:val="TableContents"/>
              <w:spacing w:before="0" w:after="283"/>
              <w:rPr/>
            </w:pPr>
            <w:r>
              <w:rPr/>
              <w:t xml:space="preserve">  </w:t>
            </w:r>
          </w:p>
        </w:tc>
        <w:tc>
          <w:tcPr>
            <w:tcW w:w="2434" w:type="dxa"/>
            <w:gridSpan w:val="2"/>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(1,724,217)</w:t>
            </w:r>
          </w:p>
        </w:tc>
        <w:tc>
          <w:tcPr>
            <w:tcW w:w="286" w:type="dxa"/>
            <w:tcBorders/>
            <w:shd w:fill="auto" w:val="clear"/>
            <w:tcMar>
              <w:top w:w="0" w:type="dxa"/>
            </w:tcMar>
          </w:tcPr>
          <w:p>
            <w:pPr>
              <w:pStyle w:val="TableContents"/>
              <w:spacing w:before="0" w:after="283"/>
              <w:rPr/>
            </w:pPr>
            <w:r>
              <w:rPr/>
              <w:t xml:space="preserve">  </w:t>
            </w:r>
          </w:p>
        </w:tc>
        <w:tc>
          <w:tcPr>
            <w:tcW w:w="1373"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(1,724,217)</w:t>
            </w:r>
          </w:p>
        </w:tc>
      </w:tr>
      <w:tr>
        <w:trPr/>
        <w:tc>
          <w:tcPr>
            <w:tcW w:w="3648" w:type="dxa"/>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Non-cash interest and financing charges</w:t>
            </w:r>
          </w:p>
        </w:tc>
        <w:tc>
          <w:tcPr>
            <w:tcW w:w="286" w:type="dxa"/>
            <w:tcBorders/>
            <w:shd w:fill="auto" w:val="clear"/>
            <w:tcMar>
              <w:top w:w="0" w:type="dxa"/>
            </w:tcMar>
          </w:tcPr>
          <w:p>
            <w:pPr>
              <w:pStyle w:val="TableContents"/>
              <w:spacing w:before="0" w:after="283"/>
              <w:rPr/>
            </w:pPr>
            <w:r>
              <w:rPr/>
              <w:t xml:space="preserve">  </w:t>
            </w:r>
          </w:p>
        </w:tc>
        <w:tc>
          <w:tcPr>
            <w:tcW w:w="1357"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713,449 </w:t>
            </w:r>
          </w:p>
        </w:tc>
        <w:tc>
          <w:tcPr>
            <w:tcW w:w="821" w:type="dxa"/>
            <w:tcBorders/>
            <w:shd w:fill="auto" w:val="clear"/>
            <w:tcMar>
              <w:top w:w="0" w:type="dxa"/>
            </w:tcMar>
          </w:tcPr>
          <w:p>
            <w:pPr>
              <w:pStyle w:val="TableContents"/>
              <w:spacing w:before="0" w:after="283"/>
              <w:rPr/>
            </w:pPr>
            <w:r>
              <w:rPr/>
              <w:t xml:space="preserve">  </w:t>
            </w:r>
          </w:p>
        </w:tc>
        <w:tc>
          <w:tcPr>
            <w:tcW w:w="2434" w:type="dxa"/>
            <w:gridSpan w:val="2"/>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58,350 </w:t>
            </w:r>
          </w:p>
        </w:tc>
        <w:tc>
          <w:tcPr>
            <w:tcW w:w="286" w:type="dxa"/>
            <w:tcBorders/>
            <w:shd w:fill="auto" w:val="clear"/>
            <w:tcMar>
              <w:top w:w="0" w:type="dxa"/>
            </w:tcMar>
          </w:tcPr>
          <w:p>
            <w:pPr>
              <w:pStyle w:val="TableContents"/>
              <w:spacing w:before="0" w:after="283"/>
              <w:rPr/>
            </w:pPr>
            <w:r>
              <w:rPr/>
              <w:t xml:space="preserve">  </w:t>
            </w:r>
          </w:p>
        </w:tc>
        <w:tc>
          <w:tcPr>
            <w:tcW w:w="1373"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771,799 </w:t>
            </w:r>
          </w:p>
        </w:tc>
      </w:tr>
      <w:tr>
        <w:trPr/>
        <w:tc>
          <w:tcPr>
            <w:tcW w:w="3648" w:type="dxa"/>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Deferred financing costs</w:t>
            </w:r>
          </w:p>
        </w:tc>
        <w:tc>
          <w:tcPr>
            <w:tcW w:w="286" w:type="dxa"/>
            <w:tcBorders/>
            <w:shd w:fill="auto" w:val="clear"/>
            <w:tcMar>
              <w:top w:w="0" w:type="dxa"/>
            </w:tcMar>
          </w:tcPr>
          <w:p>
            <w:pPr>
              <w:pStyle w:val="TableContents"/>
              <w:spacing w:before="0" w:after="283"/>
              <w:rPr/>
            </w:pPr>
            <w:r>
              <w:rPr/>
              <w:t xml:space="preserve">  </w:t>
            </w:r>
          </w:p>
        </w:tc>
        <w:tc>
          <w:tcPr>
            <w:tcW w:w="1357"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821" w:type="dxa"/>
            <w:tcBorders/>
            <w:shd w:fill="auto" w:val="clear"/>
            <w:tcMar>
              <w:top w:w="0" w:type="dxa"/>
            </w:tcMar>
          </w:tcPr>
          <w:p>
            <w:pPr>
              <w:pStyle w:val="TableContents"/>
              <w:spacing w:before="0" w:after="283"/>
              <w:rPr/>
            </w:pPr>
            <w:r>
              <w:rPr/>
              <w:t xml:space="preserve">  </w:t>
            </w:r>
          </w:p>
        </w:tc>
        <w:tc>
          <w:tcPr>
            <w:tcW w:w="2434" w:type="dxa"/>
            <w:gridSpan w:val="2"/>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41,381 </w:t>
            </w:r>
          </w:p>
        </w:tc>
        <w:tc>
          <w:tcPr>
            <w:tcW w:w="286" w:type="dxa"/>
            <w:tcBorders/>
            <w:shd w:fill="auto" w:val="clear"/>
            <w:tcMar>
              <w:top w:w="0" w:type="dxa"/>
            </w:tcMar>
          </w:tcPr>
          <w:p>
            <w:pPr>
              <w:pStyle w:val="TableContents"/>
              <w:spacing w:before="0" w:after="283"/>
              <w:rPr/>
            </w:pPr>
            <w:r>
              <w:rPr/>
              <w:t xml:space="preserve">  </w:t>
            </w:r>
          </w:p>
        </w:tc>
        <w:tc>
          <w:tcPr>
            <w:tcW w:w="1373"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41,381 </w:t>
            </w:r>
          </w:p>
        </w:tc>
      </w:tr>
      <w:tr>
        <w:trPr/>
        <w:tc>
          <w:tcPr>
            <w:tcW w:w="3648" w:type="dxa"/>
            <w:tcBorders>
              <w:bottom w:val="double" w:sz="8" w:space="0" w:color="000000"/>
            </w:tcBorders>
            <w:shd w:fill="auto" w:val="clear"/>
            <w:tcMar>
              <w:top w:w="0" w:type="dxa"/>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286" w:type="dxa"/>
            <w:tcBorders>
              <w:bottom w:val="double" w:sz="8" w:space="0" w:color="000000"/>
            </w:tcBorders>
            <w:shd w:fill="auto" w:val="clear"/>
            <w:tcMar>
              <w:top w:w="0" w:type="dxa"/>
              <w:bottom w:w="28" w:type="dxa"/>
            </w:tcMar>
          </w:tcPr>
          <w:p>
            <w:pPr>
              <w:pStyle w:val="TableContents"/>
              <w:spacing w:before="0" w:after="283"/>
              <w:rPr/>
            </w:pPr>
            <w:r>
              <w:rPr/>
              <w:t xml:space="preserve">  </w:t>
            </w:r>
          </w:p>
        </w:tc>
        <w:tc>
          <w:tcPr>
            <w:tcW w:w="1357" w:type="dxa"/>
            <w:tcBorders>
              <w:bottom w:val="double" w:sz="8" w:space="0" w:color="000000"/>
            </w:tcBorders>
            <w:shd w:fill="auto" w:val="clear"/>
            <w:tcMar>
              <w:top w:w="0" w:type="dxa"/>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410,489 </w:t>
            </w:r>
          </w:p>
        </w:tc>
        <w:tc>
          <w:tcPr>
            <w:tcW w:w="821" w:type="dxa"/>
            <w:tcBorders>
              <w:bottom w:val="double" w:sz="8" w:space="0" w:color="000000"/>
            </w:tcBorders>
            <w:shd w:fill="auto" w:val="clear"/>
            <w:tcMar>
              <w:top w:w="0" w:type="dxa"/>
              <w:bottom w:w="28" w:type="dxa"/>
            </w:tcMar>
          </w:tcPr>
          <w:p>
            <w:pPr>
              <w:pStyle w:val="TableContents"/>
              <w:spacing w:before="0" w:after="283"/>
              <w:rPr/>
            </w:pPr>
            <w:r>
              <w:rPr/>
              <w:t xml:space="preserve">  </w:t>
            </w:r>
          </w:p>
        </w:tc>
        <w:tc>
          <w:tcPr>
            <w:tcW w:w="2434" w:type="dxa"/>
            <w:gridSpan w:val="2"/>
            <w:tcBorders>
              <w:bottom w:val="double" w:sz="8" w:space="0" w:color="000000"/>
            </w:tcBorders>
            <w:shd w:fill="auto" w:val="clear"/>
            <w:tcMar>
              <w:top w:w="0" w:type="dxa"/>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(82,762)</w:t>
            </w:r>
          </w:p>
        </w:tc>
        <w:tc>
          <w:tcPr>
            <w:tcW w:w="286" w:type="dxa"/>
            <w:tcBorders>
              <w:bottom w:val="double" w:sz="8" w:space="0" w:color="000000"/>
            </w:tcBorders>
            <w:shd w:fill="auto" w:val="clear"/>
            <w:tcMar>
              <w:top w:w="0" w:type="dxa"/>
              <w:bottom w:w="28" w:type="dxa"/>
            </w:tcMar>
          </w:tcPr>
          <w:p>
            <w:pPr>
              <w:pStyle w:val="TableContents"/>
              <w:spacing w:before="0" w:after="283"/>
              <w:rPr/>
            </w:pPr>
            <w:r>
              <w:rPr/>
              <w:t xml:space="preserve">  </w:t>
            </w:r>
          </w:p>
        </w:tc>
        <w:tc>
          <w:tcPr>
            <w:tcW w:w="1373" w:type="dxa"/>
            <w:tcBorders>
              <w:bottom w:val="double" w:sz="8" w:space="0" w:color="000000"/>
            </w:tcBorders>
            <w:shd w:fill="auto" w:val="clear"/>
            <w:tcMar>
              <w:top w:w="0" w:type="dxa"/>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327,727 </w:t>
            </w:r>
          </w:p>
        </w:tc>
      </w:tr>
      <w:tr>
        <w:trPr/>
        <w:tc>
          <w:tcPr>
            <w:tcW w:w="3648" w:type="dxa"/>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286"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(850,323)</w:t>
            </w:r>
          </w:p>
        </w:tc>
        <w:tc>
          <w:tcPr>
            <w:tcW w:w="821"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4" w:type="dxa"/>
            <w:gridSpan w:val="2"/>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286"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3"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(850,323)</w:t>
            </w:r>
          </w:p>
        </w:tc>
      </w:tr>
      <w:tr>
        <w:trPr/>
        <w:tc>
          <w:tcPr>
            <w:tcW w:w="3648" w:type="dxa"/>
            <w:tcBorders/>
            <w:shd w:fill="auto" w:val="clear"/>
            <w:tcMar>
              <w:top w:w="0" w:type="dxa"/>
            </w:tcMar>
          </w:tcPr>
          <w:p>
            <w:pPr>
              <w:pStyle w:val="TableContents"/>
              <w:spacing w:before="0" w:after="283"/>
              <w:rPr/>
            </w:pPr>
            <w:r>
              <w:rPr/>
              <w:t xml:space="preserve">  </w:t>
            </w:r>
          </w:p>
        </w:tc>
        <w:tc>
          <w:tcPr>
            <w:tcW w:w="286" w:type="dxa"/>
            <w:tcBorders/>
            <w:shd w:fill="auto" w:val="clear"/>
            <w:tcMar>
              <w:top w:w="0" w:type="dxa"/>
            </w:tcMar>
          </w:tcPr>
          <w:p>
            <w:pPr>
              <w:pStyle w:val="TableContents"/>
              <w:spacing w:before="0" w:after="283"/>
              <w:rPr/>
            </w:pPr>
            <w:r>
              <w:rPr/>
              <w:t xml:space="preserve">  </w:t>
            </w:r>
          </w:p>
        </w:tc>
        <w:tc>
          <w:tcPr>
            <w:tcW w:w="1357" w:type="dxa"/>
            <w:tcBorders/>
            <w:shd w:fill="auto" w:val="clear"/>
            <w:tcMar>
              <w:top w:w="0" w:type="dxa"/>
            </w:tcMar>
          </w:tcPr>
          <w:p>
            <w:pPr>
              <w:pStyle w:val="TableContents"/>
              <w:spacing w:before="0" w:after="283"/>
              <w:rPr/>
            </w:pPr>
            <w:r>
              <w:rPr/>
              <w:t xml:space="preserve">  </w:t>
            </w:r>
          </w:p>
        </w:tc>
        <w:tc>
          <w:tcPr>
            <w:tcW w:w="821" w:type="dxa"/>
            <w:tcBorders/>
            <w:shd w:fill="auto" w:val="clear"/>
            <w:tcMar>
              <w:top w:w="0" w:type="dxa"/>
            </w:tcMar>
          </w:tcPr>
          <w:p>
            <w:pPr>
              <w:pStyle w:val="TableContents"/>
              <w:spacing w:before="0" w:after="283"/>
              <w:rPr/>
            </w:pPr>
            <w:r>
              <w:rPr/>
              <w:t xml:space="preserve">  </w:t>
            </w:r>
          </w:p>
        </w:tc>
        <w:tc>
          <w:tcPr>
            <w:tcW w:w="2434" w:type="dxa"/>
            <w:gridSpan w:val="2"/>
            <w:tcBorders/>
            <w:shd w:fill="auto" w:val="clear"/>
            <w:tcMar>
              <w:top w:w="0" w:type="dxa"/>
            </w:tcMar>
          </w:tcPr>
          <w:p>
            <w:pPr>
              <w:pStyle w:val="TableContents"/>
              <w:spacing w:before="0" w:after="283"/>
              <w:rPr/>
            </w:pPr>
            <w:r>
              <w:rPr/>
              <w:t xml:space="preserve">  </w:t>
            </w:r>
          </w:p>
        </w:tc>
        <w:tc>
          <w:tcPr>
            <w:tcW w:w="286" w:type="dxa"/>
            <w:tcBorders/>
            <w:shd w:fill="auto" w:val="clear"/>
            <w:tcMar>
              <w:top w:w="0" w:type="dxa"/>
            </w:tcMar>
          </w:tcPr>
          <w:p>
            <w:pPr>
              <w:pStyle w:val="TableContents"/>
              <w:spacing w:before="0" w:after="283"/>
              <w:rPr/>
            </w:pPr>
            <w:r>
              <w:rPr/>
              <w:t xml:space="preserve">  </w:t>
            </w:r>
          </w:p>
        </w:tc>
        <w:tc>
          <w:tcPr>
            <w:tcW w:w="1373" w:type="dxa"/>
            <w:tcBorders/>
            <w:shd w:fill="auto" w:val="clear"/>
            <w:tcMar>
              <w:top w:w="0" w:type="dxa"/>
            </w:tcMar>
          </w:tcPr>
          <w:p>
            <w:pPr>
              <w:pStyle w:val="TableContents"/>
              <w:spacing w:before="0" w:after="283"/>
              <w:rPr/>
            </w:pPr>
            <w:r>
              <w:rPr/>
              <w:t xml:space="preserve">  </w:t>
            </w:r>
          </w:p>
        </w:tc>
      </w:tr>
      <w:tr>
        <w:trPr/>
        <w:tc>
          <w:tcPr>
            <w:tcW w:w="5291" w:type="dxa"/>
            <w:gridSpan w:val="3"/>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As reported</w:t>
            </w:r>
          </w:p>
        </w:tc>
        <w:tc>
          <w:tcPr>
            <w:tcW w:w="2960" w:type="dxa"/>
            <w:gridSpan w:val="2"/>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Adjustment</w:t>
            </w:r>
          </w:p>
        </w:tc>
        <w:tc>
          <w:tcPr>
            <w:tcW w:w="1954" w:type="dxa"/>
            <w:gridSpan w:val="3"/>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As restated</w:t>
            </w:r>
          </w:p>
        </w:tc>
      </w:tr>
      <w:tr>
        <w:trPr/>
        <w:tc>
          <w:tcPr>
            <w:tcW w:w="10205" w:type="dxa"/>
            <w:gridSpan w:val="8"/>
            <w:tcBorders/>
            <w:shd w:fill="auto" w:val="clear"/>
            <w:tcMar>
              <w:top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 of Cash Flows data</w:t>
            </w:r>
          </w:p>
          <w:p>
            <w:pPr>
              <w:pStyle w:val="TableContents"/>
              <w:spacing w:before="0" w:after="0"/>
              <w:ind w:left="0" w:right="0" w:hanging="0"/>
              <w:jc w:val="left"/>
              <w:rPr>
                <w:rFonts w:ascii="times new roman" w:hAnsi="times new roman"/>
                <w:b/>
                <w:sz w:val="20"/>
              </w:rPr>
            </w:pPr>
            <w:r>
              <w:rPr>
                <w:rFonts w:ascii="times new roman" w:hAnsi="times new roman"/>
                <w:b/>
                <w:sz w:val="20"/>
              </w:rPr>
              <w:t>From July 27, 1999 (inception) to September 30, 2010</w:t>
            </w:r>
          </w:p>
        </w:tc>
      </w:tr>
      <w:tr>
        <w:trPr/>
        <w:tc>
          <w:tcPr>
            <w:tcW w:w="3648" w:type="dxa"/>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286"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(29,353,539)</w:t>
            </w:r>
          </w:p>
        </w:tc>
        <w:tc>
          <w:tcPr>
            <w:tcW w:w="821"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4" w:type="dxa"/>
            <w:gridSpan w:val="2"/>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(13,045,215)</w:t>
            </w:r>
          </w:p>
        </w:tc>
        <w:tc>
          <w:tcPr>
            <w:tcW w:w="286"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3"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(42,398,754)</w:t>
            </w:r>
          </w:p>
        </w:tc>
      </w:tr>
      <w:tr>
        <w:trPr/>
        <w:tc>
          <w:tcPr>
            <w:tcW w:w="3648" w:type="dxa"/>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Non-cash loss on debt financing</w:t>
            </w:r>
          </w:p>
        </w:tc>
        <w:tc>
          <w:tcPr>
            <w:tcW w:w="286" w:type="dxa"/>
            <w:tcBorders/>
            <w:shd w:fill="auto" w:val="clear"/>
            <w:tcMar>
              <w:top w:w="0" w:type="dxa"/>
            </w:tcMar>
          </w:tcPr>
          <w:p>
            <w:pPr>
              <w:pStyle w:val="TableContents"/>
              <w:spacing w:before="0" w:after="283"/>
              <w:rPr/>
            </w:pPr>
            <w:r>
              <w:rPr/>
              <w:t xml:space="preserve">  </w:t>
            </w:r>
          </w:p>
        </w:tc>
        <w:tc>
          <w:tcPr>
            <w:tcW w:w="1357"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821" w:type="dxa"/>
            <w:tcBorders/>
            <w:shd w:fill="auto" w:val="clear"/>
            <w:tcMar>
              <w:top w:w="0" w:type="dxa"/>
            </w:tcMar>
          </w:tcPr>
          <w:p>
            <w:pPr>
              <w:pStyle w:val="TableContents"/>
              <w:spacing w:before="0" w:after="283"/>
              <w:rPr/>
            </w:pPr>
            <w:r>
              <w:rPr/>
              <w:t xml:space="preserve">  </w:t>
            </w:r>
          </w:p>
        </w:tc>
        <w:tc>
          <w:tcPr>
            <w:tcW w:w="2434" w:type="dxa"/>
            <w:gridSpan w:val="2"/>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1,615,425 </w:t>
            </w:r>
          </w:p>
        </w:tc>
        <w:tc>
          <w:tcPr>
            <w:tcW w:w="286" w:type="dxa"/>
            <w:tcBorders/>
            <w:shd w:fill="auto" w:val="clear"/>
            <w:tcMar>
              <w:top w:w="0" w:type="dxa"/>
            </w:tcMar>
          </w:tcPr>
          <w:p>
            <w:pPr>
              <w:pStyle w:val="TableContents"/>
              <w:spacing w:before="0" w:after="283"/>
              <w:rPr/>
            </w:pPr>
            <w:r>
              <w:rPr/>
              <w:t xml:space="preserve">  </w:t>
            </w:r>
          </w:p>
        </w:tc>
        <w:tc>
          <w:tcPr>
            <w:tcW w:w="1373"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1,615,425 </w:t>
            </w:r>
          </w:p>
        </w:tc>
      </w:tr>
      <w:tr>
        <w:trPr/>
        <w:tc>
          <w:tcPr>
            <w:tcW w:w="3648" w:type="dxa"/>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Changes in fair value of derivative liabilities</w:t>
            </w:r>
          </w:p>
        </w:tc>
        <w:tc>
          <w:tcPr>
            <w:tcW w:w="286" w:type="dxa"/>
            <w:tcBorders/>
            <w:shd w:fill="auto" w:val="clear"/>
            <w:tcMar>
              <w:top w:w="0" w:type="dxa"/>
            </w:tcMar>
          </w:tcPr>
          <w:p>
            <w:pPr>
              <w:pStyle w:val="TableContents"/>
              <w:spacing w:before="0" w:after="283"/>
              <w:rPr/>
            </w:pPr>
            <w:r>
              <w:rPr/>
              <w:t xml:space="preserve">  </w:t>
            </w:r>
          </w:p>
        </w:tc>
        <w:tc>
          <w:tcPr>
            <w:tcW w:w="1357"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821" w:type="dxa"/>
            <w:tcBorders/>
            <w:shd w:fill="auto" w:val="clear"/>
            <w:tcMar>
              <w:top w:w="0" w:type="dxa"/>
            </w:tcMar>
          </w:tcPr>
          <w:p>
            <w:pPr>
              <w:pStyle w:val="TableContents"/>
              <w:spacing w:before="0" w:after="283"/>
              <w:rPr/>
            </w:pPr>
            <w:r>
              <w:rPr/>
              <w:t xml:space="preserve">  </w:t>
            </w:r>
          </w:p>
        </w:tc>
        <w:tc>
          <w:tcPr>
            <w:tcW w:w="2434" w:type="dxa"/>
            <w:gridSpan w:val="2"/>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(1,724,217)</w:t>
            </w:r>
          </w:p>
        </w:tc>
        <w:tc>
          <w:tcPr>
            <w:tcW w:w="286" w:type="dxa"/>
            <w:tcBorders/>
            <w:shd w:fill="auto" w:val="clear"/>
            <w:tcMar>
              <w:top w:w="0" w:type="dxa"/>
            </w:tcMar>
          </w:tcPr>
          <w:p>
            <w:pPr>
              <w:pStyle w:val="TableContents"/>
              <w:spacing w:before="0" w:after="283"/>
              <w:rPr/>
            </w:pPr>
            <w:r>
              <w:rPr/>
              <w:t xml:space="preserve">  </w:t>
            </w:r>
          </w:p>
        </w:tc>
        <w:tc>
          <w:tcPr>
            <w:tcW w:w="1373"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(1,724,217)</w:t>
            </w:r>
          </w:p>
        </w:tc>
      </w:tr>
      <w:tr>
        <w:trPr/>
        <w:tc>
          <w:tcPr>
            <w:tcW w:w="3648" w:type="dxa"/>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Gain on settlement of debt</w:t>
            </w:r>
          </w:p>
        </w:tc>
        <w:tc>
          <w:tcPr>
            <w:tcW w:w="286" w:type="dxa"/>
            <w:tcBorders/>
            <w:shd w:fill="auto" w:val="clear"/>
            <w:tcMar>
              <w:top w:w="0" w:type="dxa"/>
            </w:tcMar>
          </w:tcPr>
          <w:p>
            <w:pPr>
              <w:pStyle w:val="TableContents"/>
              <w:spacing w:before="0" w:after="283"/>
              <w:rPr/>
            </w:pPr>
            <w:r>
              <w:rPr/>
              <w:t xml:space="preserve">  </w:t>
            </w:r>
          </w:p>
        </w:tc>
        <w:tc>
          <w:tcPr>
            <w:tcW w:w="1357"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(1,187,655)</w:t>
            </w:r>
          </w:p>
        </w:tc>
        <w:tc>
          <w:tcPr>
            <w:tcW w:w="821" w:type="dxa"/>
            <w:tcBorders/>
            <w:shd w:fill="auto" w:val="clear"/>
            <w:tcMar>
              <w:top w:w="0" w:type="dxa"/>
            </w:tcMar>
          </w:tcPr>
          <w:p>
            <w:pPr>
              <w:pStyle w:val="TableContents"/>
              <w:spacing w:before="0" w:after="283"/>
              <w:rPr/>
            </w:pPr>
            <w:r>
              <w:rPr/>
              <w:t xml:space="preserve">  </w:t>
            </w:r>
          </w:p>
        </w:tc>
        <w:tc>
          <w:tcPr>
            <w:tcW w:w="2434" w:type="dxa"/>
            <w:gridSpan w:val="2"/>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13,137,038 </w:t>
            </w:r>
          </w:p>
        </w:tc>
        <w:tc>
          <w:tcPr>
            <w:tcW w:w="286" w:type="dxa"/>
            <w:tcBorders/>
            <w:shd w:fill="auto" w:val="clear"/>
            <w:tcMar>
              <w:top w:w="0" w:type="dxa"/>
            </w:tcMar>
          </w:tcPr>
          <w:p>
            <w:pPr>
              <w:pStyle w:val="TableContents"/>
              <w:spacing w:before="0" w:after="283"/>
              <w:rPr/>
            </w:pPr>
            <w:r>
              <w:rPr/>
              <w:t xml:space="preserve">  </w:t>
            </w:r>
          </w:p>
        </w:tc>
        <w:tc>
          <w:tcPr>
            <w:tcW w:w="1373"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11,949,383 </w:t>
            </w:r>
          </w:p>
        </w:tc>
      </w:tr>
      <w:tr>
        <w:trPr/>
        <w:tc>
          <w:tcPr>
            <w:tcW w:w="3648" w:type="dxa"/>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Non-cash interest and financing charges</w:t>
            </w:r>
          </w:p>
        </w:tc>
        <w:tc>
          <w:tcPr>
            <w:tcW w:w="286" w:type="dxa"/>
            <w:tcBorders/>
            <w:shd w:fill="auto" w:val="clear"/>
            <w:tcMar>
              <w:top w:w="0" w:type="dxa"/>
            </w:tcMar>
          </w:tcPr>
          <w:p>
            <w:pPr>
              <w:pStyle w:val="TableContents"/>
              <w:spacing w:before="0" w:after="283"/>
              <w:rPr/>
            </w:pPr>
            <w:r>
              <w:rPr/>
              <w:t xml:space="preserve">  </w:t>
            </w:r>
          </w:p>
        </w:tc>
        <w:tc>
          <w:tcPr>
            <w:tcW w:w="1357"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4,261,538 </w:t>
            </w:r>
          </w:p>
        </w:tc>
        <w:tc>
          <w:tcPr>
            <w:tcW w:w="821" w:type="dxa"/>
            <w:tcBorders/>
            <w:shd w:fill="auto" w:val="clear"/>
            <w:tcMar>
              <w:top w:w="0" w:type="dxa"/>
            </w:tcMar>
          </w:tcPr>
          <w:p>
            <w:pPr>
              <w:pStyle w:val="TableContents"/>
              <w:spacing w:before="0" w:after="283"/>
              <w:rPr/>
            </w:pPr>
            <w:r>
              <w:rPr/>
              <w:t xml:space="preserve">  </w:t>
            </w:r>
          </w:p>
        </w:tc>
        <w:tc>
          <w:tcPr>
            <w:tcW w:w="2434" w:type="dxa"/>
            <w:gridSpan w:val="2"/>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58,350 </w:t>
            </w:r>
          </w:p>
        </w:tc>
        <w:tc>
          <w:tcPr>
            <w:tcW w:w="286" w:type="dxa"/>
            <w:tcBorders/>
            <w:shd w:fill="auto" w:val="clear"/>
            <w:tcMar>
              <w:top w:w="0" w:type="dxa"/>
            </w:tcMar>
          </w:tcPr>
          <w:p>
            <w:pPr>
              <w:pStyle w:val="TableContents"/>
              <w:spacing w:before="0" w:after="283"/>
              <w:rPr/>
            </w:pPr>
            <w:r>
              <w:rPr/>
              <w:t xml:space="preserve">  </w:t>
            </w:r>
          </w:p>
        </w:tc>
        <w:tc>
          <w:tcPr>
            <w:tcW w:w="1373"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4,319,888 </w:t>
            </w:r>
          </w:p>
        </w:tc>
      </w:tr>
      <w:tr>
        <w:trPr/>
        <w:tc>
          <w:tcPr>
            <w:tcW w:w="3648" w:type="dxa"/>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Deferred financing costs</w:t>
            </w:r>
          </w:p>
        </w:tc>
        <w:tc>
          <w:tcPr>
            <w:tcW w:w="286" w:type="dxa"/>
            <w:tcBorders/>
            <w:shd w:fill="auto" w:val="clear"/>
            <w:tcMar>
              <w:top w:w="0" w:type="dxa"/>
            </w:tcMar>
          </w:tcPr>
          <w:p>
            <w:pPr>
              <w:pStyle w:val="TableContents"/>
              <w:spacing w:before="0" w:after="283"/>
              <w:rPr/>
            </w:pPr>
            <w:r>
              <w:rPr/>
              <w:t xml:space="preserve">  </w:t>
            </w:r>
          </w:p>
        </w:tc>
        <w:tc>
          <w:tcPr>
            <w:tcW w:w="1357"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821" w:type="dxa"/>
            <w:tcBorders/>
            <w:shd w:fill="auto" w:val="clear"/>
            <w:tcMar>
              <w:top w:w="0" w:type="dxa"/>
            </w:tcMar>
          </w:tcPr>
          <w:p>
            <w:pPr>
              <w:pStyle w:val="TableContents"/>
              <w:spacing w:before="0" w:after="283"/>
              <w:rPr/>
            </w:pPr>
            <w:r>
              <w:rPr/>
              <w:t xml:space="preserve">  </w:t>
            </w:r>
          </w:p>
        </w:tc>
        <w:tc>
          <w:tcPr>
            <w:tcW w:w="2434" w:type="dxa"/>
            <w:gridSpan w:val="2"/>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41,381 </w:t>
            </w:r>
          </w:p>
        </w:tc>
        <w:tc>
          <w:tcPr>
            <w:tcW w:w="286" w:type="dxa"/>
            <w:tcBorders/>
            <w:shd w:fill="auto" w:val="clear"/>
            <w:tcMar>
              <w:top w:w="0" w:type="dxa"/>
            </w:tcMar>
          </w:tcPr>
          <w:p>
            <w:pPr>
              <w:pStyle w:val="TableContents"/>
              <w:spacing w:before="0" w:after="283"/>
              <w:rPr/>
            </w:pPr>
            <w:r>
              <w:rPr/>
              <w:t xml:space="preserve">  </w:t>
            </w:r>
          </w:p>
        </w:tc>
        <w:tc>
          <w:tcPr>
            <w:tcW w:w="1373"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41,381 </w:t>
            </w:r>
          </w:p>
        </w:tc>
      </w:tr>
      <w:tr>
        <w:trPr/>
        <w:tc>
          <w:tcPr>
            <w:tcW w:w="3648" w:type="dxa"/>
            <w:tcBorders>
              <w:bottom w:val="double" w:sz="8" w:space="0" w:color="000000"/>
            </w:tcBorders>
            <w:shd w:fill="auto" w:val="clear"/>
            <w:tcMar>
              <w:top w:w="0" w:type="dxa"/>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286" w:type="dxa"/>
            <w:tcBorders>
              <w:bottom w:val="double" w:sz="8" w:space="0" w:color="000000"/>
            </w:tcBorders>
            <w:shd w:fill="auto" w:val="clear"/>
            <w:tcMar>
              <w:top w:w="0" w:type="dxa"/>
              <w:bottom w:w="28" w:type="dxa"/>
            </w:tcMar>
          </w:tcPr>
          <w:p>
            <w:pPr>
              <w:pStyle w:val="TableContents"/>
              <w:spacing w:before="0" w:after="283"/>
              <w:rPr/>
            </w:pPr>
            <w:r>
              <w:rPr/>
              <w:t xml:space="preserve">  </w:t>
            </w:r>
          </w:p>
        </w:tc>
        <w:tc>
          <w:tcPr>
            <w:tcW w:w="1357" w:type="dxa"/>
            <w:tcBorders>
              <w:bottom w:val="double" w:sz="8" w:space="0" w:color="000000"/>
            </w:tcBorders>
            <w:shd w:fill="auto" w:val="clear"/>
            <w:tcMar>
              <w:top w:w="0" w:type="dxa"/>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2,896,502 </w:t>
            </w:r>
          </w:p>
        </w:tc>
        <w:tc>
          <w:tcPr>
            <w:tcW w:w="821" w:type="dxa"/>
            <w:tcBorders>
              <w:bottom w:val="double" w:sz="8" w:space="0" w:color="000000"/>
            </w:tcBorders>
            <w:shd w:fill="auto" w:val="clear"/>
            <w:tcMar>
              <w:top w:w="0" w:type="dxa"/>
              <w:bottom w:w="28" w:type="dxa"/>
            </w:tcMar>
          </w:tcPr>
          <w:p>
            <w:pPr>
              <w:pStyle w:val="TableContents"/>
              <w:spacing w:before="0" w:after="283"/>
              <w:rPr/>
            </w:pPr>
            <w:r>
              <w:rPr/>
              <w:t xml:space="preserve">  </w:t>
            </w:r>
          </w:p>
        </w:tc>
        <w:tc>
          <w:tcPr>
            <w:tcW w:w="2434" w:type="dxa"/>
            <w:gridSpan w:val="2"/>
            <w:tcBorders>
              <w:bottom w:val="double" w:sz="8" w:space="0" w:color="000000"/>
            </w:tcBorders>
            <w:shd w:fill="auto" w:val="clear"/>
            <w:tcMar>
              <w:top w:w="0" w:type="dxa"/>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(82,762)</w:t>
            </w:r>
          </w:p>
        </w:tc>
        <w:tc>
          <w:tcPr>
            <w:tcW w:w="286" w:type="dxa"/>
            <w:tcBorders>
              <w:bottom w:val="double" w:sz="8" w:space="0" w:color="000000"/>
            </w:tcBorders>
            <w:shd w:fill="auto" w:val="clear"/>
            <w:tcMar>
              <w:top w:w="0" w:type="dxa"/>
              <w:bottom w:w="28" w:type="dxa"/>
            </w:tcMar>
          </w:tcPr>
          <w:p>
            <w:pPr>
              <w:pStyle w:val="TableContents"/>
              <w:spacing w:before="0" w:after="283"/>
              <w:rPr/>
            </w:pPr>
            <w:r>
              <w:rPr/>
              <w:t xml:space="preserve">  </w:t>
            </w:r>
          </w:p>
        </w:tc>
        <w:tc>
          <w:tcPr>
            <w:tcW w:w="1373" w:type="dxa"/>
            <w:tcBorders>
              <w:bottom w:val="double" w:sz="8" w:space="0" w:color="000000"/>
            </w:tcBorders>
            <w:shd w:fill="auto" w:val="clear"/>
            <w:tcMar>
              <w:top w:w="0" w:type="dxa"/>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2,813,740 </w:t>
            </w:r>
          </w:p>
        </w:tc>
      </w:tr>
      <w:tr>
        <w:trPr/>
        <w:tc>
          <w:tcPr>
            <w:tcW w:w="3648" w:type="dxa"/>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286"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57"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(13,469,845)</w:t>
            </w:r>
          </w:p>
        </w:tc>
        <w:tc>
          <w:tcPr>
            <w:tcW w:w="821"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434" w:type="dxa"/>
            <w:gridSpan w:val="2"/>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286"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3"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(13,469,845)</w:t>
            </w:r>
          </w:p>
        </w:tc>
      </w:tr>
      <w:tr>
        <w:trPr/>
        <w:tc>
          <w:tcPr>
            <w:tcW w:w="10205" w:type="dxa"/>
            <w:gridSpan w:val="8"/>
            <w:tcBorders/>
            <w:shd w:fill="auto" w:val="clear"/>
            <w:tcMar>
              <w:top w:w="0" w:type="dxa"/>
            </w:tcMar>
          </w:tcPr>
          <w:p>
            <w:pPr>
              <w:pStyle w:val="TableContents"/>
              <w:spacing w:before="0" w:after="283"/>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1:</w:t>
      </w:r>
      <w:bookmarkStart w:id="899" w:name="TAB214"/>
      <w:bookmarkEnd w:id="899"/>
      <w:r>
        <w:rPr>
          <w:rFonts w:ascii="Times New Roman" w:hAnsi="Times New Roman"/>
          <w:b/>
          <w:color w:val="000000"/>
          <w:spacing w:val="60"/>
          <w:sz w:val="20"/>
        </w:rPr>
        <w:t> </w:t>
      </w:r>
      <w:r>
        <w:rPr>
          <w:rFonts w:ascii="Times New Roman" w:hAnsi="Times New Roman"/>
          <w:b/>
          <w:sz w:val="20"/>
          <w:u w:val="single"/>
        </w:rPr>
        <w:t>NATURE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TapImmune Inc. (the “Company”), a Nevada corporation incorporated in 1992, is a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Since inception, TapImmune and the University of British Columbia (“UBC”) have been parties to various Collaborative Research Agreements (“CRA”) appointing UBC to carry out development of the licensed technology and providing TapImmune the option to acquire the rights to commercialize any additional technologies developed within the CRA. The lead product candidate, now wholly owned and with no ongoing license or royalty, resulting from these license agreements is an immunotherapy vaccine, on which the Company has been completing pre-clinical work in anticipation of clinical trials. Specifically, the Company has obtained and expanded on three U.S. and international patents, tested various viral vectors, licensed a viral vector and is working towards production of a clinical grade vaccine. The Company plans to continue development of the lead product vaccine through to clinical trials in both oncology and infectious diseases alone or in partnership with other vaccine developers.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These consolidated financial statements have been prepared on the basis of a going concern which contemplates the realization of assets and the satisfaction of liabilities in the normal course of business. As at September 30, 2010, the Company had a working capital deficit of $2,340,000 and has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00" w:name="PGBRK78"/>
      <w:bookmarkStart w:id="901" w:name="PGBRK78"/>
      <w:bookmarkEnd w:id="9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2" w:name="FTR78"/>
      <w:bookmarkStart w:id="903" w:name="FTR78"/>
      <w:bookmarkEnd w:id="9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04" w:name="GLFTR78"/>
      <w:bookmarkEnd w:id="9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05" w:name="PN77"/>
      <w:bookmarkEnd w:id="905"/>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6" w:name="HDR77"/>
      <w:bookmarkStart w:id="907" w:name="HDR77"/>
      <w:bookmarkEnd w:id="9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08" w:name="GLHDR77"/>
      <w:bookmarkEnd w:id="9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was able to substantially complete ongoing restructuring plans in the second half of 2009. Additional funding and equity for debt settlements have retired notes payable and some of the other debt obligations were satisfied. Additional capital is required now to expand programs including pre-clinical work and to establish future manufacturing contracts necessary for clinical trials for the lead TAP (Transporters of Antigen Processing) vaccine and infectious disease adjuvant technology. Strategic partnerships will be needed to continue the product development portfolio and fund development costs. These measures, if successful, may contribute to reduce the risk of going concern uncertainties for the Company over the next twelve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is no certainty that the Company will be able to raise sufficient funding to satisfy current debt obligations or to continue development of products to marketability. Currently, the Company does not have sufficient funds available to meet an upcoming payment on secured convertible notes issued in May 2010, and the stipulated market conditions allowing for the repayment of those secured convertible notes in shares of our common stock do not exist.  If we fail to raise additional capital or modify the terms with the holders of the convertible notes we will default on our secured convertible notes and the note holders may make claims on the assets of the Company should a cure not be made within the allowable limits. Management is negotiating with potential investors and the note holders to ensure that additional financing is made available and that we do not default on the secured convertible notes.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2:</w:t>
      </w:r>
      <w:bookmarkStart w:id="909" w:name="TAB215"/>
      <w:bookmarkEnd w:id="909"/>
      <w:r>
        <w:rPr>
          <w:rFonts w:ascii="Times New Roman" w:hAnsi="Times New Roman"/>
          <w:b/>
          <w:color w:val="000000"/>
          <w:spacing w:val="60"/>
          <w:sz w:val="20"/>
        </w:rPr>
        <w:t> </w:t>
      </w:r>
      <w:r>
        <w:rPr>
          <w:rFonts w:ascii="Times New Roman" w:hAnsi="Times New Roman"/>
          <w:b/>
          <w:sz w:val="20"/>
          <w:u w:val="single"/>
        </w:rPr>
        <w:t>UNAUDITED CONSOLIDATED FINANCIAL STATEMENTS FOR AN INTERIM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Basis of Presentation</w:t>
      </w:r>
    </w:p>
    <w:p>
      <w:pPr>
        <w:pStyle w:val="TextBody"/>
        <w:spacing w:before="0" w:after="0"/>
        <w:ind w:left="0" w:right="0" w:hanging="0"/>
        <w:jc w:val="both"/>
        <w:rPr>
          <w:rFonts w:ascii="Times New Roman" w:hAnsi="Times New Roman"/>
          <w:sz w:val="20"/>
        </w:rPr>
      </w:pPr>
      <w:r>
        <w:rPr>
          <w:rFonts w:ascii="Times New Roman" w:hAnsi="Times New Roman"/>
          <w:sz w:val="20"/>
        </w:rPr>
        <w:t>These unaudited interim consolidated financial statements may not include all information and footnotes required by US GAAP for complete financial statement disclosure. However, except as disclosed herein, there have been no material changes in the information contained in the notes to the audited consolidated financial statements for the year ended December 31, 2009, included in the Company’s Form 10-K, which was filed with the Securities and Exchange Commission. These unaudited interim consolidated financial statements should be read in conjunction with the audited financial statements included in the Form 10-K. In the opinion of management, all adjustments considered necessary for fair presentation and consisting solely of normal recurring adjustments have been made. Operating results for the three months ended September 30, 2010 are not necessarily indicative of the results that may be expected for the year ending December 31, 2010.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Recent Accounting Pronouncements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reviewed recently issued accounting pronouncements and plans to adopt those that are applicable to it. It does not expect the adoption of these pronouncements to have a material impact on its financial position, results of operations or cash flows.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Interim results are not necessarily indicative of results for a full year. The information included in this quarterly report on Form 10-Q should be read in conjunction with information included in the Company’s annual report on Form 10-K filed on April 15, 2010, with the U.S. Securities and Exchange Commission.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3:</w:t>
      </w:r>
      <w:bookmarkStart w:id="910" w:name="TAB216"/>
      <w:bookmarkEnd w:id="910"/>
      <w:r>
        <w:rPr>
          <w:rFonts w:ascii="Times New Roman" w:hAnsi="Times New Roman"/>
          <w:b/>
          <w:color w:val="000000"/>
          <w:spacing w:val="60"/>
          <w:sz w:val="20"/>
        </w:rPr>
        <w:t> </w:t>
      </w:r>
      <w:r>
        <w:rPr>
          <w:rFonts w:ascii="Times New Roman" w:hAnsi="Times New Roman"/>
          <w:b/>
          <w:sz w:val="20"/>
          <w:u w:val="single"/>
        </w:rPr>
        <w:t>RESEARCH AGREEMENTS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Crucell Holland B.V. (“Crucell”) – Research License and Option Agreement</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2003, Crucell and our subsidiary GeneMax Pharmaceuticals, Inc. (“GPI”) entered into a five-year research license and option agreement whereby Crucell granted to GPI a non-exclusive worldwide license for the research use of its adenovirus technology. The Company was required to make certain payments over the five-year term totaling Euro €450,000 (approximately $510,100).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2008, $243,598 (€172,801) was owing to Crucell under this agreement. During the year ended December 31, 2009, management negotiated a settlement of the outstanding balance requiring a €17,000 cash payment (paid) and the issuance of 265,000 shares of the Company’s common stock (issued, refer to Note 6).</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11" w:name="PGBRK79"/>
      <w:bookmarkStart w:id="912" w:name="PGBRK79"/>
      <w:bookmarkEnd w:id="9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3" w:name="FTR79"/>
      <w:bookmarkStart w:id="914" w:name="FTR79"/>
      <w:bookmarkEnd w:id="9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15" w:name="GLFTR79"/>
      <w:bookmarkEnd w:id="9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16" w:name="PN78"/>
      <w:bookmarkEnd w:id="916"/>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7" w:name="HDR78"/>
      <w:bookmarkStart w:id="918" w:name="HDR78"/>
      <w:bookmarkEnd w:id="9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19" w:name="GLHDR78"/>
      <w:bookmarkEnd w:id="9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retroactively effective August 7, 2008, the Company negotiated an amended license agreement for the use of Crucell’s adenovirus technology. The Company is required to make annual license payments on the anniversary of the effective date for the three year term equal to €75,000 per annum. As at September 30, 2010, the Company had accrued $119,080 (€87,500; December 31, 2009: $45,676 (€31,250)) under the amended agreement. The Company is currently delinquent on making its 2009 1st year annual license payment. Settlement of the licensing fee can be made with as little as 10% in cash and the balance in restricted stock. As a result, the impact on going concern of settling the debt or restructuring it should be minimal.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4:</w:t>
      </w:r>
      <w:bookmarkStart w:id="920" w:name="TAB217"/>
      <w:bookmarkEnd w:id="920"/>
      <w:r>
        <w:rPr>
          <w:rFonts w:ascii="Times New Roman" w:hAnsi="Times New Roman"/>
          <w:b/>
          <w:color w:val="000000"/>
          <w:spacing w:val="60"/>
          <w:sz w:val="20"/>
        </w:rPr>
        <w:t> </w:t>
      </w:r>
      <w:r>
        <w:rPr>
          <w:rFonts w:ascii="Times New Roman" w:hAnsi="Times New Roman"/>
          <w:b/>
          <w:sz w:val="20"/>
          <w:u w:val="single"/>
        </w:rPr>
        <w:t>DERIVATIVE WARRANT LIABILITY AND FAIR VALUE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has evaluated the application of ASC 815 </w:t>
      </w:r>
      <w:r>
        <w:rPr>
          <w:rFonts w:ascii="Times New Roman" w:hAnsi="Times New Roman"/>
          <w:i/>
          <w:sz w:val="20"/>
        </w:rPr>
        <w:t>Derivatives and Hedging</w:t>
      </w:r>
      <w:r>
        <w:rPr>
          <w:rFonts w:ascii="Times New Roman" w:hAnsi="Times New Roman"/>
          <w:sz w:val="20"/>
        </w:rPr>
        <w:t xml:space="preserve"> (formerly SFAS No. 133) and ASC 815-40 </w:t>
      </w:r>
      <w:r>
        <w:rPr>
          <w:rFonts w:ascii="Times New Roman" w:hAnsi="Times New Roman"/>
          <w:i/>
          <w:sz w:val="20"/>
        </w:rPr>
        <w:t>Contracts in an Entity’s Own Equity</w:t>
      </w:r>
      <w:r>
        <w:rPr>
          <w:rFonts w:ascii="Times New Roman" w:hAnsi="Times New Roman"/>
          <w:sz w:val="20"/>
        </w:rPr>
        <w:t xml:space="preserve"> to the issued and outstanding warrants to purchase common stock that were issued with the convertible notes during the nine months ended September 30, 2010 and those issued as finders’ fees. Based on the guidance in ASC 815 and ASC 815-40-25, the Company concluded these instruments were required to be accounted for as derivatives due to a ratchet down protection feature available on the exercise price (Note 5). Under ASC 815-40-25, the Company records the fair value of these derivatives on its balance sheet at fair value with changes in the values reflected in the statements of operations as “Changes in fair value of derivative liabilities”. These derivative instruments disclosed on the balance sheet under ‘Derivative liabilities –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and minimize the use of unobservable inputs when measuring fair value. ASC 820-10 describes three levels of inputs that may be used to measure fair value: Level 1 – Quoted prices in active markets for identical assets or liabilities; Level 2 – Observable inputs other than Level 1 prices, such as quoted prices for similar assets or liabilities; or other inputs that are observable or can be corroborated by observable market data for substantially the full term of the assets or liabilities; and Level 3 –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The Company’s Level 3 liabilities consist of the derivative liabilities associated with the warrants issued with the convertible notes during the nine months ended September 30, 2010. At September 30, 2010, all of the Company’s derivative liabilities were categorized as Level 3 fair value liabilities. If the inputs used to measure the financial assets and liabilities fall within more than one level described above, the categorization is based on the lowest level input that is significant to the fair value measurement of the instrument.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Level 3 Valuation Techniques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Financial liabilities are considered Level 3 when their fair values are determined using pricing models, discounted cash flow methodologies or similar techniques and at least one significant model assumption or input is unobservable. Level 3 financial liabilities consist of the notes and warrants for which there is no current market for these securities such that the determination of fair value requires significant judgment or estimation.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Determining fair value of warrants and conversion options, given the company’s stage of development and financial position, is highly subjective and identifying appropriate measurement criteria and models is subject to uncertainty. There are several generally accepted pricing models for warrants and options and derivative provisions. The Company has chosen to value the conversion option on the notes that contain ratchet down provisions using the Binomial model under the following assumptions:</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2141"/>
        <w:gridCol w:w="1008"/>
        <w:gridCol w:w="1008"/>
        <w:gridCol w:w="1008"/>
        <w:gridCol w:w="1008"/>
        <w:gridCol w:w="1008"/>
        <w:gridCol w:w="1008"/>
        <w:gridCol w:w="1008"/>
        <w:gridCol w:w="1008"/>
      </w:tblGrid>
      <w:tr>
        <w:trPr/>
        <w:tc>
          <w:tcPr>
            <w:tcW w:w="2141" w:type="dxa"/>
            <w:tcBorders>
              <w:bottom w:val="single" w:sz="12" w:space="0" w:color="000000"/>
            </w:tcBorders>
            <w:shd w:fill="auto" w:val="clear"/>
          </w:tcPr>
          <w:p>
            <w:pPr>
              <w:pStyle w:val="TableContents"/>
              <w:spacing w:before="0" w:after="283"/>
              <w:rPr/>
            </w:pPr>
            <w:r>
              <w:rPr/>
              <w:t xml:space="preserve">  </w:t>
            </w:r>
          </w:p>
        </w:tc>
        <w:tc>
          <w:tcPr>
            <w:tcW w:w="4032" w:type="dxa"/>
            <w:gridSpan w:val="4"/>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At Initial Recognition</w:t>
            </w:r>
          </w:p>
        </w:tc>
        <w:tc>
          <w:tcPr>
            <w:tcW w:w="4032" w:type="dxa"/>
            <w:gridSpan w:val="4"/>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 2010</w:t>
            </w:r>
          </w:p>
        </w:tc>
      </w:tr>
      <w:tr>
        <w:trPr/>
        <w:tc>
          <w:tcPr>
            <w:tcW w:w="2141" w:type="dxa"/>
            <w:tcBorders>
              <w:bottom w:val="double" w:sz="8" w:space="0" w:color="000000"/>
            </w:tcBorders>
            <w:shd w:fill="auto" w:val="clear"/>
          </w:tcPr>
          <w:p>
            <w:pPr>
              <w:pStyle w:val="TableContents"/>
              <w:spacing w:before="0" w:after="283"/>
              <w:rPr/>
            </w:pPr>
            <w:r>
              <w:rPr/>
              <w:t xml:space="preserve">  </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Life (Years)</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Risk free Rate</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Dividend yield</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Volatility</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Life (Years)</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Risk free Rate</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Dividend yield</w:t>
            </w:r>
          </w:p>
        </w:tc>
        <w:tc>
          <w:tcPr>
            <w:tcW w:w="100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Volatility</w:t>
            </w:r>
          </w:p>
        </w:tc>
      </w:tr>
      <w:tr>
        <w:trPr/>
        <w:tc>
          <w:tcPr>
            <w:tcW w:w="2141"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Series A Warrants</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2.5</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0.40%</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199%</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2.0</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0.42%</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199%</w:t>
            </w:r>
          </w:p>
        </w:tc>
      </w:tr>
      <w:tr>
        <w:trPr/>
        <w:tc>
          <w:tcPr>
            <w:tcW w:w="2141"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Series B Warrants</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0.35%</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199%</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0.6</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0.19%</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199%</w:t>
            </w:r>
          </w:p>
        </w:tc>
      </w:tr>
      <w:tr>
        <w:trPr/>
        <w:tc>
          <w:tcPr>
            <w:tcW w:w="2141" w:type="dxa"/>
            <w:tcBorders/>
            <w:shd w:fill="auto"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Series C Warrants</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0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2141" w:type="dxa"/>
            <w:tcBorders>
              <w:bottom w:val="double" w:sz="8"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Conversion Option</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0.35%</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199%</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0.6</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0.19%</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c>
          <w:tcPr>
            <w:tcW w:w="1008"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199%</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Series C Warrants are contingently exercisable following the exercise of the Series B Warrants. The fair value of the Series C Warrants was determined to be nominal.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21" w:name="PGBRK80"/>
      <w:bookmarkStart w:id="922" w:name="PGBRK80"/>
      <w:bookmarkEnd w:id="9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3" w:name="FTR80"/>
      <w:bookmarkStart w:id="924" w:name="FTR80"/>
      <w:bookmarkEnd w:id="9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25" w:name="GLFTR80"/>
      <w:bookmarkEnd w:id="9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26" w:name="PN79"/>
      <w:bookmarkEnd w:id="926"/>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7" w:name="HDR79"/>
      <w:bookmarkStart w:id="928" w:name="HDR79"/>
      <w:bookmarkEnd w:id="9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29" w:name="GLHDR79"/>
      <w:bookmarkEnd w:id="9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foregoing assumptions are reviewed quarterly and are subject to change based primarily on management’s assessment of the probability of the events described occurring. Accordingly, changes to these assessments could materially affect the valuations.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Financial Assets and Liabilities Measured at Fair Value on a Recurring Basis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Financial assets and liabilities measured at fair value on a recurring basis are summarized below and disclosed on the balance sheet under Derivative liability – warrants and Derivative liability – conversion option:</w:t>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3523"/>
        <w:gridCol w:w="1336"/>
        <w:gridCol w:w="1215"/>
        <w:gridCol w:w="1458"/>
        <w:gridCol w:w="1336"/>
        <w:gridCol w:w="1337"/>
      </w:tblGrid>
      <w:tr>
        <w:trPr/>
        <w:tc>
          <w:tcPr>
            <w:tcW w:w="3523" w:type="dxa"/>
            <w:tcBorders>
              <w:top w:val="single" w:sz="12" w:space="0" w:color="000000"/>
            </w:tcBorders>
            <w:shd w:fill="auto" w:val="clear"/>
            <w:vAlign w:val="bottom"/>
          </w:tcPr>
          <w:p>
            <w:pPr>
              <w:pStyle w:val="TableContents"/>
              <w:spacing w:before="0" w:after="283"/>
              <w:rPr/>
            </w:pPr>
            <w:r>
              <w:rPr/>
              <w:t xml:space="preserve">  </w:t>
            </w:r>
          </w:p>
        </w:tc>
        <w:tc>
          <w:tcPr>
            <w:tcW w:w="1336" w:type="dxa"/>
            <w:tcBorders>
              <w:top w:val="single" w:sz="12" w:space="0" w:color="000000"/>
              <w:bottom w:val="single" w:sz="12" w:space="0" w:color="000000"/>
            </w:tcBorders>
            <w:shd w:fill="auto" w:val="clear"/>
            <w:tcMar>
              <w:bottom w:w="28" w:type="dxa"/>
            </w:tcMar>
            <w:vAlign w:val="bottom"/>
          </w:tcPr>
          <w:p>
            <w:pPr>
              <w:pStyle w:val="TableContents"/>
              <w:spacing w:before="0" w:after="283"/>
              <w:jc w:val="left"/>
              <w:rPr/>
            </w:pPr>
            <w:r>
              <w:rPr/>
              <w:t> </w:t>
            </w:r>
          </w:p>
        </w:tc>
        <w:tc>
          <w:tcPr>
            <w:tcW w:w="4009" w:type="dxa"/>
            <w:gridSpan w:val="3"/>
            <w:tcBorders>
              <w:top w:val="single" w:sz="12" w:space="0" w:color="000000"/>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 of September 30, 2010</w:t>
            </w:r>
          </w:p>
        </w:tc>
        <w:tc>
          <w:tcPr>
            <w:tcW w:w="1337" w:type="dxa"/>
            <w:tcBorders>
              <w:top w:val="single" w:sz="12" w:space="0" w:color="000000"/>
              <w:bottom w:val="single" w:sz="12" w:space="0" w:color="000000"/>
            </w:tcBorders>
            <w:shd w:fill="auto" w:val="clear"/>
            <w:tcMar>
              <w:bottom w:w="28" w:type="dxa"/>
            </w:tcMar>
            <w:vAlign w:val="bottom"/>
          </w:tcPr>
          <w:p>
            <w:pPr>
              <w:pStyle w:val="TableContents"/>
              <w:spacing w:before="0" w:after="283"/>
              <w:rPr/>
            </w:pPr>
            <w:r>
              <w:rPr/>
              <w:t xml:space="preserve">  </w:t>
            </w:r>
          </w:p>
        </w:tc>
      </w:tr>
      <w:tr>
        <w:trPr/>
        <w:tc>
          <w:tcPr>
            <w:tcW w:w="3523" w:type="dxa"/>
            <w:tcBorders/>
            <w:shd w:fill="auto" w:val="clear"/>
            <w:tcMar>
              <w:top w:w="0" w:type="dxa"/>
            </w:tcMar>
            <w:vAlign w:val="bottom"/>
          </w:tcPr>
          <w:p>
            <w:pPr>
              <w:pStyle w:val="TableContents"/>
              <w:spacing w:before="0" w:after="283"/>
              <w:rPr/>
            </w:pPr>
            <w:r>
              <w:rPr/>
              <w:t xml:space="preserve">  </w:t>
            </w:r>
          </w:p>
        </w:tc>
        <w:tc>
          <w:tcPr>
            <w:tcW w:w="1336" w:type="dxa"/>
            <w:tcBorders/>
            <w:shd w:fill="auto" w:val="clear"/>
            <w:tcMar>
              <w:top w:w="0" w:type="dxa"/>
            </w:tcMar>
            <w:vAlign w:val="bottom"/>
          </w:tcPr>
          <w:p>
            <w:pPr>
              <w:pStyle w:val="TableContents"/>
              <w:spacing w:before="0" w:after="283"/>
              <w:rPr/>
            </w:pPr>
            <w:r>
              <w:rPr/>
              <w:t xml:space="preserve">  </w:t>
            </w:r>
          </w:p>
        </w:tc>
        <w:tc>
          <w:tcPr>
            <w:tcW w:w="4009" w:type="dxa"/>
            <w:gridSpan w:val="3"/>
            <w:tcBorders/>
            <w:shd w:fill="auto" w:val="clear"/>
            <w:tcMar>
              <w:top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Using</w:t>
            </w:r>
          </w:p>
        </w:tc>
        <w:tc>
          <w:tcPr>
            <w:tcW w:w="1337" w:type="dxa"/>
            <w:tcBorders/>
            <w:shd w:fill="auto" w:val="clear"/>
            <w:tcMar>
              <w:top w:w="0" w:type="dxa"/>
            </w:tcMar>
            <w:vAlign w:val="bottom"/>
          </w:tcPr>
          <w:p>
            <w:pPr>
              <w:pStyle w:val="TableContents"/>
              <w:spacing w:before="0" w:after="283"/>
              <w:rPr/>
            </w:pPr>
            <w:r>
              <w:rPr/>
              <w:t xml:space="preserve">  </w:t>
            </w:r>
          </w:p>
        </w:tc>
      </w:tr>
      <w:tr>
        <w:trPr/>
        <w:tc>
          <w:tcPr>
            <w:tcW w:w="3523"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33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Value</w:t>
            </w:r>
          </w:p>
        </w:tc>
        <w:tc>
          <w:tcPr>
            <w:tcW w:w="121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1</w:t>
            </w:r>
          </w:p>
        </w:tc>
        <w:tc>
          <w:tcPr>
            <w:tcW w:w="145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2</w:t>
            </w:r>
          </w:p>
        </w:tc>
        <w:tc>
          <w:tcPr>
            <w:tcW w:w="133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133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r>
      <w:tr>
        <w:trPr/>
        <w:tc>
          <w:tcPr>
            <w:tcW w:w="3523"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warrants</w:t>
            </w:r>
          </w:p>
        </w:tc>
        <w:tc>
          <w:tcPr>
            <w:tcW w:w="133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1,068,375</w:t>
            </w:r>
          </w:p>
        </w:tc>
        <w:tc>
          <w:tcPr>
            <w:tcW w:w="1215"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458"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33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1,068,375</w:t>
            </w:r>
          </w:p>
        </w:tc>
        <w:tc>
          <w:tcPr>
            <w:tcW w:w="1337"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1,068,375</w:t>
            </w:r>
          </w:p>
        </w:tc>
      </w:tr>
      <w:tr>
        <w:trPr/>
        <w:tc>
          <w:tcPr>
            <w:tcW w:w="3523"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Derivative liability – conversion option</w:t>
            </w:r>
          </w:p>
        </w:tc>
        <w:tc>
          <w:tcPr>
            <w:tcW w:w="133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262,933</w:t>
            </w:r>
          </w:p>
        </w:tc>
        <w:tc>
          <w:tcPr>
            <w:tcW w:w="1215"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458"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336"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262,933</w:t>
            </w:r>
          </w:p>
        </w:tc>
        <w:tc>
          <w:tcPr>
            <w:tcW w:w="1337"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262,933</w:t>
            </w:r>
          </w:p>
        </w:tc>
      </w:tr>
      <w:tr>
        <w:trPr/>
        <w:tc>
          <w:tcPr>
            <w:tcW w:w="3523"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336"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1,331,308</w:t>
            </w:r>
          </w:p>
        </w:tc>
        <w:tc>
          <w:tcPr>
            <w:tcW w:w="1215"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458"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336"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1,331,308</w:t>
            </w:r>
          </w:p>
        </w:tc>
        <w:tc>
          <w:tcPr>
            <w:tcW w:w="1337"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1,331,308</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table below provides a summary of the changes in fair value, including net transfers, in and/or out, of financial assets and liabilities measured at fair value on a recurring basis using significant unobservable inputs (Level 3) during the nine months ended September 30, 2010:</w:t>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3523"/>
        <w:gridCol w:w="1336"/>
        <w:gridCol w:w="1944"/>
        <w:gridCol w:w="2065"/>
        <w:gridCol w:w="1337"/>
      </w:tblGrid>
      <w:tr>
        <w:trPr/>
        <w:tc>
          <w:tcPr>
            <w:tcW w:w="3523" w:type="dxa"/>
            <w:tcBorders>
              <w:top w:val="single" w:sz="12" w:space="0" w:color="000000"/>
            </w:tcBorders>
            <w:shd w:fill="auto" w:val="clear"/>
          </w:tcPr>
          <w:p>
            <w:pPr>
              <w:pStyle w:val="TableContents"/>
              <w:spacing w:before="0" w:after="283"/>
              <w:rPr/>
            </w:pPr>
            <w:r>
              <w:rPr/>
              <w:t xml:space="preserve">  </w:t>
            </w:r>
          </w:p>
        </w:tc>
        <w:tc>
          <w:tcPr>
            <w:tcW w:w="1336" w:type="dxa"/>
            <w:tcBorders>
              <w:top w:val="single" w:sz="12" w:space="0" w:color="000000"/>
            </w:tcBorders>
            <w:shd w:fill="auto" w:val="clear"/>
          </w:tcPr>
          <w:p>
            <w:pPr>
              <w:pStyle w:val="TableContents"/>
              <w:spacing w:before="0" w:after="283"/>
              <w:rPr/>
            </w:pPr>
            <w:r>
              <w:rPr/>
              <w:t xml:space="preserve">  </w:t>
            </w:r>
          </w:p>
        </w:tc>
        <w:tc>
          <w:tcPr>
            <w:tcW w:w="5346" w:type="dxa"/>
            <w:gridSpan w:val="3"/>
            <w:tcBorders>
              <w:top w:val="single" w:sz="12" w:space="0" w:color="000000"/>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 Measurements Using Level 3 Inputs</w:t>
            </w:r>
          </w:p>
        </w:tc>
      </w:tr>
      <w:tr>
        <w:trPr/>
        <w:tc>
          <w:tcPr>
            <w:tcW w:w="4859" w:type="dxa"/>
            <w:gridSpan w:val="2"/>
            <w:tcBorders>
              <w:bottom w:val="single" w:sz="12" w:space="0" w:color="000000"/>
            </w:tcBorders>
            <w:shd w:fill="auto" w:val="clear"/>
            <w:tcMar>
              <w:top w:w="0" w:type="dxa"/>
              <w:bottom w:w="28" w:type="dxa"/>
            </w:tcMar>
          </w:tcPr>
          <w:p>
            <w:pPr>
              <w:pStyle w:val="TableContents"/>
              <w:spacing w:before="0" w:after="283"/>
              <w:rPr/>
            </w:pPr>
            <w:r>
              <w:rPr/>
              <w:t xml:space="preserve">  </w:t>
            </w:r>
          </w:p>
        </w:tc>
        <w:tc>
          <w:tcPr>
            <w:tcW w:w="1944" w:type="dxa"/>
            <w:tcBorders>
              <w:bottom w:val="single" w:sz="12" w:space="0" w:color="000000"/>
            </w:tcBorders>
            <w:shd w:fill="auto" w:val="clear"/>
            <w:tcMar>
              <w:top w:w="0" w:type="dxa"/>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Derivative liability - warrants</w:t>
            </w:r>
          </w:p>
        </w:tc>
        <w:tc>
          <w:tcPr>
            <w:tcW w:w="2065" w:type="dxa"/>
            <w:tcBorders>
              <w:bottom w:val="single" w:sz="12" w:space="0" w:color="000000"/>
            </w:tcBorders>
            <w:shd w:fill="auto" w:val="clear"/>
            <w:tcMar>
              <w:top w:w="0" w:type="dxa"/>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Derivative liability – conversion option</w:t>
            </w:r>
          </w:p>
        </w:tc>
        <w:tc>
          <w:tcPr>
            <w:tcW w:w="1337" w:type="dxa"/>
            <w:tcBorders>
              <w:bottom w:val="single" w:sz="12" w:space="0" w:color="000000"/>
            </w:tcBorders>
            <w:shd w:fill="auto" w:val="clear"/>
            <w:tcMar>
              <w:top w:w="0" w:type="dxa"/>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r>
      <w:tr>
        <w:trPr/>
        <w:tc>
          <w:tcPr>
            <w:tcW w:w="4859" w:type="dxa"/>
            <w:gridSpan w:val="2"/>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Beginning balance as of May 24, 2010</w:t>
            </w:r>
          </w:p>
        </w:tc>
        <w:tc>
          <w:tcPr>
            <w:tcW w:w="1944"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2,270,125 </w:t>
            </w:r>
          </w:p>
        </w:tc>
        <w:tc>
          <w:tcPr>
            <w:tcW w:w="2065"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785,400 </w:t>
            </w:r>
          </w:p>
        </w:tc>
        <w:tc>
          <w:tcPr>
            <w:tcW w:w="1337" w:type="dxa"/>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3,055,525 </w:t>
            </w:r>
          </w:p>
        </w:tc>
      </w:tr>
      <w:tr>
        <w:trPr/>
        <w:tc>
          <w:tcPr>
            <w:tcW w:w="4859" w:type="dxa"/>
            <w:gridSpan w:val="2"/>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unrealized gains or losses included in net loss</w:t>
            </w:r>
          </w:p>
        </w:tc>
        <w:tc>
          <w:tcPr>
            <w:tcW w:w="1944"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(1,201,750)</w:t>
            </w:r>
          </w:p>
        </w:tc>
        <w:tc>
          <w:tcPr>
            <w:tcW w:w="2065"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(522,467)</w:t>
            </w:r>
          </w:p>
        </w:tc>
        <w:tc>
          <w:tcPr>
            <w:tcW w:w="1337"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(1,724,217)</w:t>
            </w:r>
          </w:p>
        </w:tc>
      </w:tr>
      <w:tr>
        <w:trPr/>
        <w:tc>
          <w:tcPr>
            <w:tcW w:w="4859" w:type="dxa"/>
            <w:gridSpan w:val="2"/>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Transfers in and/or out of Level 3</w:t>
            </w:r>
          </w:p>
        </w:tc>
        <w:tc>
          <w:tcPr>
            <w:tcW w:w="1944" w:type="dxa"/>
            <w:tcBorders>
              <w:bottom w:val="double" w:sz="8" w:space="0" w:color="000000"/>
            </w:tcBorders>
            <w:shd w:fill="auto" w:val="clear"/>
            <w:tcMar>
              <w:top w:w="0" w:type="dxa"/>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2065" w:type="dxa"/>
            <w:tcBorders>
              <w:bottom w:val="double" w:sz="8" w:space="0" w:color="000000"/>
            </w:tcBorders>
            <w:shd w:fill="auto" w:val="clear"/>
            <w:tcMar>
              <w:top w:w="0" w:type="dxa"/>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337" w:type="dxa"/>
            <w:tcBorders>
              <w:bottom w:val="double" w:sz="8" w:space="0" w:color="000000"/>
            </w:tcBorders>
            <w:shd w:fill="auto" w:val="clear"/>
            <w:tcMar>
              <w:top w:w="0" w:type="dxa"/>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r>
      <w:tr>
        <w:trPr/>
        <w:tc>
          <w:tcPr>
            <w:tcW w:w="3523"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Ending balance at September 30, 2010</w:t>
            </w:r>
          </w:p>
        </w:tc>
        <w:tc>
          <w:tcPr>
            <w:tcW w:w="1336" w:type="dxa"/>
            <w:tcBorders>
              <w:bottom w:val="double" w:sz="8" w:space="0" w:color="000000"/>
            </w:tcBorders>
            <w:shd w:fill="auto" w:val="clear"/>
            <w:tcMar>
              <w:top w:w="0" w:type="dxa"/>
              <w:bottom w:w="28" w:type="dxa"/>
            </w:tcMar>
            <w:vAlign w:val="bottom"/>
          </w:tcPr>
          <w:p>
            <w:pPr>
              <w:pStyle w:val="TableContents"/>
              <w:spacing w:before="0" w:after="283"/>
              <w:rPr/>
            </w:pPr>
            <w:r>
              <w:rPr/>
              <w:t xml:space="preserve">  </w:t>
            </w:r>
          </w:p>
        </w:tc>
        <w:tc>
          <w:tcPr>
            <w:tcW w:w="1944"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1,068,375 </w:t>
            </w:r>
          </w:p>
        </w:tc>
        <w:tc>
          <w:tcPr>
            <w:tcW w:w="2065"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262,933 </w:t>
            </w:r>
          </w:p>
        </w:tc>
        <w:tc>
          <w:tcPr>
            <w:tcW w:w="1337"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1,331,308 </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5:</w:t>
      </w:r>
      <w:bookmarkStart w:id="930" w:name="TAB218"/>
      <w:bookmarkEnd w:id="930"/>
      <w:r>
        <w:rPr>
          <w:rFonts w:ascii="Times New Roman" w:hAnsi="Times New Roman"/>
          <w:b/>
          <w:color w:val="000000"/>
          <w:spacing w:val="60"/>
          <w:sz w:val="20"/>
        </w:rPr>
        <w:t> </w:t>
      </w:r>
      <w:r>
        <w:rPr>
          <w:rFonts w:ascii="Times New Roman" w:hAnsi="Times New Roman"/>
          <w:b/>
          <w:sz w:val="20"/>
          <w:u w:val="single"/>
        </w:rPr>
        <w:t>CONVERTIBLE NOTE PAYABLE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is a summary of debt instrument transactions that are relevant to the current and prior period:</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3875"/>
        <w:gridCol w:w="1550"/>
        <w:gridCol w:w="1550"/>
        <w:gridCol w:w="1680"/>
        <w:gridCol w:w="1550"/>
      </w:tblGrid>
      <w:tr>
        <w:trPr/>
        <w:tc>
          <w:tcPr>
            <w:tcW w:w="3875"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550"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550"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Principal Repayment</w:t>
            </w:r>
          </w:p>
        </w:tc>
        <w:tc>
          <w:tcPr>
            <w:tcW w:w="1680"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550"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r>
      <w:tr>
        <w:trPr/>
        <w:tc>
          <w:tcPr>
            <w:tcW w:w="3875" w:type="dxa"/>
            <w:tcBorders/>
            <w:shd w:fill="auto" w:val="clear"/>
            <w:tcMar>
              <w:top w:w="0" w:type="dxa"/>
              <w:bottom w:w="0" w:type="dxa"/>
            </w:tcMar>
            <w:vAlign w:val="bottom"/>
          </w:tcPr>
          <w:p>
            <w:pPr>
              <w:pStyle w:val="TableContents"/>
              <w:spacing w:before="0" w:after="283"/>
              <w:rPr/>
            </w:pPr>
            <w:r>
              <w:rPr/>
              <w:t xml:space="preserve">  </w:t>
            </w:r>
          </w:p>
        </w:tc>
        <w:tc>
          <w:tcPr>
            <w:tcW w:w="1550" w:type="dxa"/>
            <w:tcBorders/>
            <w:shd w:fill="auto" w:val="clear"/>
            <w:tcMar>
              <w:top w:w="0" w:type="dxa"/>
              <w:bottom w:w="0" w:type="dxa"/>
            </w:tcMar>
            <w:vAlign w:val="bottom"/>
          </w:tcPr>
          <w:p>
            <w:pPr>
              <w:pStyle w:val="TableContents"/>
              <w:spacing w:before="0" w:after="283"/>
              <w:rPr/>
            </w:pPr>
            <w:r>
              <w:rPr/>
              <w:t xml:space="preserve">  </w:t>
            </w:r>
          </w:p>
        </w:tc>
        <w:tc>
          <w:tcPr>
            <w:tcW w:w="1550" w:type="dxa"/>
            <w:tcBorders/>
            <w:shd w:fill="auto" w:val="clear"/>
            <w:tcMar>
              <w:top w:w="0" w:type="dxa"/>
              <w:bottom w:w="0" w:type="dxa"/>
            </w:tcMar>
            <w:vAlign w:val="bottom"/>
          </w:tcPr>
          <w:p>
            <w:pPr>
              <w:pStyle w:val="TableContents"/>
              <w:spacing w:before="0" w:after="283"/>
              <w:rPr/>
            </w:pPr>
            <w:r>
              <w:rPr/>
              <w:t xml:space="preserve">  </w:t>
            </w:r>
          </w:p>
        </w:tc>
        <w:tc>
          <w:tcPr>
            <w:tcW w:w="1680" w:type="dxa"/>
            <w:tcBorders/>
            <w:shd w:fill="auto" w:val="clear"/>
            <w:tcMar>
              <w:top w:w="0" w:type="dxa"/>
              <w:bottom w:w="0" w:type="dxa"/>
            </w:tcMar>
            <w:vAlign w:val="bottom"/>
          </w:tcPr>
          <w:p>
            <w:pPr>
              <w:pStyle w:val="TableContents"/>
              <w:spacing w:before="0" w:after="283"/>
              <w:rPr/>
            </w:pPr>
            <w:r>
              <w:rPr/>
              <w:t xml:space="preserve">  </w:t>
            </w:r>
          </w:p>
        </w:tc>
        <w:tc>
          <w:tcPr>
            <w:tcW w:w="1550" w:type="dxa"/>
            <w:tcBorders/>
            <w:shd w:fill="auto" w:val="clear"/>
            <w:tcMar>
              <w:top w:w="0" w:type="dxa"/>
              <w:bottom w:w="0" w:type="dxa"/>
            </w:tcMar>
            <w:vAlign w:val="bottom"/>
          </w:tcPr>
          <w:p>
            <w:pPr>
              <w:pStyle w:val="TableContents"/>
              <w:spacing w:before="0" w:after="283"/>
              <w:rPr/>
            </w:pPr>
            <w:r>
              <w:rPr/>
              <w:t xml:space="preserve">  </w:t>
            </w:r>
          </w:p>
        </w:tc>
      </w:tr>
      <w:tr>
        <w:trPr/>
        <w:tc>
          <w:tcPr>
            <w:tcW w:w="387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2010 Secured Convertible Notes</w:t>
            </w:r>
          </w:p>
        </w:tc>
        <w:tc>
          <w:tcPr>
            <w:tcW w:w="1550" w:type="dxa"/>
            <w:tcBorders/>
            <w:shd w:fill="auto" w:val="clear"/>
            <w:tcMar>
              <w:top w:w="0" w:type="dxa"/>
              <w:bottom w:w="0" w:type="dxa"/>
            </w:tcMar>
            <w:vAlign w:val="bottom"/>
          </w:tcPr>
          <w:p>
            <w:pPr>
              <w:pStyle w:val="TableContents"/>
              <w:spacing w:before="0" w:after="283"/>
              <w:rPr/>
            </w:pPr>
            <w:r>
              <w:rPr/>
              <w:t xml:space="preserve">  </w:t>
            </w:r>
          </w:p>
        </w:tc>
        <w:tc>
          <w:tcPr>
            <w:tcW w:w="1550" w:type="dxa"/>
            <w:tcBorders/>
            <w:shd w:fill="auto" w:val="clear"/>
            <w:tcMar>
              <w:top w:w="0" w:type="dxa"/>
              <w:bottom w:w="0" w:type="dxa"/>
            </w:tcMar>
            <w:vAlign w:val="bottom"/>
          </w:tcPr>
          <w:p>
            <w:pPr>
              <w:pStyle w:val="TableContents"/>
              <w:spacing w:before="0" w:after="283"/>
              <w:rPr/>
            </w:pPr>
            <w:r>
              <w:rPr/>
              <w:t xml:space="preserve">  </w:t>
            </w:r>
          </w:p>
        </w:tc>
        <w:tc>
          <w:tcPr>
            <w:tcW w:w="1680" w:type="dxa"/>
            <w:tcBorders/>
            <w:shd w:fill="auto" w:val="clear"/>
            <w:tcMar>
              <w:top w:w="0" w:type="dxa"/>
              <w:bottom w:w="0" w:type="dxa"/>
            </w:tcMar>
            <w:vAlign w:val="bottom"/>
          </w:tcPr>
          <w:p>
            <w:pPr>
              <w:pStyle w:val="TableContents"/>
              <w:spacing w:before="0" w:after="283"/>
              <w:rPr/>
            </w:pPr>
            <w:r>
              <w:rPr/>
              <w:t xml:space="preserve">  </w:t>
            </w:r>
          </w:p>
        </w:tc>
        <w:tc>
          <w:tcPr>
            <w:tcW w:w="1550" w:type="dxa"/>
            <w:tcBorders/>
            <w:shd w:fill="auto" w:val="clear"/>
            <w:tcMar>
              <w:top w:w="0" w:type="dxa"/>
              <w:bottom w:w="0" w:type="dxa"/>
            </w:tcMar>
            <w:vAlign w:val="bottom"/>
          </w:tcPr>
          <w:p>
            <w:pPr>
              <w:pStyle w:val="TableContents"/>
              <w:spacing w:before="0" w:after="283"/>
              <w:rPr/>
            </w:pPr>
            <w:r>
              <w:rPr/>
              <w:t xml:space="preserve">  </w:t>
            </w:r>
          </w:p>
        </w:tc>
      </w:tr>
      <w:tr>
        <w:trPr/>
        <w:tc>
          <w:tcPr>
            <w:tcW w:w="3875"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Senior Secured Notes,  due May 19, 2011</w:t>
            </w:r>
          </w:p>
        </w:tc>
        <w:tc>
          <w:tcPr>
            <w:tcW w:w="1550"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1,530,000 </w:t>
            </w:r>
          </w:p>
        </w:tc>
        <w:tc>
          <w:tcPr>
            <w:tcW w:w="1550"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(170,000) </w:t>
            </w:r>
          </w:p>
        </w:tc>
        <w:tc>
          <w:tcPr>
            <w:tcW w:w="1680"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989,260 </w:t>
            </w:r>
          </w:p>
        </w:tc>
        <w:tc>
          <w:tcPr>
            <w:tcW w:w="1550" w:type="dxa"/>
            <w:tcBorders>
              <w:bottom w:val="double" w:sz="8"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370,740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nine months ended September 30, 2010, the Company entered into a securities purchase agreement with accredited investors to place Senior Secured Convertible Notes (the “Notes”) with a maturity date of one year after the issuance thereof in the aggregate principal amount of $1,530,000 for gross consideration of $1,275,000. The $1,275,000 consisted of $712,254 in cash proceeds to the Company, $212,746 of current services and $350,000 was subscribed for by the holder of an outstanding and due 2009 convertible debenture. In connection with the issuance of the notes, the Company entered into a Security Agreement with the note holders secured by all of the Company’s assets.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Notes were placed at a 20% discount from their face value and bear no interest except in event of default in which case they bear interest at the rate of 18% per annum. The principal and any interest due on the Notes are due in 9 equal monthly installments starting in September 2010. Subject to the satisfaction of certain customary conditions (including the effectiveness of a registration statement and certain minimums on the amount and value of the shares of our common stock traded on the Over-the-Counter Bulletin Board), the Company may elect to pay amounts due on any installment date in either cash or shares of its common stock. Any shares of its common stock that the Company issues as payment on an installment date will be issued at a price which is equal to the lesser of $0.30 per share or 85% of the average of the volume-weighted average prices of the Company’s common stock on the Over-the-Counter Bulletin Board on each of the twenty trading days immediately preceding the applicable installment date.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31" w:name="PGBRK81"/>
      <w:bookmarkStart w:id="932" w:name="PGBRK81"/>
      <w:bookmarkEnd w:id="9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3" w:name="FTR81"/>
      <w:bookmarkStart w:id="934" w:name="FTR81"/>
      <w:bookmarkEnd w:id="9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35" w:name="GLFTR81"/>
      <w:bookmarkEnd w:id="9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36" w:name="PN80"/>
      <w:bookmarkEnd w:id="936"/>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7" w:name="HDR80"/>
      <w:bookmarkStart w:id="938" w:name="HDR80"/>
      <w:bookmarkEnd w:id="9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39" w:name="GLHDR80"/>
      <w:bookmarkEnd w:id="9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Notes, the Company issued 6,375,000 Series A Warrants, 5,100,000 Series B Warrants and 6,375,000 Series C Warrants, in each case, to purchase fully-paid and nonassessable shares of its common stock (together, the “Warrants”). The initial exercise price of theWarrants is $0.30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paid a finders fee of $64,000 and issued 1,400,000 broker’s warrants (described below) valued at $165,100. The finder’s fee and fair value of the broker’s warrants was accounted for as deferred financing costs, and is being amortized over the term of the notes. At September 30, 2010, $148,131 remains unamortized and is presented in Current assets on the Company’s Balance sheet.</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3423"/>
        <w:gridCol w:w="114"/>
        <w:gridCol w:w="114"/>
        <w:gridCol w:w="1228"/>
        <w:gridCol w:w="114"/>
        <w:gridCol w:w="114"/>
        <w:gridCol w:w="114"/>
        <w:gridCol w:w="1130"/>
        <w:gridCol w:w="114"/>
        <w:gridCol w:w="114"/>
        <w:gridCol w:w="213"/>
        <w:gridCol w:w="1099"/>
        <w:gridCol w:w="114"/>
        <w:gridCol w:w="2200"/>
      </w:tblGrid>
      <w:tr>
        <w:trPr/>
        <w:tc>
          <w:tcPr>
            <w:tcW w:w="3423"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34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Issued to Note holders</w:t>
            </w:r>
          </w:p>
        </w:tc>
        <w:tc>
          <w:tcPr>
            <w:tcW w:w="11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24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Issued as broker’s warrants</w:t>
            </w:r>
          </w:p>
        </w:tc>
        <w:tc>
          <w:tcPr>
            <w:tcW w:w="11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31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Maximum</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1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2200"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Term</w:t>
            </w:r>
          </w:p>
        </w:tc>
      </w:tr>
      <w:tr>
        <w:trPr/>
        <w:tc>
          <w:tcPr>
            <w:tcW w:w="3423" w:type="dxa"/>
            <w:tcBorders/>
            <w:shd w:fill="auto" w:val="clear"/>
            <w:tcMar>
              <w:top w:w="0" w:type="dxa"/>
              <w:bottom w:w="0" w:type="dxa"/>
            </w:tcMar>
            <w:vAlign w:val="bottom"/>
          </w:tcPr>
          <w:p>
            <w:pPr>
              <w:pStyle w:val="TableContents"/>
              <w:spacing w:before="0" w:after="283"/>
              <w:rPr/>
            </w:pPr>
            <w:r>
              <w:rPr/>
              <w:t xml:space="preserve">  </w:t>
            </w:r>
          </w:p>
        </w:tc>
        <w:tc>
          <w:tcPr>
            <w:tcW w:w="114" w:type="dxa"/>
            <w:tcBorders/>
            <w:shd w:fill="auto" w:val="clear"/>
            <w:tcMar>
              <w:top w:w="0" w:type="dxa"/>
              <w:bottom w:w="0" w:type="dxa"/>
            </w:tcMar>
            <w:vAlign w:val="bottom"/>
          </w:tcPr>
          <w:p>
            <w:pPr>
              <w:pStyle w:val="TableContents"/>
              <w:spacing w:before="0" w:after="283"/>
              <w:rPr/>
            </w:pPr>
            <w:r>
              <w:rPr/>
              <w:t> </w:t>
            </w:r>
          </w:p>
        </w:tc>
        <w:tc>
          <w:tcPr>
            <w:tcW w:w="1342" w:type="dxa"/>
            <w:gridSpan w:val="2"/>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244" w:type="dxa"/>
            <w:gridSpan w:val="2"/>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312" w:type="dxa"/>
            <w:gridSpan w:val="2"/>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2200" w:type="dxa"/>
            <w:tcBorders/>
            <w:shd w:fill="auto" w:val="clear"/>
            <w:tcMar>
              <w:top w:w="0" w:type="dxa"/>
              <w:bottom w:w="0" w:type="dxa"/>
            </w:tcMar>
            <w:vAlign w:val="bottom"/>
          </w:tcPr>
          <w:p>
            <w:pPr>
              <w:pStyle w:val="TableContents"/>
              <w:spacing w:before="0" w:after="283"/>
              <w:rPr/>
            </w:pPr>
            <w:r>
              <w:rPr/>
              <w:t xml:space="preserve">  </w:t>
            </w:r>
          </w:p>
        </w:tc>
      </w:tr>
      <w:tr>
        <w:trPr/>
        <w:tc>
          <w:tcPr>
            <w:tcW w:w="3423"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A Warrants</w:t>
            </w:r>
          </w:p>
        </w:tc>
        <w:tc>
          <w:tcPr>
            <w:tcW w:w="114" w:type="dxa"/>
            <w:tcBorders/>
            <w:shd w:fill="auto" w:val="clear"/>
            <w:tcMar>
              <w:top w:w="0" w:type="dxa"/>
              <w:bottom w:w="0" w:type="dxa"/>
            </w:tcMar>
            <w:vAlign w:val="bottom"/>
          </w:tcPr>
          <w:p>
            <w:pPr>
              <w:pStyle w:val="TableContents"/>
              <w:spacing w:before="0" w:after="283"/>
              <w:rPr/>
            </w:pPr>
            <w:r>
              <w:rPr/>
              <w:t> </w:t>
            </w:r>
          </w:p>
        </w:tc>
        <w:tc>
          <w:tcPr>
            <w:tcW w:w="11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2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6,375,000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1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3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213" w:type="dxa"/>
            <w:tcBorders>
              <w:bottom w:val="single" w:sz="12"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2200" w:type="dxa"/>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 Years</w:t>
            </w:r>
          </w:p>
        </w:tc>
      </w:tr>
      <w:tr>
        <w:trPr/>
        <w:tc>
          <w:tcPr>
            <w:tcW w:w="3423"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B Warrants</w:t>
            </w:r>
          </w:p>
        </w:tc>
        <w:tc>
          <w:tcPr>
            <w:tcW w:w="114" w:type="dxa"/>
            <w:tcBorders/>
            <w:shd w:fill="auto" w:val="clear"/>
            <w:tcMar>
              <w:top w:w="0" w:type="dxa"/>
              <w:bottom w:w="0" w:type="dxa"/>
            </w:tcMar>
            <w:vAlign w:val="bottom"/>
          </w:tcPr>
          <w:p>
            <w:pPr>
              <w:pStyle w:val="TableContents"/>
              <w:spacing w:before="0" w:after="283"/>
              <w:rPr/>
            </w:pPr>
            <w:r>
              <w:rPr/>
              <w:t> </w:t>
            </w:r>
          </w:p>
        </w:tc>
        <w:tc>
          <w:tcPr>
            <w:tcW w:w="11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2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5,100,000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1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3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1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2200" w:type="dxa"/>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 Year</w:t>
            </w:r>
          </w:p>
        </w:tc>
      </w:tr>
      <w:tr>
        <w:trPr/>
        <w:tc>
          <w:tcPr>
            <w:tcW w:w="3423"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C Warrants *</w:t>
            </w:r>
          </w:p>
        </w:tc>
        <w:tc>
          <w:tcPr>
            <w:tcW w:w="114" w:type="dxa"/>
            <w:tcBorders/>
            <w:shd w:fill="auto" w:val="clear"/>
            <w:tcMar>
              <w:top w:w="0" w:type="dxa"/>
              <w:bottom w:w="0" w:type="dxa"/>
            </w:tcMar>
            <w:vAlign w:val="bottom"/>
          </w:tcPr>
          <w:p>
            <w:pPr>
              <w:pStyle w:val="TableContents"/>
              <w:spacing w:before="0" w:after="283"/>
              <w:rPr/>
            </w:pPr>
            <w:r>
              <w:rPr/>
              <w:t> </w:t>
            </w:r>
          </w:p>
        </w:tc>
        <w:tc>
          <w:tcPr>
            <w:tcW w:w="11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2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6,375,000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1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3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1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2200" w:type="dxa"/>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 Years</w:t>
            </w:r>
          </w:p>
        </w:tc>
      </w:tr>
      <w:tr>
        <w:trPr/>
        <w:tc>
          <w:tcPr>
            <w:tcW w:w="10205" w:type="dxa"/>
            <w:gridSpan w:val="14"/>
            <w:tcBorders/>
            <w:shd w:fill="auto" w:val="clear"/>
            <w:tcMar>
              <w:top w:w="0" w:type="dxa"/>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 The Series C Warrants are only exercisable proportionately with the exercise of the Series B Warrants.</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Notes and Warrants include price adjustment provisions whereby the exercise price will be adjusted downwards based on future sales, issuances, or conversions of equity or debt, which results in a share issuance at a per share amount less than $0.30 per share. The calculated lower per share amount from the future transaction will be the adjusted conversion rate available to the Note and Warrant holders.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economic characteristics and risks of the embedded Conversion option in the Notes (“Conversion option”) are not considered clearly and closely related to the economic characteristics and risks of the host debt contract. The price adjustment features included in the embedded Conversion option and the Warrants are not considered indexed to Company’s own stock. Pursuant to the guidance of ASC 815-10, the embedded Conversion option in the Notes meet the characteristics of a derivative instrument and must be valued separately  from the host debt contract. In accordance with ASC 815-40-25, the Company has evaluated the Notes’ conversion option and recorded $785,400 as the initial fair value of the Conversion option Derivative liability. The fair value was determined using the Binomial option pricing model with current assumptions as outlined in the following paragraphs.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a result of certain price adjustment clauses related to the Warrants, the Warrants are not included in the Company’s equity. The Company has recorded the fair value of these Warrants and the brokers’ warrants as “Derivative liability – warrants” initially in the amount of $2,270,125. (Note 4)</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proceeds received for the Notes were initially allocated to the embedded Conversion option and then to the Warrants based on their estimated fair value. The difference of $1,615,425 between the gross consideration of the Notes for $1,250,000 and the fair value of the calculated derivative liabilities amounting to $2,890,425 was accounted for under ‘Loss on debt financing’ in the consolidated statements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To September 30, 2010, accretion of the debt discount relative to the 2010 secured convertible notes was equal to $540,740. The Company made the first $170,000 monthly principal repayment in September 2010.</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3799"/>
        <w:gridCol w:w="110"/>
        <w:gridCol w:w="170"/>
        <w:gridCol w:w="1134"/>
        <w:gridCol w:w="110"/>
        <w:gridCol w:w="110"/>
        <w:gridCol w:w="657"/>
        <w:gridCol w:w="878"/>
        <w:gridCol w:w="110"/>
        <w:gridCol w:w="110"/>
        <w:gridCol w:w="547"/>
        <w:gridCol w:w="807"/>
        <w:gridCol w:w="110"/>
        <w:gridCol w:w="110"/>
        <w:gridCol w:w="171"/>
        <w:gridCol w:w="1141"/>
        <w:gridCol w:w="131"/>
      </w:tblGrid>
      <w:tr>
        <w:trPr/>
        <w:tc>
          <w:tcPr>
            <w:tcW w:w="3799"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0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53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5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1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31"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379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Convertible Debenture</w:t>
            </w:r>
          </w:p>
        </w:tc>
        <w:tc>
          <w:tcPr>
            <w:tcW w:w="110" w:type="dxa"/>
            <w:tcBorders/>
            <w:shd w:fill="auto" w:val="clear"/>
            <w:tcMar>
              <w:top w:w="0" w:type="dxa"/>
              <w:bottom w:w="0" w:type="dxa"/>
            </w:tcMar>
            <w:vAlign w:val="bottom"/>
          </w:tcPr>
          <w:p>
            <w:pPr>
              <w:pStyle w:val="TableContents"/>
              <w:spacing w:before="0" w:after="283"/>
              <w:rPr/>
            </w:pPr>
            <w:r>
              <w:rPr/>
              <w:t> </w:t>
            </w:r>
          </w:p>
        </w:tc>
        <w:tc>
          <w:tcPr>
            <w:tcW w:w="1304"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535"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54"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12" w:type="dxa"/>
            <w:gridSpan w:val="2"/>
            <w:tcBorders/>
            <w:shd w:fill="auto" w:val="clear"/>
            <w:tcMar>
              <w:top w:w="0" w:type="dxa"/>
              <w:bottom w:w="0" w:type="dxa"/>
            </w:tcMar>
            <w:vAlign w:val="bottom"/>
          </w:tcPr>
          <w:p>
            <w:pPr>
              <w:pStyle w:val="TableContents"/>
              <w:spacing w:before="0" w:after="283"/>
              <w:rPr/>
            </w:pPr>
            <w:r>
              <w:rPr/>
              <w:t> </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3799"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Unsecured Convertible Note, 10%</w:t>
            </w:r>
          </w:p>
          <w:p>
            <w:pPr>
              <w:pStyle w:val="TableContents"/>
              <w:spacing w:before="0" w:after="0"/>
              <w:ind w:left="0" w:right="0" w:hanging="0"/>
              <w:jc w:val="left"/>
              <w:rPr/>
            </w:pPr>
            <w:r>
              <w:rPr/>
              <w:t>  </w:t>
            </w:r>
            <w:r>
              <w:rPr>
                <w:rFonts w:ascii="times new roman" w:hAnsi="times new roman"/>
                <w:sz w:val="20"/>
              </w:rPr>
              <w:t>interest, due February 28, 2010</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170"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65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54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171"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203,021</w:t>
            </w:r>
          </w:p>
        </w:tc>
        <w:tc>
          <w:tcPr>
            <w:tcW w:w="131"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31, 2009, the Company completed a convertible debenture financing of $350,000 issuing a convertible promissory note bearing interest at 10% per annum. The note was due on February 28, 2010. The unpaid amount of principal and accrued interest could have been converted at any time at the holder's option into shares of the Company's common stock at a price of $0.80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the debenture agreement, the note would have automatically converted to equity if, during the term of the note, the Company had received funding equal to or exceeding $2,000,000 through the sale of its shares of common stock or additional debt instruments that were convertible into common stock during the term of the debenture. The holders had the option to convert the debentures into 3,500,000 common shares of the Company or receive payment in full.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40" w:name="PGBRK82"/>
      <w:bookmarkStart w:id="941" w:name="PGBRK82"/>
      <w:bookmarkEnd w:id="9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2" w:name="FTR82"/>
      <w:bookmarkStart w:id="943" w:name="FTR82"/>
      <w:bookmarkEnd w:id="9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44" w:name="GLFTR82"/>
      <w:bookmarkEnd w:id="9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45" w:name="PN81"/>
      <w:bookmarkEnd w:id="945"/>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6" w:name="HDR81"/>
      <w:bookmarkStart w:id="947" w:name="HDR81"/>
      <w:bookmarkEnd w:id="9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48" w:name="GLHDR81"/>
      <w:bookmarkEnd w:id="9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rFonts w:ascii="Times New Roman" w:hAnsi="Times New Roman"/>
          <w:sz w:val="20"/>
        </w:rPr>
      </w:pPr>
      <w:r>
        <w:rPr>
          <w:rFonts w:ascii="Times New Roman" w:hAnsi="Times New Roman"/>
          <w:sz w:val="20"/>
        </w:rPr>
        <w:t>The Company recognized the embedded beneficial conversion feature of $139,571 as additional paid-in capital as the convertible notes were issued with an intrinsic value conversion feature. Additionally, the Company issued 437,500 non-transferable and registerable share purchase warrants. Management estimated the fair value of the warrants to be $210,429. As the relative fair value of the warrants and beneficial conversion feature together were greater than the face values of the debentures, these were limited to the face value of the loan.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nine months ended September 30, 2010, the holder converted the principal amount of the debenture into the 2010 secured convertible notes as described above and waived  the accrued interest in the amount of $23,589.</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3775"/>
        <w:gridCol w:w="110"/>
        <w:gridCol w:w="170"/>
        <w:gridCol w:w="1138"/>
        <w:gridCol w:w="110"/>
        <w:gridCol w:w="110"/>
        <w:gridCol w:w="657"/>
        <w:gridCol w:w="883"/>
        <w:gridCol w:w="110"/>
        <w:gridCol w:w="110"/>
        <w:gridCol w:w="547"/>
        <w:gridCol w:w="812"/>
        <w:gridCol w:w="110"/>
        <w:gridCol w:w="109"/>
        <w:gridCol w:w="171"/>
        <w:gridCol w:w="1147"/>
        <w:gridCol w:w="136"/>
      </w:tblGrid>
      <w:tr>
        <w:trPr/>
        <w:tc>
          <w:tcPr>
            <w:tcW w:w="3775"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0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54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5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9" w:type="dxa"/>
            <w:tcBorders>
              <w:top w:val="single" w:sz="12" w:space="0" w:color="000000"/>
            </w:tcBorders>
            <w:shd w:fill="auto" w:val="clear"/>
            <w:tcMar>
              <w:bottom w:w="0" w:type="dxa"/>
            </w:tcMar>
            <w:vAlign w:val="bottom"/>
          </w:tcPr>
          <w:p>
            <w:pPr>
              <w:pStyle w:val="TableContents"/>
              <w:spacing w:before="0" w:after="283"/>
              <w:rPr/>
            </w:pPr>
            <w:r>
              <w:rPr/>
              <w:t> </w:t>
            </w:r>
          </w:p>
        </w:tc>
        <w:tc>
          <w:tcPr>
            <w:tcW w:w="131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36"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3775" w:type="dxa"/>
            <w:tcBorders/>
            <w:shd w:fill="auto" w:val="clear"/>
            <w:tcMar>
              <w:top w:w="0" w:type="dxa"/>
              <w:bottom w:w="0" w:type="dxa"/>
            </w:tcMar>
            <w:vAlign w:val="bottom"/>
          </w:tcPr>
          <w:p>
            <w:pPr>
              <w:pStyle w:val="TableContents"/>
              <w:spacing w:before="0" w:after="283"/>
              <w:rPr/>
            </w:pPr>
            <w:r>
              <w:rPr/>
              <w:t xml:space="preserve">  </w:t>
            </w:r>
          </w:p>
        </w:tc>
        <w:tc>
          <w:tcPr>
            <w:tcW w:w="110" w:type="dxa"/>
            <w:tcBorders/>
            <w:shd w:fill="auto" w:val="clear"/>
            <w:tcMar>
              <w:top w:w="0" w:type="dxa"/>
              <w:bottom w:w="0" w:type="dxa"/>
            </w:tcMar>
            <w:vAlign w:val="bottom"/>
          </w:tcPr>
          <w:p>
            <w:pPr>
              <w:pStyle w:val="TableContents"/>
              <w:spacing w:before="0" w:after="283"/>
              <w:rPr/>
            </w:pPr>
            <w:r>
              <w:rPr/>
              <w:t> </w:t>
            </w:r>
          </w:p>
        </w:tc>
        <w:tc>
          <w:tcPr>
            <w:tcW w:w="1308"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540"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59"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9" w:type="dxa"/>
            <w:tcBorders/>
            <w:shd w:fill="auto" w:val="clear"/>
            <w:tcMar>
              <w:top w:w="0" w:type="dxa"/>
              <w:bottom w:w="0" w:type="dxa"/>
            </w:tcMar>
            <w:vAlign w:val="bottom"/>
          </w:tcPr>
          <w:p>
            <w:pPr>
              <w:pStyle w:val="TableContents"/>
              <w:spacing w:before="0" w:after="283"/>
              <w:rPr/>
            </w:pPr>
            <w:r>
              <w:rPr/>
              <w:t> </w:t>
            </w:r>
          </w:p>
        </w:tc>
        <w:tc>
          <w:tcPr>
            <w:tcW w:w="1318" w:type="dxa"/>
            <w:gridSpan w:val="2"/>
            <w:tcBorders/>
            <w:shd w:fill="auto" w:val="clear"/>
            <w:tcMar>
              <w:top w:w="0" w:type="dxa"/>
              <w:bottom w:w="0" w:type="dxa"/>
            </w:tcMar>
            <w:vAlign w:val="bottom"/>
          </w:tcPr>
          <w:p>
            <w:pPr>
              <w:pStyle w:val="TableContents"/>
              <w:spacing w:before="0" w:after="283"/>
              <w:rPr/>
            </w:pPr>
            <w:r>
              <w:rPr/>
              <w:t> </w:t>
            </w:r>
          </w:p>
        </w:tc>
        <w:tc>
          <w:tcPr>
            <w:tcW w:w="136" w:type="dxa"/>
            <w:tcBorders/>
            <w:shd w:fill="auto" w:val="clear"/>
            <w:tcMar>
              <w:top w:w="0" w:type="dxa"/>
              <w:bottom w:w="0" w:type="dxa"/>
            </w:tcMar>
            <w:vAlign w:val="bottom"/>
          </w:tcPr>
          <w:p>
            <w:pPr>
              <w:pStyle w:val="TableContents"/>
              <w:spacing w:before="0" w:after="283"/>
              <w:jc w:val="left"/>
              <w:rPr/>
            </w:pPr>
            <w:r>
              <w:rPr/>
              <w:t> </w:t>
            </w:r>
          </w:p>
        </w:tc>
      </w:tr>
      <w:tr>
        <w:trPr/>
        <w:tc>
          <w:tcPr>
            <w:tcW w:w="377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Secured Debentures</w:t>
            </w:r>
          </w:p>
        </w:tc>
        <w:tc>
          <w:tcPr>
            <w:tcW w:w="110" w:type="dxa"/>
            <w:tcBorders/>
            <w:shd w:fill="auto" w:val="clear"/>
            <w:tcMar>
              <w:top w:w="0" w:type="dxa"/>
              <w:bottom w:w="0" w:type="dxa"/>
            </w:tcMar>
            <w:vAlign w:val="bottom"/>
          </w:tcPr>
          <w:p>
            <w:pPr>
              <w:pStyle w:val="TableContents"/>
              <w:spacing w:before="0" w:after="283"/>
              <w:rPr/>
            </w:pPr>
            <w:r>
              <w:rPr/>
              <w:t> </w:t>
            </w:r>
          </w:p>
        </w:tc>
        <w:tc>
          <w:tcPr>
            <w:tcW w:w="1308"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540"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59"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9" w:type="dxa"/>
            <w:tcBorders/>
            <w:shd w:fill="auto" w:val="clear"/>
            <w:tcMar>
              <w:top w:w="0" w:type="dxa"/>
              <w:bottom w:w="0" w:type="dxa"/>
            </w:tcMar>
            <w:vAlign w:val="bottom"/>
          </w:tcPr>
          <w:p>
            <w:pPr>
              <w:pStyle w:val="TableContents"/>
              <w:spacing w:before="0" w:after="283"/>
              <w:rPr/>
            </w:pPr>
            <w:r>
              <w:rPr/>
              <w:t> </w:t>
            </w:r>
          </w:p>
        </w:tc>
        <w:tc>
          <w:tcPr>
            <w:tcW w:w="1318" w:type="dxa"/>
            <w:gridSpan w:val="2"/>
            <w:tcBorders/>
            <w:shd w:fill="auto" w:val="clear"/>
            <w:tcMar>
              <w:top w:w="0" w:type="dxa"/>
              <w:bottom w:w="0" w:type="dxa"/>
            </w:tcMar>
            <w:vAlign w:val="bottom"/>
          </w:tcPr>
          <w:p>
            <w:pPr>
              <w:pStyle w:val="TableContents"/>
              <w:spacing w:before="0" w:after="283"/>
              <w:rPr/>
            </w:pPr>
            <w:r>
              <w:rPr/>
              <w:t> </w:t>
            </w:r>
          </w:p>
        </w:tc>
        <w:tc>
          <w:tcPr>
            <w:tcW w:w="136" w:type="dxa"/>
            <w:tcBorders/>
            <w:shd w:fill="auto" w:val="clear"/>
            <w:tcMar>
              <w:top w:w="0" w:type="dxa"/>
              <w:bottom w:w="0" w:type="dxa"/>
            </w:tcMar>
            <w:vAlign w:val="bottom"/>
          </w:tcPr>
          <w:p>
            <w:pPr>
              <w:pStyle w:val="TableContents"/>
              <w:spacing w:before="0" w:after="283"/>
              <w:jc w:val="left"/>
              <w:rPr/>
            </w:pPr>
            <w:r>
              <w:rPr/>
              <w:t> </w:t>
            </w:r>
          </w:p>
        </w:tc>
      </w:tr>
      <w:tr>
        <w:trPr/>
        <w:tc>
          <w:tcPr>
            <w:tcW w:w="3775"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Secured Notes, 30% interest</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170"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65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3"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54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9" w:type="dxa"/>
            <w:tcBorders/>
            <w:shd w:fill="auto" w:val="clear"/>
            <w:tcMar>
              <w:top w:w="0" w:type="dxa"/>
              <w:bottom w:w="0" w:type="dxa"/>
            </w:tcMar>
            <w:vAlign w:val="bottom"/>
          </w:tcPr>
          <w:p>
            <w:pPr>
              <w:pStyle w:val="TableContents"/>
              <w:spacing w:before="0" w:after="283"/>
              <w:jc w:val="right"/>
              <w:rPr/>
            </w:pPr>
            <w:r>
              <w:rPr/>
              <w:t> </w:t>
            </w:r>
          </w:p>
        </w:tc>
        <w:tc>
          <w:tcPr>
            <w:tcW w:w="171"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36"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Debentures, the Company issued a total of 270,000 stock purchase warrants which have a term of two years from the date of issuance. Management estimated the fair value of these warrants to be $60,000 using the Black-Scholes pricing model.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nine months ended September 30, 2010, the Company issued 687,305 common shares pursuant to the conversion of the 2009 secured debentures with a face value of $135,000 plus accrued interest of $49,155.</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6:</w:t>
      </w:r>
      <w:bookmarkStart w:id="949" w:name="TAB219"/>
      <w:bookmarkEnd w:id="949"/>
      <w:r>
        <w:rPr>
          <w:rFonts w:ascii="Times New Roman" w:hAnsi="Times New Roman"/>
          <w:b/>
          <w:color w:val="000000"/>
          <w:spacing w:val="60"/>
          <w:sz w:val="20"/>
        </w:rPr>
        <w:t> </w:t>
      </w:r>
      <w:r>
        <w:rPr>
          <w:rFonts w:ascii="Times New Roman" w:hAnsi="Times New Roman"/>
          <w:b/>
          <w:sz w:val="20"/>
          <w:u w:val="single"/>
        </w:rPr>
        <w:t>RELATED PARTY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nine months ended September 30, 2010, the Company entered into transactions with certain officers and directors of the Company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50" w:name="hangingindent84"/>
      <w:bookmarkStart w:id="951" w:name="hangingindent84"/>
      <w:bookmarkEnd w:id="951"/>
    </w:p>
    <w:tbl>
      <w:tblPr>
        <w:tblW w:w="5000" w:type="pct"/>
        <w:jc w:val="center"/>
        <w:tblInd w:w="0" w:type="dxa"/>
        <w:tblCellMar>
          <w:top w:w="0" w:type="dxa"/>
          <w:left w:w="0" w:type="dxa"/>
          <w:bottom w:w="0" w:type="dxa"/>
          <w:right w:w="0" w:type="dxa"/>
        </w:tblCellMar>
      </w:tblPr>
      <w:tblGrid>
        <w:gridCol w:w="101"/>
        <w:gridCol w:w="212"/>
        <w:gridCol w:w="9892"/>
      </w:tblGrid>
      <w:tr>
        <w:trPr/>
        <w:tc>
          <w:tcPr>
            <w:tcW w:w="101" w:type="dxa"/>
            <w:tcBorders/>
            <w:shd w:fill="auto" w:val="clear"/>
          </w:tcPr>
          <w:p>
            <w:pPr>
              <w:pStyle w:val="TableContents"/>
              <w:spacing w:before="0" w:after="0"/>
              <w:rPr/>
            </w:pPr>
            <w:r>
              <w:rPr/>
              <w:t xml:space="preserve">  </w:t>
            </w:r>
          </w:p>
        </w:tc>
        <w:tc>
          <w:tcPr>
            <w:tcW w:w="21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8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$198,400 (2009 - $190,942) in management fees and $54,000 (2009 - $24,000) in research and development paid to officers and directors during the period;</w:t>
            </w:r>
          </w:p>
        </w:tc>
      </w:tr>
    </w:tbl>
    <w:p>
      <w:pPr>
        <w:pStyle w:val="TextBody"/>
        <w:spacing w:before="0" w:after="0"/>
        <w:ind w:left="0" w:right="0" w:hanging="0"/>
        <w:rPr/>
      </w:pPr>
      <w:r>
        <w:rPr/>
      </w:r>
    </w:p>
    <w:p>
      <w:pPr>
        <w:pStyle w:val="Normal"/>
        <w:spacing w:before="0" w:after="0"/>
        <w:rPr>
          <w:sz w:val="4"/>
          <w:szCs w:val="4"/>
        </w:rPr>
      </w:pPr>
      <w:r>
        <w:rPr>
          <w:sz w:val="4"/>
          <w:szCs w:val="4"/>
        </w:rPr>
      </w:r>
      <w:bookmarkStart w:id="952" w:name="hangingindent85"/>
      <w:bookmarkStart w:id="953" w:name="hangingindent85"/>
      <w:bookmarkEnd w:id="953"/>
    </w:p>
    <w:tbl>
      <w:tblPr>
        <w:tblW w:w="5000" w:type="pct"/>
        <w:jc w:val="center"/>
        <w:tblInd w:w="0" w:type="dxa"/>
        <w:tblCellMar>
          <w:top w:w="0" w:type="dxa"/>
          <w:left w:w="0" w:type="dxa"/>
          <w:bottom w:w="0" w:type="dxa"/>
          <w:right w:w="0" w:type="dxa"/>
        </w:tblCellMar>
      </w:tblPr>
      <w:tblGrid>
        <w:gridCol w:w="100"/>
        <w:gridCol w:w="226"/>
        <w:gridCol w:w="9879"/>
      </w:tblGrid>
      <w:tr>
        <w:trPr/>
        <w:tc>
          <w:tcPr>
            <w:tcW w:w="100" w:type="dxa"/>
            <w:tcBorders/>
            <w:shd w:fill="auto" w:val="clear"/>
          </w:tcPr>
          <w:p>
            <w:pPr>
              <w:pStyle w:val="TableContents"/>
              <w:spacing w:before="0" w:after="0"/>
              <w:rPr/>
            </w:pPr>
            <w:r>
              <w:rPr/>
              <w:t xml:space="preserve">  </w:t>
            </w:r>
          </w:p>
        </w:tc>
        <w:tc>
          <w:tcPr>
            <w:tcW w:w="22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8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recorded $973,977 (2009 - $23,500) in stock based compensation for the fair value of options granted to management that were granted and or vested during the period;</w:t>
            </w:r>
          </w:p>
        </w:tc>
      </w:tr>
    </w:tbl>
    <w:p>
      <w:pPr>
        <w:pStyle w:val="TextBody"/>
        <w:spacing w:before="0" w:after="0"/>
        <w:ind w:left="0" w:right="0" w:hanging="0"/>
        <w:rPr/>
      </w:pPr>
      <w:r>
        <w:rPr/>
      </w:r>
    </w:p>
    <w:p>
      <w:pPr>
        <w:pStyle w:val="Normal"/>
        <w:spacing w:before="0" w:after="0"/>
        <w:rPr>
          <w:sz w:val="4"/>
          <w:szCs w:val="4"/>
        </w:rPr>
      </w:pPr>
      <w:r>
        <w:rPr>
          <w:sz w:val="4"/>
          <w:szCs w:val="4"/>
        </w:rPr>
      </w:r>
      <w:bookmarkStart w:id="954" w:name="hangingindent86"/>
      <w:bookmarkStart w:id="955" w:name="hangingindent86"/>
      <w:bookmarkEnd w:id="955"/>
    </w:p>
    <w:tbl>
      <w:tblPr>
        <w:tblW w:w="5000" w:type="pct"/>
        <w:jc w:val="center"/>
        <w:tblInd w:w="0" w:type="dxa"/>
        <w:tblCellMar>
          <w:top w:w="0" w:type="dxa"/>
          <w:left w:w="0" w:type="dxa"/>
          <w:bottom w:w="0" w:type="dxa"/>
          <w:right w:w="0" w:type="dxa"/>
        </w:tblCellMar>
      </w:tblPr>
      <w:tblGrid>
        <w:gridCol w:w="92"/>
        <w:gridCol w:w="203"/>
        <w:gridCol w:w="9910"/>
      </w:tblGrid>
      <w:tr>
        <w:trPr/>
        <w:tc>
          <w:tcPr>
            <w:tcW w:w="92" w:type="dxa"/>
            <w:tcBorders/>
            <w:shd w:fill="auto" w:val="clear"/>
          </w:tcPr>
          <w:p>
            <w:pPr>
              <w:pStyle w:val="TableContents"/>
              <w:spacing w:before="0" w:after="0"/>
              <w:rPr/>
            </w:pPr>
            <w:r>
              <w:rPr/>
              <w:t xml:space="preserve">  </w:t>
            </w:r>
          </w:p>
        </w:tc>
        <w:tc>
          <w:tcPr>
            <w:tcW w:w="20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1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$Nil (2009 - $64,850) in interest and finance charges on promissory notes due to related parties during the period, which were settled in connection with an equity issuance effective June 4, 2009;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956" w:name="hangingindent87"/>
      <w:bookmarkStart w:id="957" w:name="hangingindent87"/>
      <w:bookmarkEnd w:id="957"/>
    </w:p>
    <w:tbl>
      <w:tblPr>
        <w:tblW w:w="5000" w:type="pct"/>
        <w:jc w:val="center"/>
        <w:tblInd w:w="0" w:type="dxa"/>
        <w:tblCellMar>
          <w:top w:w="0" w:type="dxa"/>
          <w:left w:w="0" w:type="dxa"/>
          <w:bottom w:w="0" w:type="dxa"/>
          <w:right w:w="0" w:type="dxa"/>
        </w:tblCellMar>
      </w:tblPr>
      <w:tblGrid>
        <w:gridCol w:w="92"/>
        <w:gridCol w:w="218"/>
        <w:gridCol w:w="9895"/>
      </w:tblGrid>
      <w:tr>
        <w:trPr/>
        <w:tc>
          <w:tcPr>
            <w:tcW w:w="92" w:type="dxa"/>
            <w:tcBorders/>
            <w:shd w:fill="auto" w:val="clear"/>
          </w:tcPr>
          <w:p>
            <w:pPr>
              <w:pStyle w:val="TableContents"/>
              <w:spacing w:before="0" w:after="0"/>
              <w:rPr/>
            </w:pPr>
            <w:r>
              <w:rPr/>
              <w:t xml:space="preserve">  </w:t>
            </w:r>
          </w:p>
        </w:tc>
        <w:tc>
          <w:tcPr>
            <w:tcW w:w="21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89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$Nil (2009 - $134,218) in interest and finance charges related to an agreement to issue warrants in connection with extending the terms of the promissory notes due to related parties during the period.</w:t>
            </w:r>
          </w:p>
        </w:tc>
      </w:tr>
    </w:tbl>
    <w:p>
      <w:pPr>
        <w:pStyle w:val="TextBody"/>
        <w:spacing w:before="0" w:after="0"/>
        <w:ind w:left="0" w:right="0" w:hanging="0"/>
        <w:rPr/>
      </w:pPr>
      <w:r>
        <w:rPr/>
      </w:r>
    </w:p>
    <w:p>
      <w:pPr>
        <w:pStyle w:val="Normal"/>
        <w:spacing w:before="0" w:after="0"/>
        <w:rPr>
          <w:sz w:val="4"/>
          <w:szCs w:val="4"/>
        </w:rPr>
      </w:pPr>
      <w:r>
        <w:rPr>
          <w:sz w:val="4"/>
          <w:szCs w:val="4"/>
        </w:rPr>
      </w:r>
      <w:bookmarkStart w:id="958" w:name="hangingindent88"/>
      <w:bookmarkStart w:id="959" w:name="hangingindent88"/>
      <w:bookmarkEnd w:id="959"/>
    </w:p>
    <w:tbl>
      <w:tblPr>
        <w:tblW w:w="5000" w:type="pct"/>
        <w:jc w:val="center"/>
        <w:tblInd w:w="0" w:type="dxa"/>
        <w:tblCellMar>
          <w:top w:w="0" w:type="dxa"/>
          <w:left w:w="0" w:type="dxa"/>
          <w:bottom w:w="0" w:type="dxa"/>
          <w:right w:w="0" w:type="dxa"/>
        </w:tblCellMar>
      </w:tblPr>
      <w:tblGrid>
        <w:gridCol w:w="80"/>
        <w:gridCol w:w="191"/>
        <w:gridCol w:w="9934"/>
      </w:tblGrid>
      <w:tr>
        <w:trPr/>
        <w:tc>
          <w:tcPr>
            <w:tcW w:w="80" w:type="dxa"/>
            <w:tcBorders/>
            <w:shd w:fill="auto" w:val="clear"/>
          </w:tcPr>
          <w:p>
            <w:pPr>
              <w:pStyle w:val="TableContents"/>
              <w:spacing w:before="0" w:after="0"/>
              <w:rPr/>
            </w:pPr>
            <w:r>
              <w:rPr/>
              <w:t xml:space="preserve">  </w:t>
            </w:r>
          </w:p>
        </w:tc>
        <w:tc>
          <w:tcPr>
            <w:tcW w:w="19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Issued a $nil (2009 - $15,000) secured promissory note bearing interest at 30% per annum and issued 30,000 transferable and registrable share purchase warrants with an exercise price of $0.20 per share for an exercise period of up to two years from the issuance date to a direct family member of an officer of the Company.</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related party transactions (other than stock based consideration) involving provision of services were recorded at the exchange amount, which is  the amount established and agreed to by the related parties. The Company accounted for the debt settlement transactions with related parties at management’s estimate of fair value, which is evidenced by the quoted market price of the Company’s shares.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September 30, 2010, the Company had amounts owing to directors and officers of $157,479 (September 30, 2009 - $41,100). These amounts were in the normal course of operations. Amounts due to related parties are unsecured, non-interest bearing and have no specific terms of repayment.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60" w:name="PGBRK83"/>
      <w:bookmarkStart w:id="961" w:name="PGBRK83"/>
      <w:bookmarkEnd w:id="9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2" w:name="FTR83"/>
      <w:bookmarkStart w:id="963" w:name="FTR83"/>
      <w:bookmarkEnd w:id="9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64" w:name="GLFTR83"/>
      <w:bookmarkEnd w:id="9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65" w:name="PN82"/>
      <w:bookmarkEnd w:id="965"/>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6" w:name="HDR82"/>
      <w:bookmarkStart w:id="967" w:name="HDR82"/>
      <w:bookmarkEnd w:id="9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68" w:name="GLHDR82"/>
      <w:bookmarkEnd w:id="9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7:</w:t>
      </w:r>
      <w:bookmarkStart w:id="969" w:name="TAB220"/>
      <w:bookmarkEnd w:id="969"/>
      <w:r>
        <w:rPr>
          <w:rFonts w:ascii="Times New Roman" w:hAnsi="Times New Roman"/>
          <w:b/>
          <w:color w:val="000000"/>
          <w:spacing w:val="60"/>
          <w:sz w:val="20"/>
        </w:rPr>
        <w:t> </w:t>
      </w:r>
      <w:r>
        <w:rPr>
          <w:rFonts w:ascii="Times New Roman" w:hAnsi="Times New Roman"/>
          <w:b/>
          <w:sz w:val="20"/>
          <w:u w:val="single"/>
        </w:rPr>
        <w:t>CAPITAL STOCK</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Share Capital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Prior to January 22, 2009, the authorized capital of the Company consisted of 20,000,000 shares of common stock and 5,000,000 shares of preferred stock. On January 22, 2009, the Company increased its authorized shares of common stock from 80,000,000 shares of common stock to 500,000,000 shares of common stock. Effective July 10, 2009, the Company executed a further 1 for 10 reverse stock split while simultaneously reducing the authorized shares of common stock to 50,000,000 common shares with a $0.001 par value and maintaining 5,000,000 non-voting preferred shares with a $0.001 par value. Effective February 21, 2010, the Company increased its authorized shares of common stock from 50,000,000 common shares to 150,000,000 common shares. The Company maintained its authorized shares of preferred stock at 5,000,000.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prior period share transactions included in the company’s stock transactions and balances have been retroactively restated to give effect to the 1 for 10 reverse stock split noted above.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2010 Share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250,000 shares of its common stock pursuant to a consulting services agreement. At the time of issuance the shares had a fair value of $0.52 per share, as quoted in an observable market, and $130,000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100,000 shares of its common stock pursuant to a consulting services agreement. At the time of issuance the shares had a fair value of $0.52 per share, as quoted in an observable market, and $52,000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100,000 shares of its common stock pursuant to a consulting services agreement. At the time of issuance the shares had a fair value of $0.52 per share and $52,000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265,000 shares of its common stock pursuant to a debt settlement agreement (refer to Note 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14, 2010, the Company issued 10,400 shares of its common stock for the loss of share certificate in the data exchange with the change in transfer agent.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26, 2010, the Company issued 80,000 shares of its common stock pursuant to a consulting services agreement. At the time of issuance the shares had a fair value of $0.36 per share, as quoted in an observable market, and $28,800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 2010, the Company issued 40,000 shares of its common stock pursuant to a consulting services agreement. At the time of issuance the shares had a fair value of $0.32 per share, as quoted in an observable market, and $12,800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4, 2010, $90,412 of trade debt was settled in exchange for 361,647 common shares of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4, 2010, the Company issued 687,305 common shares pursuant to the conversion of the 2009 secured debenture with a face value of $135,000 plus accrued interest of approximately $49,155 (refer to Note 4).</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Stock Compensation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8, 2007, a total of 632,000 stock options were granted, under s 2007 Stock Option plan, at an exercise price of $2.50 per share. The term of these options is ten years. Of the 632,000 options granted, 310,000 vested upon grant, 242,000 vested in one year, 40,000 vested in two years and 40,000 vested in three years. The aggregate fair value of these options was estimated at $1,179,600, or $1.90 per option, using the Black-Scholes option pricing model with a risk free interest rate of 5.26%, a dividend yield of 0%, an expected volatility of 83%, and expected lives between 2 and 5 years. The earned portion of the value of these options during the three months ended March 31, 2010 was $Nil (2009 - $13,167) which was recorded as stock based management fees.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70" w:name="PGBRK84"/>
      <w:bookmarkStart w:id="971" w:name="PGBRK84"/>
      <w:bookmarkEnd w:id="9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2" w:name="FTR84"/>
      <w:bookmarkStart w:id="973" w:name="FTR84"/>
      <w:bookmarkEnd w:id="9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74" w:name="GLFTR84"/>
      <w:bookmarkEnd w:id="9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75" w:name="PN83"/>
      <w:bookmarkEnd w:id="975"/>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6" w:name="HDR83"/>
      <w:bookmarkStart w:id="977" w:name="HDR83"/>
      <w:bookmarkEnd w:id="9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78" w:name="GLHDR83"/>
      <w:bookmarkEnd w:id="9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2009, the Company granted a total of 3,326,000 stock options at an exercise price of $0.97 per share to consultants and management, of which 1,913,000 vested immediately and the remaining 1,413,000 vest in one year. The term of the options is ten years. Additionally, on October 14, 2009, the Company approved the repricing of certain stock options issued to consultants and management. Options with an exercise price of $2.50 were repriced to $0.97 per share and the aggregate fair value of the repriced options is $5,840. The aggregate fair value of the new grants was estimated at $3,192,960, or $0.96 per option, using the Black-Scholes option pricing model with a risk free interest rate of 2.36%, a dividend yield of 0%, an expected volatility of 236%, and an expected life of 5 years. The recognized portion of the value of these options during the nine months ended September 30, 2010 was $339,120 (2009 - $Nil) which was recorded as stock based consulting and management compensation.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September 7, 2010, the Company granted 250,000 stock options at an exercise price of $0.35 per share to a director of the Company, vesting monthly over a twenty four month period. The term of the options is ten years. The fair value of the new grant was estimated at $47,500, or $0.19 per option, using the Black-Scholes option pricing model with a risk free interest rate of 2.61%, a dividend yield of 0%, an expected volatility of 249.6%, and an expected life of 10 years. The expensed portion of the value of these options during the three months ended September 30, 2010 was $1,979, which was recorded as stock based management compensation.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stock options as of September 30, 2010 and changes during the period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529"/>
        <w:gridCol w:w="114"/>
        <w:gridCol w:w="114"/>
        <w:gridCol w:w="1226"/>
        <w:gridCol w:w="114"/>
        <w:gridCol w:w="114"/>
        <w:gridCol w:w="204"/>
        <w:gridCol w:w="1080"/>
        <w:gridCol w:w="114"/>
        <w:gridCol w:w="114"/>
        <w:gridCol w:w="156"/>
        <w:gridCol w:w="1195"/>
        <w:gridCol w:w="131"/>
      </w:tblGrid>
      <w:tr>
        <w:trPr/>
        <w:tc>
          <w:tcPr>
            <w:tcW w:w="5529"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34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Options</w:t>
            </w:r>
          </w:p>
        </w:tc>
        <w:tc>
          <w:tcPr>
            <w:tcW w:w="11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28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1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35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1"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529" w:type="dxa"/>
            <w:tcBorders/>
            <w:shd w:fill="auto" w:val="clear"/>
            <w:tcMar>
              <w:top w:w="0" w:type="dxa"/>
              <w:bottom w:w="0" w:type="dxa"/>
            </w:tcMar>
            <w:vAlign w:val="bottom"/>
          </w:tcPr>
          <w:p>
            <w:pPr>
              <w:pStyle w:val="TableContents"/>
              <w:spacing w:before="0" w:after="283"/>
              <w:rPr/>
            </w:pPr>
            <w:r>
              <w:rPr/>
              <w:t xml:space="preserve">  </w:t>
            </w:r>
          </w:p>
        </w:tc>
        <w:tc>
          <w:tcPr>
            <w:tcW w:w="114" w:type="dxa"/>
            <w:tcBorders/>
            <w:shd w:fill="auto" w:val="clear"/>
            <w:tcMar>
              <w:top w:w="0" w:type="dxa"/>
              <w:bottom w:w="0" w:type="dxa"/>
            </w:tcMar>
            <w:vAlign w:val="bottom"/>
          </w:tcPr>
          <w:p>
            <w:pPr>
              <w:pStyle w:val="TableContents"/>
              <w:spacing w:before="0" w:after="283"/>
              <w:rPr/>
            </w:pPr>
            <w:r>
              <w:rPr/>
              <w:t> </w:t>
            </w:r>
          </w:p>
        </w:tc>
        <w:tc>
          <w:tcPr>
            <w:tcW w:w="1340" w:type="dxa"/>
            <w:gridSpan w:val="2"/>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284" w:type="dxa"/>
            <w:gridSpan w:val="2"/>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351" w:type="dxa"/>
            <w:gridSpan w:val="2"/>
            <w:tcBorders/>
            <w:shd w:fill="auto" w:val="clear"/>
            <w:tcMar>
              <w:top w:w="0" w:type="dxa"/>
              <w:bottom w:w="0" w:type="dxa"/>
            </w:tcMar>
            <w:vAlign w:val="bottom"/>
          </w:tcPr>
          <w:p>
            <w:pPr>
              <w:pStyle w:val="TableContents"/>
              <w:spacing w:before="0" w:after="283"/>
              <w:rPr/>
            </w:pPr>
            <w:r>
              <w:rPr/>
              <w:t> </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2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22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3,618,000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0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56" w:type="dxa"/>
            <w:tcBorders/>
            <w:shd w:fill="auto" w:val="clear"/>
            <w:tcMar>
              <w:top w:w="0" w:type="dxa"/>
              <w:bottom w:w="0" w:type="dxa"/>
            </w:tcMar>
            <w:vAlign w:val="bottom"/>
          </w:tcPr>
          <w:p>
            <w:pPr>
              <w:pStyle w:val="TableContents"/>
              <w:spacing w:before="0" w:after="283"/>
              <w:jc w:val="left"/>
              <w:rPr/>
            </w:pPr>
            <w:r>
              <w:rPr/>
              <w:t> </w:t>
            </w:r>
          </w:p>
        </w:tc>
        <w:tc>
          <w:tcPr>
            <w:tcW w:w="119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9.60</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2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22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04" w:type="dxa"/>
            <w:tcBorders/>
            <w:shd w:fill="auto" w:val="clear"/>
            <w:tcMar>
              <w:top w:w="0" w:type="dxa"/>
              <w:bottom w:w="0" w:type="dxa"/>
            </w:tcMar>
            <w:vAlign w:val="bottom"/>
          </w:tcPr>
          <w:p>
            <w:pPr>
              <w:pStyle w:val="TableContents"/>
              <w:spacing w:before="0" w:after="283"/>
              <w:jc w:val="left"/>
              <w:rPr/>
            </w:pPr>
            <w:r>
              <w:rPr/>
              <w:t> </w:t>
            </w:r>
          </w:p>
        </w:tc>
        <w:tc>
          <w:tcPr>
            <w:tcW w:w="10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0.35</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56" w:type="dxa"/>
            <w:tcBorders/>
            <w:shd w:fill="auto" w:val="clear"/>
            <w:tcMar>
              <w:top w:w="0" w:type="dxa"/>
              <w:bottom w:w="0" w:type="dxa"/>
            </w:tcMar>
            <w:vAlign w:val="bottom"/>
          </w:tcPr>
          <w:p>
            <w:pPr>
              <w:pStyle w:val="TableContents"/>
              <w:spacing w:before="0" w:after="283"/>
              <w:jc w:val="left"/>
              <w:rPr/>
            </w:pPr>
            <w:r>
              <w:rPr/>
              <w:t> </w:t>
            </w:r>
          </w:p>
        </w:tc>
        <w:tc>
          <w:tcPr>
            <w:tcW w:w="119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9.95</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29"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Cancelled</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1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2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0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8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5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9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29" w:type="dxa"/>
            <w:tcBorders/>
            <w:shd w:fill="auto" w:val="clear"/>
            <w:tcMar>
              <w:top w:w="0" w:type="dxa"/>
              <w:bottom w:w="0" w:type="dxa"/>
            </w:tcMar>
            <w:vAlign w:val="bottom"/>
          </w:tcPr>
          <w:p>
            <w:pPr>
              <w:pStyle w:val="TableContents"/>
              <w:spacing w:before="0" w:after="283"/>
              <w:rPr/>
            </w:pPr>
            <w:r>
              <w:rPr/>
              <w:t xml:space="preserve">  </w:t>
            </w:r>
          </w:p>
        </w:tc>
        <w:tc>
          <w:tcPr>
            <w:tcW w:w="114" w:type="dxa"/>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226" w:type="dxa"/>
            <w:tcBorders/>
            <w:shd w:fill="auto" w:val="clear"/>
            <w:tcMar>
              <w:top w:w="0" w:type="dxa"/>
              <w:bottom w:w="0" w:type="dxa"/>
            </w:tcMar>
            <w:vAlign w:val="bottom"/>
          </w:tcPr>
          <w:p>
            <w:pPr>
              <w:pStyle w:val="TableContents"/>
              <w:spacing w:before="0" w:after="283"/>
              <w:jc w:val="right"/>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204" w:type="dxa"/>
            <w:tcBorders/>
            <w:shd w:fill="auto" w:val="clear"/>
            <w:tcMar>
              <w:top w:w="0" w:type="dxa"/>
              <w:bottom w:w="0" w:type="dxa"/>
            </w:tcMar>
            <w:vAlign w:val="bottom"/>
          </w:tcPr>
          <w:p>
            <w:pPr>
              <w:pStyle w:val="TableContents"/>
              <w:spacing w:before="0" w:after="283"/>
              <w:jc w:val="left"/>
              <w:rPr/>
            </w:pPr>
            <w:r>
              <w:rPr/>
              <w:t> </w:t>
            </w:r>
          </w:p>
        </w:tc>
        <w:tc>
          <w:tcPr>
            <w:tcW w:w="1080" w:type="dxa"/>
            <w:tcBorders/>
            <w:shd w:fill="auto" w:val="clear"/>
            <w:tcMar>
              <w:top w:w="0" w:type="dxa"/>
              <w:bottom w:w="0" w:type="dxa"/>
            </w:tcMar>
            <w:vAlign w:val="bottom"/>
          </w:tcPr>
          <w:p>
            <w:pPr>
              <w:pStyle w:val="TableContents"/>
              <w:spacing w:before="0" w:after="283"/>
              <w:jc w:val="right"/>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56" w:type="dxa"/>
            <w:tcBorders/>
            <w:shd w:fill="auto" w:val="clear"/>
            <w:tcMar>
              <w:top w:w="0" w:type="dxa"/>
              <w:bottom w:w="0" w:type="dxa"/>
            </w:tcMar>
            <w:vAlign w:val="bottom"/>
          </w:tcPr>
          <w:p>
            <w:pPr>
              <w:pStyle w:val="TableContents"/>
              <w:spacing w:before="0" w:after="283"/>
              <w:jc w:val="left"/>
              <w:rPr/>
            </w:pPr>
            <w:r>
              <w:rPr/>
              <w:t> </w:t>
            </w:r>
          </w:p>
        </w:tc>
        <w:tc>
          <w:tcPr>
            <w:tcW w:w="1195" w:type="dxa"/>
            <w:tcBorders/>
            <w:shd w:fill="auto" w:val="clear"/>
            <w:tcMar>
              <w:top w:w="0" w:type="dxa"/>
              <w:bottom w:w="0" w:type="dxa"/>
            </w:tcMar>
            <w:vAlign w:val="bottom"/>
          </w:tcPr>
          <w:p>
            <w:pPr>
              <w:pStyle w:val="TableContents"/>
              <w:spacing w:before="0" w:after="283"/>
              <w:jc w:val="right"/>
              <w:rPr/>
            </w:pPr>
            <w:r>
              <w:rPr/>
              <w:t> </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29"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September 30, 2010</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14"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2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3,868,000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04"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0.93</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56"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9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8.92</w:t>
            </w:r>
          </w:p>
        </w:tc>
        <w:tc>
          <w:tcPr>
            <w:tcW w:w="131"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status of the Company’s unvested options as of September 30, 2010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6876"/>
        <w:gridCol w:w="120"/>
        <w:gridCol w:w="120"/>
        <w:gridCol w:w="1289"/>
        <w:gridCol w:w="133"/>
        <w:gridCol w:w="120"/>
        <w:gridCol w:w="227"/>
        <w:gridCol w:w="1182"/>
        <w:gridCol w:w="138"/>
      </w:tblGrid>
      <w:tr>
        <w:trPr/>
        <w:tc>
          <w:tcPr>
            <w:tcW w:w="6876"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20" w:type="dxa"/>
            <w:tcBorders>
              <w:top w:val="single" w:sz="12" w:space="0" w:color="000000"/>
            </w:tcBorders>
            <w:shd w:fill="auto" w:val="clear"/>
            <w:tcMar>
              <w:bottom w:w="0" w:type="dxa"/>
            </w:tcMar>
            <w:vAlign w:val="bottom"/>
          </w:tcPr>
          <w:p>
            <w:pPr>
              <w:pStyle w:val="TableContents"/>
              <w:spacing w:before="0" w:after="283"/>
              <w:rPr/>
            </w:pPr>
            <w:r>
              <w:rPr/>
              <w:t> </w:t>
            </w:r>
          </w:p>
        </w:tc>
        <w:tc>
          <w:tcPr>
            <w:tcW w:w="140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133"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20" w:type="dxa"/>
            <w:tcBorders>
              <w:top w:val="single" w:sz="12" w:space="0" w:color="000000"/>
            </w:tcBorders>
            <w:shd w:fill="auto" w:val="clear"/>
            <w:tcMar>
              <w:bottom w:w="0" w:type="dxa"/>
            </w:tcMar>
            <w:vAlign w:val="bottom"/>
          </w:tcPr>
          <w:p>
            <w:pPr>
              <w:pStyle w:val="TableContents"/>
              <w:spacing w:before="0" w:after="283"/>
              <w:rPr/>
            </w:pPr>
            <w:r>
              <w:rPr/>
              <w:t> </w:t>
            </w:r>
          </w:p>
        </w:tc>
        <w:tc>
          <w:tcPr>
            <w:tcW w:w="140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Grant-Date</w:t>
            </w:r>
          </w:p>
          <w:p>
            <w:pPr>
              <w:pStyle w:val="TableContents"/>
              <w:spacing w:before="0" w:after="0"/>
              <w:ind w:left="0" w:right="0" w:hanging="0"/>
              <w:jc w:val="center"/>
              <w:rPr>
                <w:rFonts w:ascii="times new roman" w:hAnsi="times new roman"/>
                <w:sz w:val="20"/>
              </w:rPr>
            </w:pPr>
            <w:r>
              <w:rPr>
                <w:rFonts w:ascii="times new roman" w:hAnsi="times new roman"/>
                <w:sz w:val="20"/>
              </w:rPr>
              <w:t>Fair Value</w:t>
            </w:r>
          </w:p>
        </w:tc>
        <w:tc>
          <w:tcPr>
            <w:tcW w:w="138"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6876" w:type="dxa"/>
            <w:tcBorders/>
            <w:shd w:fill="auto" w:val="clear"/>
            <w:tcMar>
              <w:top w:w="0" w:type="dxa"/>
              <w:bottom w:w="0" w:type="dxa"/>
            </w:tcMar>
            <w:vAlign w:val="bottom"/>
          </w:tcPr>
          <w:p>
            <w:pPr>
              <w:pStyle w:val="TableContents"/>
              <w:spacing w:before="0" w:after="283"/>
              <w:rPr/>
            </w:pPr>
            <w:r>
              <w:rPr/>
              <w:t xml:space="preserve">  </w:t>
            </w:r>
          </w:p>
        </w:tc>
        <w:tc>
          <w:tcPr>
            <w:tcW w:w="120" w:type="dxa"/>
            <w:tcBorders/>
            <w:shd w:fill="auto" w:val="clear"/>
            <w:tcMar>
              <w:top w:w="0" w:type="dxa"/>
              <w:bottom w:w="0" w:type="dxa"/>
            </w:tcMar>
            <w:vAlign w:val="bottom"/>
          </w:tcPr>
          <w:p>
            <w:pPr>
              <w:pStyle w:val="TableContents"/>
              <w:spacing w:before="0" w:after="283"/>
              <w:rPr/>
            </w:pPr>
            <w:r>
              <w:rPr/>
              <w:t> </w:t>
            </w:r>
          </w:p>
        </w:tc>
        <w:tc>
          <w:tcPr>
            <w:tcW w:w="1409" w:type="dxa"/>
            <w:gridSpan w:val="2"/>
            <w:tcBorders/>
            <w:shd w:fill="auto" w:val="clear"/>
            <w:tcMar>
              <w:top w:w="0" w:type="dxa"/>
              <w:bottom w:w="0" w:type="dxa"/>
            </w:tcMar>
            <w:vAlign w:val="bottom"/>
          </w:tcPr>
          <w:p>
            <w:pPr>
              <w:pStyle w:val="TableContents"/>
              <w:spacing w:before="0" w:after="283"/>
              <w:rPr/>
            </w:pPr>
            <w:r>
              <w:rPr/>
              <w:t> </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rPr/>
            </w:pPr>
            <w:r>
              <w:rPr/>
              <w:t> </w:t>
            </w:r>
          </w:p>
        </w:tc>
        <w:tc>
          <w:tcPr>
            <w:tcW w:w="1409" w:type="dxa"/>
            <w:gridSpan w:val="2"/>
            <w:tcBorders/>
            <w:shd w:fill="auto" w:val="clear"/>
            <w:tcMar>
              <w:top w:w="0" w:type="dxa"/>
              <w:bottom w:w="0" w:type="dxa"/>
            </w:tcMar>
            <w:vAlign w:val="bottom"/>
          </w:tcPr>
          <w:p>
            <w:pPr>
              <w:pStyle w:val="TableContents"/>
              <w:spacing w:before="0" w:after="283"/>
              <w:rPr/>
            </w:pPr>
            <w:r>
              <w:rPr/>
              <w:t> </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87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2009</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1,413,000</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227"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87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Granted</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227" w:type="dxa"/>
            <w:tcBorders/>
            <w:shd w:fill="auto" w:val="clear"/>
            <w:tcMar>
              <w:top w:w="0" w:type="dxa"/>
              <w:bottom w:w="0" w:type="dxa"/>
            </w:tcMar>
            <w:vAlign w:val="bottom"/>
          </w:tcPr>
          <w:p>
            <w:pPr>
              <w:pStyle w:val="TableContents"/>
              <w:spacing w:before="0" w:after="283"/>
              <w:jc w:val="left"/>
              <w:rPr/>
            </w:pPr>
            <w:r>
              <w:rPr/>
              <w:t> </w:t>
            </w:r>
          </w:p>
        </w:tc>
        <w:tc>
          <w:tcPr>
            <w:tcW w:w="118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876"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Vested</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8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(10,417</w:t>
            </w:r>
          </w:p>
        </w:tc>
        <w:tc>
          <w:tcPr>
            <w:tcW w:w="13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227" w:type="dxa"/>
            <w:tcBorders/>
            <w:shd w:fill="auto" w:val="clear"/>
            <w:tcMar>
              <w:top w:w="0" w:type="dxa"/>
              <w:bottom w:w="0" w:type="dxa"/>
            </w:tcMar>
            <w:vAlign w:val="bottom"/>
          </w:tcPr>
          <w:p>
            <w:pPr>
              <w:pStyle w:val="TableContents"/>
              <w:spacing w:before="0" w:after="283"/>
              <w:jc w:val="left"/>
              <w:rPr/>
            </w:pPr>
            <w:r>
              <w:rPr/>
              <w:t> </w:t>
            </w:r>
          </w:p>
        </w:tc>
        <w:tc>
          <w:tcPr>
            <w:tcW w:w="118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876"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Cancelled</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120"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8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227"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8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876" w:type="dxa"/>
            <w:tcBorders/>
            <w:shd w:fill="auto" w:val="clear"/>
            <w:tcMar>
              <w:top w:w="0" w:type="dxa"/>
              <w:bottom w:w="0" w:type="dxa"/>
            </w:tcMar>
            <w:vAlign w:val="bottom"/>
          </w:tcPr>
          <w:p>
            <w:pPr>
              <w:pStyle w:val="TableContents"/>
              <w:spacing w:before="0" w:after="283"/>
              <w:rPr/>
            </w:pPr>
            <w:r>
              <w:rPr/>
              <w:t xml:space="preserve">  </w:t>
            </w:r>
          </w:p>
        </w:tc>
        <w:tc>
          <w:tcPr>
            <w:tcW w:w="120" w:type="dxa"/>
            <w:tcBorders/>
            <w:shd w:fill="auto" w:val="clear"/>
            <w:tcMar>
              <w:top w:w="0" w:type="dxa"/>
              <w:bottom w:w="0" w:type="dxa"/>
            </w:tcMar>
            <w:vAlign w:val="bottom"/>
          </w:tcPr>
          <w:p>
            <w:pPr>
              <w:pStyle w:val="TableContents"/>
              <w:spacing w:before="0" w:after="283"/>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c>
          <w:tcPr>
            <w:tcW w:w="1289" w:type="dxa"/>
            <w:tcBorders/>
            <w:shd w:fill="auto" w:val="clear"/>
            <w:tcMar>
              <w:top w:w="0" w:type="dxa"/>
              <w:bottom w:w="0" w:type="dxa"/>
            </w:tcMar>
            <w:vAlign w:val="bottom"/>
          </w:tcPr>
          <w:p>
            <w:pPr>
              <w:pStyle w:val="TableContents"/>
              <w:spacing w:before="0" w:after="283"/>
              <w:jc w:val="right"/>
              <w:rPr/>
            </w:pPr>
            <w:r>
              <w:rPr/>
              <w:t> </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rPr/>
            </w:pPr>
            <w:r>
              <w:rPr/>
              <w:t> </w:t>
            </w:r>
          </w:p>
        </w:tc>
        <w:tc>
          <w:tcPr>
            <w:tcW w:w="227" w:type="dxa"/>
            <w:tcBorders/>
            <w:shd w:fill="auto" w:val="clear"/>
            <w:tcMar>
              <w:top w:w="0" w:type="dxa"/>
              <w:bottom w:w="0" w:type="dxa"/>
            </w:tcMar>
            <w:vAlign w:val="bottom"/>
          </w:tcPr>
          <w:p>
            <w:pPr>
              <w:pStyle w:val="TableContents"/>
              <w:spacing w:before="0" w:after="283"/>
              <w:jc w:val="left"/>
              <w:rPr/>
            </w:pPr>
            <w:r>
              <w:rPr/>
              <w:t> </w:t>
            </w:r>
          </w:p>
        </w:tc>
        <w:tc>
          <w:tcPr>
            <w:tcW w:w="1182" w:type="dxa"/>
            <w:tcBorders/>
            <w:shd w:fill="auto" w:val="clear"/>
            <w:tcMar>
              <w:top w:w="0" w:type="dxa"/>
              <w:bottom w:w="0" w:type="dxa"/>
            </w:tcMar>
            <w:vAlign w:val="bottom"/>
          </w:tcPr>
          <w:p>
            <w:pPr>
              <w:pStyle w:val="TableContents"/>
              <w:spacing w:before="0" w:after="283"/>
              <w:jc w:val="right"/>
              <w:rPr/>
            </w:pPr>
            <w:r>
              <w:rPr/>
              <w:t> </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876"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September 30, 2010</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120"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8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1,652,583</w:t>
            </w:r>
          </w:p>
        </w:tc>
        <w:tc>
          <w:tcPr>
            <w:tcW w:w="133" w:type="dxa"/>
            <w:tcBorders/>
            <w:shd w:fill="auto" w:val="clear"/>
            <w:tcMar>
              <w:top w:w="0" w:type="dxa"/>
              <w:bottom w:w="0" w:type="dxa"/>
            </w:tcMar>
            <w:vAlign w:val="bottom"/>
          </w:tcPr>
          <w:p>
            <w:pPr>
              <w:pStyle w:val="TableContents"/>
              <w:spacing w:before="0" w:after="283"/>
              <w:jc w:val="left"/>
              <w:rPr/>
            </w:pPr>
            <w:r>
              <w:rPr/>
              <w:t> </w:t>
            </w:r>
          </w:p>
        </w:tc>
        <w:tc>
          <w:tcPr>
            <w:tcW w:w="120" w:type="dxa"/>
            <w:tcBorders/>
            <w:shd w:fill="auto" w:val="clear"/>
            <w:tcMar>
              <w:top w:w="0" w:type="dxa"/>
              <w:bottom w:w="0" w:type="dxa"/>
            </w:tcMar>
            <w:vAlign w:val="bottom"/>
          </w:tcPr>
          <w:p>
            <w:pPr>
              <w:pStyle w:val="TableContents"/>
              <w:spacing w:before="0" w:after="283"/>
              <w:jc w:val="right"/>
              <w:rPr/>
            </w:pPr>
            <w:r>
              <w:rPr/>
              <w:t> </w:t>
            </w:r>
          </w:p>
        </w:tc>
        <w:tc>
          <w:tcPr>
            <w:tcW w:w="22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0.84</w:t>
            </w:r>
          </w:p>
        </w:tc>
        <w:tc>
          <w:tcPr>
            <w:tcW w:w="138"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Share Purchase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19, 2010, the Company issued 600,000 share purchase warrants to allow the holders to acquire an equivalent number of common shares of the Company, at an exercise price of $0.50 per share for an exercise period of up to three years from the issuance date, and 600,000 share purchase warrants to acquire an equivalent number of common shares of the Company, at an exercise price of $0.60 per share and for an exercise period of up to three years from the issuance date. The warrants were issued pursuant to a consulting services agreement. The fair value of these warrants was determined to be $648,000, using the Black-Scholes option pricing model with an expected life of 3 years, a risk free interest rate of 1.38%, a dividend yield of 0%, and an expected volatility of 235%.</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8, 2010, the Company issued 750,000 share purchase warrants to acquire an equivalent number of common shares of the Company, at an exercise price of $0.50 per share and for an exercise period of up to five years from the issuance date. The warrants were issued pursuant to a debt settlement agreement. The fair value of these warrants was determined to be $100,000, equal to the amount of debt being settled.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79" w:name="PGBRK85"/>
      <w:bookmarkStart w:id="980" w:name="PGBRK85"/>
      <w:bookmarkEnd w:id="9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1" w:name="FTR85"/>
      <w:bookmarkStart w:id="982" w:name="FTR85"/>
      <w:bookmarkEnd w:id="9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83" w:name="GLFTR85"/>
      <w:bookmarkEnd w:id="9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84" w:name="PN84"/>
      <w:bookmarkEnd w:id="984"/>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5" w:name="HDR84"/>
      <w:bookmarkStart w:id="986" w:name="HDR84"/>
      <w:bookmarkEnd w:id="9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87" w:name="GLHDR84"/>
      <w:bookmarkEnd w:id="9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24, 2010, the Company issued Series A Warrants to purchase shares of its common stock with a 5 year term. Series B Warrants to purchase shares of its common stock with a term that is shorter of (i) 18 months or (ii) one year from an effective registration statement. Series C Warrants to purchase shares of its common stock with a 5 year term, which can only be exercised to the extent that the Series B Warrants are exercised. The initial exercise price of the Series A Warrants is $0.30 per share, and such warrants are exercisable into 6,375,000 shares of common stock in the aggregate. The initial exercise price of the Series B Warrants is $0.30 per share, and such warrants are exercisable into 5,100,000 shares of common stock in the aggregate. The initial exercise price of the Series C Warrants is $.30 per share, and such warrants are exercisable into 6,375,000 shares of common stock. In addition, the Company issued 1,400,000 brokers warrant’s which are exercisable on the same terms and conditions as the note holders warrants described above (500,000 Series A Warrants;400,000 Series B Warrants; 500,000 Series C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stock purchase warrants as of September 30, 2010 and changes during the period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449"/>
        <w:gridCol w:w="114"/>
        <w:gridCol w:w="114"/>
        <w:gridCol w:w="1294"/>
        <w:gridCol w:w="127"/>
        <w:gridCol w:w="114"/>
        <w:gridCol w:w="204"/>
        <w:gridCol w:w="1079"/>
        <w:gridCol w:w="114"/>
        <w:gridCol w:w="114"/>
        <w:gridCol w:w="156"/>
        <w:gridCol w:w="1195"/>
        <w:gridCol w:w="131"/>
      </w:tblGrid>
      <w:tr>
        <w:trPr/>
        <w:tc>
          <w:tcPr>
            <w:tcW w:w="5449"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40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127"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28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1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35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1"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449" w:type="dxa"/>
            <w:tcBorders/>
            <w:shd w:fill="auto" w:val="clear"/>
            <w:tcMar>
              <w:top w:w="0" w:type="dxa"/>
              <w:bottom w:w="0" w:type="dxa"/>
            </w:tcMar>
            <w:vAlign w:val="bottom"/>
          </w:tcPr>
          <w:p>
            <w:pPr>
              <w:pStyle w:val="TableContents"/>
              <w:spacing w:before="0" w:after="283"/>
              <w:rPr/>
            </w:pPr>
            <w:r>
              <w:rPr/>
              <w:t xml:space="preserve">  </w:t>
            </w:r>
          </w:p>
        </w:tc>
        <w:tc>
          <w:tcPr>
            <w:tcW w:w="114" w:type="dxa"/>
            <w:tcBorders/>
            <w:shd w:fill="auto" w:val="clear"/>
            <w:tcMar>
              <w:top w:w="0" w:type="dxa"/>
              <w:bottom w:w="0" w:type="dxa"/>
            </w:tcMar>
            <w:vAlign w:val="bottom"/>
          </w:tcPr>
          <w:p>
            <w:pPr>
              <w:pStyle w:val="TableContents"/>
              <w:spacing w:before="0" w:after="283"/>
              <w:rPr/>
            </w:pPr>
            <w:r>
              <w:rPr/>
              <w:t> </w:t>
            </w:r>
          </w:p>
        </w:tc>
        <w:tc>
          <w:tcPr>
            <w:tcW w:w="1408" w:type="dxa"/>
            <w:gridSpan w:val="2"/>
            <w:tcBorders/>
            <w:shd w:fill="auto" w:val="clear"/>
            <w:tcMar>
              <w:top w:w="0" w:type="dxa"/>
              <w:bottom w:w="0" w:type="dxa"/>
            </w:tcMar>
            <w:vAlign w:val="bottom"/>
          </w:tcPr>
          <w:p>
            <w:pPr>
              <w:pStyle w:val="TableContents"/>
              <w:spacing w:before="0" w:after="283"/>
              <w:rPr/>
            </w:pPr>
            <w:r>
              <w:rPr/>
              <w:t> </w:t>
            </w:r>
          </w:p>
        </w:tc>
        <w:tc>
          <w:tcPr>
            <w:tcW w:w="127"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283" w:type="dxa"/>
            <w:gridSpan w:val="2"/>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351" w:type="dxa"/>
            <w:gridSpan w:val="2"/>
            <w:tcBorders/>
            <w:shd w:fill="auto" w:val="clear"/>
            <w:tcMar>
              <w:top w:w="0" w:type="dxa"/>
              <w:bottom w:w="0" w:type="dxa"/>
            </w:tcMar>
            <w:vAlign w:val="bottom"/>
          </w:tcPr>
          <w:p>
            <w:pPr>
              <w:pStyle w:val="TableContents"/>
              <w:spacing w:before="0" w:after="283"/>
              <w:rPr/>
            </w:pPr>
            <w:r>
              <w:rPr/>
              <w:t> </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44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2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4,112,800</w:t>
            </w:r>
          </w:p>
        </w:tc>
        <w:tc>
          <w:tcPr>
            <w:tcW w:w="127"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0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56" w:type="dxa"/>
            <w:tcBorders/>
            <w:shd w:fill="auto" w:val="clear"/>
            <w:tcMar>
              <w:top w:w="0" w:type="dxa"/>
              <w:bottom w:w="0" w:type="dxa"/>
            </w:tcMar>
            <w:vAlign w:val="bottom"/>
          </w:tcPr>
          <w:p>
            <w:pPr>
              <w:pStyle w:val="TableContents"/>
              <w:spacing w:before="0" w:after="283"/>
              <w:jc w:val="left"/>
              <w:rPr/>
            </w:pPr>
            <w:r>
              <w:rPr/>
              <w:t> </w:t>
            </w:r>
          </w:p>
        </w:tc>
        <w:tc>
          <w:tcPr>
            <w:tcW w:w="119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3.71</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44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29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21,200,000</w:t>
            </w:r>
          </w:p>
        </w:tc>
        <w:tc>
          <w:tcPr>
            <w:tcW w:w="127"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04" w:type="dxa"/>
            <w:tcBorders/>
            <w:shd w:fill="auto" w:val="clear"/>
            <w:tcMar>
              <w:top w:w="0" w:type="dxa"/>
              <w:bottom w:w="0" w:type="dxa"/>
            </w:tcMar>
            <w:vAlign w:val="bottom"/>
          </w:tcPr>
          <w:p>
            <w:pPr>
              <w:pStyle w:val="TableContents"/>
              <w:spacing w:before="0" w:after="283"/>
              <w:jc w:val="left"/>
              <w:rPr/>
            </w:pPr>
            <w:r>
              <w:rPr/>
              <w:t> </w:t>
            </w:r>
          </w:p>
        </w:tc>
        <w:tc>
          <w:tcPr>
            <w:tcW w:w="107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0.32</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56" w:type="dxa"/>
            <w:tcBorders/>
            <w:shd w:fill="auto" w:val="clear"/>
            <w:tcMar>
              <w:top w:w="0" w:type="dxa"/>
              <w:bottom w:w="0" w:type="dxa"/>
            </w:tcMar>
            <w:vAlign w:val="bottom"/>
          </w:tcPr>
          <w:p>
            <w:pPr>
              <w:pStyle w:val="TableContents"/>
              <w:spacing w:before="0" w:after="283"/>
              <w:jc w:val="left"/>
              <w:rPr/>
            </w:pPr>
            <w:r>
              <w:rPr/>
              <w:t> </w:t>
            </w:r>
          </w:p>
        </w:tc>
        <w:tc>
          <w:tcPr>
            <w:tcW w:w="119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3.28</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449"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 cancelled or expired</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1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9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(444,500</w:t>
            </w:r>
          </w:p>
        </w:tc>
        <w:tc>
          <w:tcPr>
            <w:tcW w:w="127"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0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5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9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449" w:type="dxa"/>
            <w:tcBorders/>
            <w:shd w:fill="auto" w:val="clear"/>
            <w:tcMar>
              <w:top w:w="0" w:type="dxa"/>
              <w:bottom w:w="0" w:type="dxa"/>
            </w:tcMar>
            <w:vAlign w:val="bottom"/>
          </w:tcPr>
          <w:p>
            <w:pPr>
              <w:pStyle w:val="TableContents"/>
              <w:spacing w:before="0" w:after="283"/>
              <w:rPr/>
            </w:pPr>
            <w:r>
              <w:rPr/>
              <w:t xml:space="preserve">  </w:t>
            </w:r>
          </w:p>
        </w:tc>
        <w:tc>
          <w:tcPr>
            <w:tcW w:w="114" w:type="dxa"/>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294" w:type="dxa"/>
            <w:tcBorders/>
            <w:shd w:fill="auto" w:val="clear"/>
            <w:tcMar>
              <w:top w:w="0" w:type="dxa"/>
              <w:bottom w:w="0" w:type="dxa"/>
            </w:tcMar>
            <w:vAlign w:val="bottom"/>
          </w:tcPr>
          <w:p>
            <w:pPr>
              <w:pStyle w:val="TableContents"/>
              <w:spacing w:before="0" w:after="283"/>
              <w:jc w:val="right"/>
              <w:rPr/>
            </w:pPr>
            <w:r>
              <w:rPr/>
              <w:t> </w:t>
            </w:r>
          </w:p>
        </w:tc>
        <w:tc>
          <w:tcPr>
            <w:tcW w:w="127"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204" w:type="dxa"/>
            <w:tcBorders/>
            <w:shd w:fill="auto" w:val="clear"/>
            <w:tcMar>
              <w:top w:w="0" w:type="dxa"/>
              <w:bottom w:w="0" w:type="dxa"/>
            </w:tcMar>
            <w:vAlign w:val="bottom"/>
          </w:tcPr>
          <w:p>
            <w:pPr>
              <w:pStyle w:val="TableContents"/>
              <w:spacing w:before="0" w:after="283"/>
              <w:jc w:val="left"/>
              <w:rPr/>
            </w:pPr>
            <w:r>
              <w:rPr/>
              <w:t> </w:t>
            </w:r>
          </w:p>
        </w:tc>
        <w:tc>
          <w:tcPr>
            <w:tcW w:w="1079" w:type="dxa"/>
            <w:tcBorders/>
            <w:shd w:fill="auto" w:val="clear"/>
            <w:tcMar>
              <w:top w:w="0" w:type="dxa"/>
              <w:bottom w:w="0" w:type="dxa"/>
            </w:tcMar>
            <w:vAlign w:val="bottom"/>
          </w:tcPr>
          <w:p>
            <w:pPr>
              <w:pStyle w:val="TableContents"/>
              <w:spacing w:before="0" w:after="283"/>
              <w:jc w:val="right"/>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56" w:type="dxa"/>
            <w:tcBorders/>
            <w:shd w:fill="auto" w:val="clear"/>
            <w:tcMar>
              <w:top w:w="0" w:type="dxa"/>
              <w:bottom w:w="0" w:type="dxa"/>
            </w:tcMar>
            <w:vAlign w:val="bottom"/>
          </w:tcPr>
          <w:p>
            <w:pPr>
              <w:pStyle w:val="TableContents"/>
              <w:spacing w:before="0" w:after="283"/>
              <w:jc w:val="left"/>
              <w:rPr/>
            </w:pPr>
            <w:r>
              <w:rPr/>
              <w:t> </w:t>
            </w:r>
          </w:p>
        </w:tc>
        <w:tc>
          <w:tcPr>
            <w:tcW w:w="1195" w:type="dxa"/>
            <w:tcBorders/>
            <w:shd w:fill="auto" w:val="clear"/>
            <w:tcMar>
              <w:top w:w="0" w:type="dxa"/>
              <w:bottom w:w="0" w:type="dxa"/>
            </w:tcMar>
            <w:vAlign w:val="bottom"/>
          </w:tcPr>
          <w:p>
            <w:pPr>
              <w:pStyle w:val="TableContents"/>
              <w:spacing w:before="0" w:after="283"/>
              <w:jc w:val="right"/>
              <w:rPr/>
            </w:pPr>
            <w:r>
              <w:rPr/>
              <w:t> </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449"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September 30, 2010</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14"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9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24,868,300</w:t>
            </w:r>
          </w:p>
        </w:tc>
        <w:tc>
          <w:tcPr>
            <w:tcW w:w="127"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04"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0.44</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56"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9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3.49</w:t>
            </w:r>
          </w:p>
        </w:tc>
        <w:tc>
          <w:tcPr>
            <w:tcW w:w="131"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8:</w:t>
      </w:r>
      <w:bookmarkStart w:id="988" w:name="TAB221"/>
      <w:bookmarkEnd w:id="988"/>
      <w:r>
        <w:rPr>
          <w:rFonts w:ascii="Times New Roman" w:hAnsi="Times New Roman"/>
          <w:b/>
          <w:color w:val="000000"/>
          <w:spacing w:val="60"/>
          <w:sz w:val="20"/>
        </w:rPr>
        <w:t> </w:t>
      </w:r>
      <w:r>
        <w:rPr>
          <w:rFonts w:ascii="Times New Roman" w:hAnsi="Times New Roman"/>
          <w:b/>
          <w:sz w:val="20"/>
          <w:u w:val="single"/>
        </w:rPr>
        <w:t xml:space="preserve">SUPPLEMENTAL CASH FLOW INFORMATION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September 30, 2010, the prepaid portion of the fair value of shares issued pursuant to consulting services agreements was $nil (December 31, 2009 - $214,501).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nine months ended September 30, 2010, $100,000 of accounts payable was settled by the issuance of 750,000 share purchase warrants, exercisable at  $0.50 per share for a 5 year period (refer to Note 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nine months ended September 30, 2010, $90,412 of accounts payable was settled by the issuance of 361,647 restricted common shares at a deemed price of $0.25 per share (refer to Note 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a consulting arrangement entered into during the period, the Company issued 600,000 share purchase warrants with an exercise price of $0.50 per share and 600,000 share purchase warrants with an excerise price of $0.60 per share exercisable for a three year period (refer to Note 6).</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See Notes 5 and 8 for additional disclosure on non-cash transactions.</w:t>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7207"/>
        <w:gridCol w:w="131"/>
        <w:gridCol w:w="308"/>
        <w:gridCol w:w="894"/>
        <w:gridCol w:w="159"/>
        <w:gridCol w:w="159"/>
        <w:gridCol w:w="307"/>
        <w:gridCol w:w="894"/>
        <w:gridCol w:w="146"/>
      </w:tblGrid>
      <w:tr>
        <w:trPr/>
        <w:tc>
          <w:tcPr>
            <w:tcW w:w="7207" w:type="dxa"/>
            <w:tcBorders>
              <w:top w:val="single" w:sz="12" w:space="0" w:color="000000"/>
            </w:tcBorders>
            <w:shd w:fill="auto" w:val="clear"/>
            <w:vAlign w:val="bottom"/>
          </w:tcPr>
          <w:p>
            <w:pPr>
              <w:pStyle w:val="TableContents"/>
              <w:spacing w:before="0" w:after="283"/>
              <w:rPr/>
            </w:pPr>
            <w:r>
              <w:rPr/>
              <w:t> </w:t>
            </w:r>
          </w:p>
        </w:tc>
        <w:tc>
          <w:tcPr>
            <w:tcW w:w="131" w:type="dxa"/>
            <w:tcBorders>
              <w:top w:val="single" w:sz="12" w:space="0" w:color="000000"/>
            </w:tcBorders>
            <w:shd w:fill="auto" w:val="clear"/>
            <w:vAlign w:val="bottom"/>
          </w:tcPr>
          <w:p>
            <w:pPr>
              <w:pStyle w:val="TableContents"/>
              <w:spacing w:before="0" w:after="283"/>
              <w:rPr/>
            </w:pPr>
            <w:r>
              <w:rPr/>
              <w:t> </w:t>
            </w:r>
          </w:p>
        </w:tc>
        <w:tc>
          <w:tcPr>
            <w:tcW w:w="2721" w:type="dxa"/>
            <w:gridSpan w:val="6"/>
            <w:tcBorders>
              <w:top w:val="single" w:sz="12" w:space="0" w:color="000000"/>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Nine Months Ended September 30,</w:t>
            </w:r>
          </w:p>
        </w:tc>
        <w:tc>
          <w:tcPr>
            <w:tcW w:w="146" w:type="dxa"/>
            <w:tcBorders>
              <w:top w:val="single" w:sz="12" w:space="0" w:color="000000"/>
            </w:tcBorders>
            <w:shd w:fill="auto" w:val="clear"/>
            <w:vAlign w:val="bottom"/>
          </w:tcPr>
          <w:p>
            <w:pPr>
              <w:pStyle w:val="TableContents"/>
              <w:spacing w:before="0" w:after="283"/>
              <w:jc w:val="left"/>
              <w:rPr/>
            </w:pPr>
            <w:r>
              <w:rPr/>
              <w:t> </w:t>
            </w:r>
          </w:p>
        </w:tc>
      </w:tr>
      <w:tr>
        <w:trPr/>
        <w:tc>
          <w:tcPr>
            <w:tcW w:w="7207"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31" w:type="dxa"/>
            <w:tcBorders/>
            <w:shd w:fill="auto" w:val="clear"/>
            <w:tcMar>
              <w:top w:w="0" w:type="dxa"/>
            </w:tcMar>
            <w:vAlign w:val="bottom"/>
          </w:tcPr>
          <w:p>
            <w:pPr>
              <w:pStyle w:val="TableContents"/>
              <w:spacing w:before="0" w:after="283"/>
              <w:rPr/>
            </w:pPr>
            <w:r>
              <w:rPr/>
              <w:t> </w:t>
            </w:r>
          </w:p>
        </w:tc>
        <w:tc>
          <w:tcPr>
            <w:tcW w:w="120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59" w:type="dxa"/>
            <w:tcBorders/>
            <w:shd w:fill="auto" w:val="clear"/>
            <w:tcMar>
              <w:top w:w="0" w:type="dxa"/>
            </w:tcMar>
            <w:vAlign w:val="bottom"/>
          </w:tcPr>
          <w:p>
            <w:pPr>
              <w:pStyle w:val="TableContents"/>
              <w:spacing w:before="0" w:after="283"/>
              <w:jc w:val="left"/>
              <w:rPr/>
            </w:pPr>
            <w:r>
              <w:rPr/>
              <w:t> </w:t>
            </w:r>
          </w:p>
        </w:tc>
        <w:tc>
          <w:tcPr>
            <w:tcW w:w="159" w:type="dxa"/>
            <w:tcBorders/>
            <w:shd w:fill="auto" w:val="clear"/>
            <w:tcMar>
              <w:top w:w="0" w:type="dxa"/>
            </w:tcMar>
            <w:vAlign w:val="bottom"/>
          </w:tcPr>
          <w:p>
            <w:pPr>
              <w:pStyle w:val="TableContents"/>
              <w:spacing w:before="0" w:after="283"/>
              <w:rPr/>
            </w:pPr>
            <w:r>
              <w:rPr/>
              <w:t> </w:t>
            </w:r>
          </w:p>
        </w:tc>
        <w:tc>
          <w:tcPr>
            <w:tcW w:w="1201"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46" w:type="dxa"/>
            <w:tcBorders/>
            <w:shd w:fill="auto" w:val="clear"/>
            <w:tcMar>
              <w:top w:w="0" w:type="dxa"/>
            </w:tcMar>
            <w:vAlign w:val="bottom"/>
          </w:tcPr>
          <w:p>
            <w:pPr>
              <w:pStyle w:val="TableContents"/>
              <w:spacing w:before="0" w:after="283"/>
              <w:jc w:val="left"/>
              <w:rPr/>
            </w:pPr>
            <w:r>
              <w:rPr/>
              <w:t> </w:t>
            </w:r>
          </w:p>
        </w:tc>
      </w:tr>
      <w:tr>
        <w:trPr/>
        <w:tc>
          <w:tcPr>
            <w:tcW w:w="7207" w:type="dxa"/>
            <w:tcBorders/>
            <w:shd w:fill="auto" w:val="clear"/>
            <w:tcMar>
              <w:top w:w="0" w:type="dxa"/>
            </w:tcMar>
            <w:vAlign w:val="bottom"/>
          </w:tcPr>
          <w:p>
            <w:pPr>
              <w:pStyle w:val="TableContents"/>
              <w:spacing w:before="0" w:after="283"/>
              <w:rPr/>
            </w:pPr>
            <w:r>
              <w:rPr/>
              <w:t xml:space="preserve">  </w:t>
            </w:r>
          </w:p>
        </w:tc>
        <w:tc>
          <w:tcPr>
            <w:tcW w:w="131" w:type="dxa"/>
            <w:tcBorders/>
            <w:shd w:fill="auto" w:val="clear"/>
            <w:tcMar>
              <w:top w:w="0" w:type="dxa"/>
            </w:tcMar>
            <w:vAlign w:val="bottom"/>
          </w:tcPr>
          <w:p>
            <w:pPr>
              <w:pStyle w:val="TableContents"/>
              <w:spacing w:before="0" w:after="283"/>
              <w:rPr/>
            </w:pPr>
            <w:r>
              <w:rPr/>
              <w:t> </w:t>
            </w:r>
          </w:p>
        </w:tc>
        <w:tc>
          <w:tcPr>
            <w:tcW w:w="1202" w:type="dxa"/>
            <w:gridSpan w:val="2"/>
            <w:tcBorders/>
            <w:shd w:fill="auto" w:val="clear"/>
            <w:tcMar>
              <w:top w:w="0" w:type="dxa"/>
            </w:tcMar>
            <w:vAlign w:val="bottom"/>
          </w:tcPr>
          <w:p>
            <w:pPr>
              <w:pStyle w:val="TableContents"/>
              <w:spacing w:before="0" w:after="283"/>
              <w:rPr/>
            </w:pPr>
            <w:r>
              <w:rPr/>
              <w:t> </w:t>
            </w:r>
          </w:p>
        </w:tc>
        <w:tc>
          <w:tcPr>
            <w:tcW w:w="159" w:type="dxa"/>
            <w:tcBorders/>
            <w:shd w:fill="auto" w:val="clear"/>
            <w:tcMar>
              <w:top w:w="0" w:type="dxa"/>
            </w:tcMar>
            <w:vAlign w:val="bottom"/>
          </w:tcPr>
          <w:p>
            <w:pPr>
              <w:pStyle w:val="TableContents"/>
              <w:spacing w:before="0" w:after="283"/>
              <w:jc w:val="left"/>
              <w:rPr/>
            </w:pPr>
            <w:r>
              <w:rPr/>
              <w:t> </w:t>
            </w:r>
          </w:p>
        </w:tc>
        <w:tc>
          <w:tcPr>
            <w:tcW w:w="159"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46" w:type="dxa"/>
            <w:tcBorders/>
            <w:shd w:fill="auto" w:val="clear"/>
            <w:tcMar>
              <w:top w:w="0" w:type="dxa"/>
            </w:tcMar>
            <w:vAlign w:val="bottom"/>
          </w:tcPr>
          <w:p>
            <w:pPr>
              <w:pStyle w:val="TableContents"/>
              <w:spacing w:before="0" w:after="283"/>
              <w:jc w:val="left"/>
              <w:rPr/>
            </w:pPr>
            <w:r>
              <w:rPr/>
              <w:t> </w:t>
            </w:r>
          </w:p>
        </w:tc>
      </w:tr>
      <w:tr>
        <w:trPr/>
        <w:tc>
          <w:tcPr>
            <w:tcW w:w="72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paid</w:t>
            </w:r>
          </w:p>
        </w:tc>
        <w:tc>
          <w:tcPr>
            <w:tcW w:w="131" w:type="dxa"/>
            <w:tcBorders/>
            <w:shd w:fill="auto" w:val="clear"/>
            <w:tcMar>
              <w:top w:w="0" w:type="dxa"/>
            </w:tcMar>
            <w:vAlign w:val="bottom"/>
          </w:tcPr>
          <w:p>
            <w:pPr>
              <w:pStyle w:val="TableContents"/>
              <w:spacing w:before="0" w:after="283"/>
              <w:jc w:val="right"/>
              <w:rPr/>
            </w:pPr>
            <w:r>
              <w:rPr/>
              <w:t> </w:t>
            </w:r>
          </w:p>
        </w:tc>
        <w:tc>
          <w:tcPr>
            <w:tcW w:w="308"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9" w:type="dxa"/>
            <w:tcBorders/>
            <w:shd w:fill="auto" w:val="clear"/>
            <w:tcMar>
              <w:top w:w="0" w:type="dxa"/>
            </w:tcMar>
            <w:vAlign w:val="bottom"/>
          </w:tcPr>
          <w:p>
            <w:pPr>
              <w:pStyle w:val="TableContents"/>
              <w:spacing w:before="0" w:after="283"/>
              <w:jc w:val="left"/>
              <w:rPr/>
            </w:pPr>
            <w:r>
              <w:rPr/>
              <w:t> </w:t>
            </w:r>
          </w:p>
        </w:tc>
        <w:tc>
          <w:tcPr>
            <w:tcW w:w="159" w:type="dxa"/>
            <w:tcBorders/>
            <w:shd w:fill="auto" w:val="clear"/>
            <w:tcMar>
              <w:top w:w="0" w:type="dxa"/>
            </w:tcMar>
            <w:vAlign w:val="bottom"/>
          </w:tcPr>
          <w:p>
            <w:pPr>
              <w:pStyle w:val="TableContents"/>
              <w:spacing w:before="0" w:after="283"/>
              <w:jc w:val="right"/>
              <w:rPr/>
            </w:pPr>
            <w:r>
              <w:rPr/>
              <w:t> </w:t>
            </w:r>
          </w:p>
        </w:tc>
        <w:tc>
          <w:tcPr>
            <w:tcW w:w="30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6" w:type="dxa"/>
            <w:tcBorders/>
            <w:shd w:fill="auto" w:val="clear"/>
            <w:tcMar>
              <w:top w:w="0" w:type="dxa"/>
            </w:tcMar>
            <w:vAlign w:val="bottom"/>
          </w:tcPr>
          <w:p>
            <w:pPr>
              <w:pStyle w:val="TableContents"/>
              <w:spacing w:before="0" w:after="283"/>
              <w:jc w:val="left"/>
              <w:rPr/>
            </w:pPr>
            <w:r>
              <w:rPr/>
              <w:t> </w:t>
            </w:r>
          </w:p>
        </w:tc>
      </w:tr>
      <w:tr>
        <w:trPr/>
        <w:tc>
          <w:tcPr>
            <w:tcW w:w="7207"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 paid</w:t>
            </w:r>
          </w:p>
        </w:tc>
        <w:tc>
          <w:tcPr>
            <w:tcW w:w="131" w:type="dxa"/>
            <w:tcBorders/>
            <w:shd w:fill="auto" w:val="clear"/>
            <w:tcMar>
              <w:top w:w="0" w:type="dxa"/>
            </w:tcMar>
            <w:vAlign w:val="bottom"/>
          </w:tcPr>
          <w:p>
            <w:pPr>
              <w:pStyle w:val="TableContents"/>
              <w:spacing w:before="0" w:after="283"/>
              <w:jc w:val="right"/>
              <w:rPr/>
            </w:pPr>
            <w:r>
              <w:rPr/>
              <w:t> </w:t>
            </w:r>
          </w:p>
        </w:tc>
        <w:tc>
          <w:tcPr>
            <w:tcW w:w="308"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4"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9" w:type="dxa"/>
            <w:tcBorders/>
            <w:shd w:fill="auto" w:val="clear"/>
            <w:tcMar>
              <w:top w:w="0" w:type="dxa"/>
            </w:tcMar>
            <w:vAlign w:val="bottom"/>
          </w:tcPr>
          <w:p>
            <w:pPr>
              <w:pStyle w:val="TableContents"/>
              <w:spacing w:before="0" w:after="283"/>
              <w:jc w:val="left"/>
              <w:rPr/>
            </w:pPr>
            <w:r>
              <w:rPr/>
              <w:t> </w:t>
            </w:r>
          </w:p>
        </w:tc>
        <w:tc>
          <w:tcPr>
            <w:tcW w:w="159" w:type="dxa"/>
            <w:tcBorders/>
            <w:shd w:fill="auto" w:val="clear"/>
            <w:tcMar>
              <w:top w:w="0" w:type="dxa"/>
            </w:tcMar>
            <w:vAlign w:val="bottom"/>
          </w:tcPr>
          <w:p>
            <w:pPr>
              <w:pStyle w:val="TableContents"/>
              <w:spacing w:before="0" w:after="283"/>
              <w:jc w:val="right"/>
              <w:rPr/>
            </w:pPr>
            <w:r>
              <w:rPr/>
              <w:t> </w:t>
            </w:r>
          </w:p>
        </w:tc>
        <w:tc>
          <w:tcPr>
            <w:tcW w:w="307"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4"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6"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NOTE 9:</w:t>
      </w:r>
      <w:bookmarkStart w:id="989" w:name="TAB222"/>
      <w:bookmarkEnd w:id="989"/>
      <w:r>
        <w:rPr>
          <w:rFonts w:ascii="Times New Roman" w:hAnsi="Times New Roman"/>
          <w:b/>
          <w:color w:val="000000"/>
          <w:spacing w:val="60"/>
          <w:sz w:val="20"/>
        </w:rPr>
        <w:t> </w:t>
      </w:r>
      <w:r>
        <w:rPr>
          <w:rFonts w:ascii="Times New Roman" w:hAnsi="Times New Roman"/>
          <w:b/>
          <w:sz w:val="20"/>
          <w:u w:val="single"/>
        </w:rPr>
        <w:t>CONTINGENCY AND COMMITMENTS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Contingency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filed income tax returns for several years in certain operating jurisdictions, and may be subject to possible compliance penalties and interest. Management is currently not able to make a reliably measurable provision for possible liability for penalties and interest, if any, at this time. The Company may be liable for such amounts upon assessment. Penalties and interest, if assessed in the future, will be recorded in the period such amounts are determinable.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Commitment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10, 2009, the Company entered into a twelve month public relations retainer agreement. Pursuant to the terms of the agreement, the Company agreed to: (i) pay a monthly fee of $6,500 through November 30, 2010, (ii) issue 200,000 share purchase warrants to acquire an equivalent number of common shares of the Company, at an exercise price of $0.50 per share and for an exercise period of up to five years from the issuance date (issued), and (iii) issue 200,000 share purchase warrants to acquire an equivalent number of common shares of the Company, at an exercise price of $0.60 per share for an exercise period of up to five years from the issuance date (issued). The fair value of these warrants was determined to be $204,000 using the Black-Scholes option pricing model.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90" w:name="PGBRK86"/>
      <w:bookmarkStart w:id="991" w:name="PGBRK86"/>
      <w:bookmarkEnd w:id="9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2" w:name="FTR86"/>
      <w:bookmarkStart w:id="993" w:name="FTR86"/>
      <w:bookmarkEnd w:id="9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94" w:name="GLFTR86"/>
      <w:bookmarkEnd w:id="9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95" w:name="PN85"/>
      <w:bookmarkEnd w:id="995"/>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6" w:name="HDR85"/>
      <w:bookmarkStart w:id="997" w:name="HDR85"/>
      <w:bookmarkEnd w:id="9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98" w:name="GLHDR85"/>
      <w:bookmarkEnd w:id="9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Under a resolution dated September 7, 2010, the Company had agreed to compensate a director for their services by the payment of a $50,000 bonus from a future financing.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Combined Research and Operating Obligations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May 25, 2010, the Company entered into a research and license option agreement with Mayo Clinic for the development and possible commercial use of a breast cancer vaccine. Subject to the approval and guidance of the United States Food and Drug Administration (“FDA”) Mayo Clinic plans to conduct a Phase I human clinical trial (“Phase I Trial”) to test and develop the technology. As part of the consideration for the Option granted herein, the Company agrees that it shall, during the period of the option and upon approval of FDA to conduct the above mentioned Phase I Trial, pay all the costs incurred by Mayo and invoiced to the Company, but not to exceed a total of $841,000, as sponsored research funding for Mayo Clinic to conduct such Phase I Trial. Mayo Clinic shall apply for the necessary approvals with the FDA to conduct such Phase I Trial and promptly inform the Company of the receipt of such approval. Both Parties agree that within 30 days after Mayo Clinic informs the Company in writing about the receipt of FDA approval to initiate the Phase I Trial, parties shall enter into a investigator initiated research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has obligations under various agreements through December 31, 2013. The aggregate minimum annual payments for the years ending December 31 are as follows:</w:t>
      </w:r>
    </w:p>
    <w:p>
      <w:pPr>
        <w:pStyle w:val="TextBody"/>
        <w:spacing w:before="0" w:after="0"/>
        <w:ind w:left="0" w:right="0" w:hanging="0"/>
        <w:jc w:val="both"/>
        <w:rPr/>
      </w:pPr>
      <w:r>
        <w:rPr/>
        <w:t> </w:t>
      </w:r>
    </w:p>
    <w:tbl>
      <w:tblPr>
        <w:tblW w:w="1500" w:type="pct"/>
        <w:jc w:val="left"/>
        <w:tblInd w:w="0" w:type="dxa"/>
        <w:tblCellMar>
          <w:top w:w="0" w:type="dxa"/>
          <w:left w:w="0" w:type="dxa"/>
          <w:bottom w:w="0" w:type="dxa"/>
          <w:right w:w="0" w:type="dxa"/>
        </w:tblCellMar>
      </w:tblPr>
      <w:tblGrid>
        <w:gridCol w:w="1604"/>
        <w:gridCol w:w="113"/>
        <w:gridCol w:w="128"/>
        <w:gridCol w:w="1095"/>
        <w:gridCol w:w="121"/>
      </w:tblGrid>
      <w:tr>
        <w:trPr/>
        <w:tc>
          <w:tcPr>
            <w:tcW w:w="160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2010</w:t>
            </w:r>
          </w:p>
        </w:tc>
        <w:tc>
          <w:tcPr>
            <w:tcW w:w="113"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125,622</w:t>
            </w:r>
          </w:p>
        </w:tc>
        <w:tc>
          <w:tcPr>
            <w:tcW w:w="121" w:type="dxa"/>
            <w:tcBorders/>
            <w:shd w:fill="auto" w:val="clear"/>
            <w:vAlign w:val="bottom"/>
          </w:tcPr>
          <w:p>
            <w:pPr>
              <w:pStyle w:val="TableContents"/>
              <w:spacing w:before="0" w:after="283"/>
              <w:jc w:val="left"/>
              <w:rPr/>
            </w:pPr>
            <w:r>
              <w:rPr/>
              <w:t> </w:t>
            </w:r>
          </w:p>
        </w:tc>
      </w:tr>
      <w:tr>
        <w:trPr/>
        <w:tc>
          <w:tcPr>
            <w:tcW w:w="160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2011</w:t>
            </w:r>
          </w:p>
        </w:tc>
        <w:tc>
          <w:tcPr>
            <w:tcW w:w="113"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0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513,825</w:t>
            </w:r>
          </w:p>
        </w:tc>
        <w:tc>
          <w:tcPr>
            <w:tcW w:w="121" w:type="dxa"/>
            <w:tcBorders/>
            <w:shd w:fill="auto" w:val="clear"/>
            <w:vAlign w:val="bottom"/>
          </w:tcPr>
          <w:p>
            <w:pPr>
              <w:pStyle w:val="TableContents"/>
              <w:spacing w:before="0" w:after="283"/>
              <w:jc w:val="left"/>
              <w:rPr/>
            </w:pPr>
            <w:r>
              <w:rPr/>
              <w:t> </w:t>
            </w:r>
          </w:p>
        </w:tc>
      </w:tr>
      <w:tr>
        <w:trPr/>
        <w:tc>
          <w:tcPr>
            <w:tcW w:w="160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2012</w:t>
            </w:r>
          </w:p>
        </w:tc>
        <w:tc>
          <w:tcPr>
            <w:tcW w:w="113" w:type="dxa"/>
            <w:tcBorders/>
            <w:shd w:fill="auto" w:val="clear"/>
            <w:vAlign w:val="bottom"/>
          </w:tcPr>
          <w:p>
            <w:pPr>
              <w:pStyle w:val="TableContents"/>
              <w:spacing w:before="0" w:after="283"/>
              <w:jc w:val="left"/>
              <w:rPr/>
            </w:pPr>
            <w:r>
              <w:rPr/>
              <w:t> </w:t>
            </w:r>
          </w:p>
        </w:tc>
        <w:tc>
          <w:tcPr>
            <w:tcW w:w="128" w:type="dxa"/>
            <w:tcBorders/>
            <w:shd w:fill="auto" w:val="clear"/>
            <w:vAlign w:val="bottom"/>
          </w:tcPr>
          <w:p>
            <w:pPr>
              <w:pStyle w:val="TableContents"/>
              <w:spacing w:before="0" w:after="283"/>
              <w:jc w:val="left"/>
              <w:rPr/>
            </w:pPr>
            <w:r>
              <w:rPr/>
              <w:t> </w:t>
            </w:r>
          </w:p>
        </w:tc>
        <w:tc>
          <w:tcPr>
            <w:tcW w:w="10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445,500</w:t>
            </w:r>
          </w:p>
        </w:tc>
        <w:tc>
          <w:tcPr>
            <w:tcW w:w="121" w:type="dxa"/>
            <w:tcBorders/>
            <w:shd w:fill="auto" w:val="clear"/>
            <w:vAlign w:val="bottom"/>
          </w:tcPr>
          <w:p>
            <w:pPr>
              <w:pStyle w:val="TableContents"/>
              <w:spacing w:before="0" w:after="283"/>
              <w:jc w:val="left"/>
              <w:rPr/>
            </w:pPr>
            <w:r>
              <w:rPr/>
              <w:t> </w:t>
            </w:r>
          </w:p>
        </w:tc>
      </w:tr>
      <w:tr>
        <w:trPr/>
        <w:tc>
          <w:tcPr>
            <w:tcW w:w="1604"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2013</w:t>
            </w:r>
          </w:p>
        </w:tc>
        <w:tc>
          <w:tcPr>
            <w:tcW w:w="113" w:type="dxa"/>
            <w:tcBorders/>
            <w:shd w:fill="auto" w:val="clear"/>
            <w:vAlign w:val="bottom"/>
          </w:tcPr>
          <w:p>
            <w:pPr>
              <w:pStyle w:val="TableContents"/>
              <w:spacing w:before="0" w:after="283"/>
              <w:jc w:val="lef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95"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21" w:type="dxa"/>
            <w:tcBorders/>
            <w:shd w:fill="auto" w:val="clear"/>
            <w:vAlign w:val="bottom"/>
          </w:tcPr>
          <w:p>
            <w:pPr>
              <w:pStyle w:val="TableContents"/>
              <w:spacing w:before="0" w:after="283"/>
              <w:jc w:val="left"/>
              <w:rPr/>
            </w:pPr>
            <w:r>
              <w:rPr/>
              <w:t> </w:t>
            </w:r>
          </w:p>
        </w:tc>
      </w:tr>
      <w:tr>
        <w:trPr/>
        <w:tc>
          <w:tcPr>
            <w:tcW w:w="160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jc w:val="lef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bottom w:val="single" w:sz="12"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1,109,947</w:t>
            </w:r>
          </w:p>
        </w:tc>
        <w:tc>
          <w:tcPr>
            <w:tcW w:w="121" w:type="dxa"/>
            <w:tcBorders/>
            <w:shd w:fill="auto" w:val="clear"/>
            <w:vAlign w:val="bottom"/>
          </w:tcPr>
          <w:p>
            <w:pPr>
              <w:pStyle w:val="TableContents"/>
              <w:spacing w:before="0" w:after="283"/>
              <w:jc w:val="left"/>
              <w:rPr/>
            </w:pPr>
            <w:r>
              <w:rPr/>
              <w:t> </w:t>
            </w:r>
          </w:p>
        </w:tc>
      </w:tr>
    </w:tbl>
    <w:p>
      <w:pPr>
        <w:pStyle w:val="TextBody"/>
        <w:spacing w:before="0" w:after="0"/>
        <w:rPr/>
      </w:pPr>
      <w:r>
        <w:rPr/>
        <w:br/>
      </w:r>
      <w:r>
        <w:rPr>
          <w:rFonts w:ascii="Times New Roman" w:hAnsi="Times New Roman"/>
          <w:b/>
          <w:sz w:val="20"/>
          <w:u w:val="single"/>
        </w:rPr>
        <w:t>NOTE 10:</w:t>
      </w:r>
      <w:bookmarkStart w:id="999" w:name="TAB223"/>
      <w:bookmarkEnd w:id="999"/>
      <w:r>
        <w:rPr>
          <w:rFonts w:ascii="Times New Roman" w:hAnsi="Times New Roman"/>
          <w:b/>
          <w:color w:val="000000"/>
          <w:spacing w:val="60"/>
          <w:sz w:val="20"/>
        </w:rPr>
        <w:t> </w:t>
      </w:r>
      <w:r>
        <w:rPr>
          <w:rFonts w:ascii="Times New Roman" w:hAnsi="Times New Roman"/>
          <w:b/>
          <w:sz w:val="20"/>
          <w:u w:val="single"/>
        </w:rPr>
        <w:t>SUBSEQUENT EVENTS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Management is negotiating with potential investors and the note holders to ensure that additional financing is made available and that we do not default on the secured convertible notes.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00" w:name="PGBRK87"/>
      <w:bookmarkStart w:id="1001" w:name="PGBRK87"/>
      <w:bookmarkEnd w:id="10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2" w:name="FTR87"/>
      <w:bookmarkStart w:id="1003" w:name="FTR87"/>
      <w:bookmarkEnd w:id="10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04" w:name="GLFTR87"/>
      <w:bookmarkEnd w:id="10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05" w:name="PN86"/>
      <w:bookmarkEnd w:id="1005"/>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6" w:name="HDR86"/>
      <w:bookmarkStart w:id="1007" w:name="HDR86"/>
      <w:bookmarkEnd w:id="10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08" w:name="GLHDR86"/>
      <w:bookmarkEnd w:id="10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2.</w:t>
      </w:r>
      <w:r>
        <w:rPr>
          <w:rFonts w:ascii="Times New Roman" w:hAnsi="Times New Roman"/>
          <w:b/>
          <w:sz w:val="20"/>
        </w:rPr>
        <w:t>                 </w:t>
      </w:r>
      <w:r>
        <w:rPr>
          <w:rFonts w:ascii="Times New Roman" w:hAnsi="Times New Roman"/>
          <w:b/>
          <w:sz w:val="20"/>
          <w:u w:val="single"/>
        </w:rPr>
        <w:t>Management’s Discussion and Analysis of Financial Condition and 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The following should be read in conjunction with our unaudited consolidated interim financial statements and related notes for the three and nine months ended September 30, 2010 included in this quarterly report, as well as our Annual Report on Form 10-K for the year ended December 31, 2009 and other filings that we have made with the SEC.</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Overview</w:t>
      </w:r>
    </w:p>
    <w:p>
      <w:pPr>
        <w:pStyle w:val="TextBody"/>
        <w:spacing w:before="0" w:after="0"/>
        <w:ind w:left="0" w:right="0" w:hanging="0"/>
        <w:jc w:val="both"/>
        <w:rPr>
          <w:rFonts w:ascii="Times New Roman" w:hAnsi="Times New Roman"/>
          <w:sz w:val="20"/>
        </w:rPr>
      </w:pPr>
      <w:r>
        <w:rPr>
          <w:rFonts w:ascii="Times New Roman" w:hAnsi="Times New Roman"/>
          <w:sz w:val="20"/>
        </w:rPr>
        <w:t>We are a biotechnology company whose strategic vision is to develop and market products specializing in the application of discoveries in cellular and molecular immunology and cancer biology to the development of proprietary therapeutics aimed at the treatment and eradication of cancer and prevention of infectious diseases. Our core technologies are based on an understanding of the function of a protein pump known as “TAP”, which is located within cells and which is essential to the processing of foreign (microbial) or autologous antigens, and subsequent presentation to the immune system for eradication of the cancer or infected cell. In addition, through strategic partnerships, we plan to license additional technologies that are synergistic to TAP. We currently have none of our product candidates on the market and are focusing on the development and testing of our product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The Immunotherapy Industry for Cancer</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there is a critical need for more effective cancer therapies. Management further believes that the global market for effective cancer treatments is large, and that immunotherapies representing potential treatments for metastatic cancer are an unmet need in the area of oncology.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By restoring TAP expression to TAP-deficient cells, the MHC Class I protein peptide complexes could signal the immune system to attack the cancer. The strategic vision of TapImmune is to be a product-driven biotechnology company, focusing primarily on use of its patented TAP technology to restore the TAP function within cancerous cells, thus making them immunogenic, or more “visible” to cancer fighting immune cells. Management believes that this cancer vaccine strategy will provide the most viable therapeutic approach that addresses this problem of “non-immunogenicity” of cancer. Management believes that this therapy may have a strong competitive advantage over other cancer therapies, since restoring the TAP protein will direct the immune system to specifically target the cancerous cells without damaging healthy tissue.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a key part of its overall strategy, and with adequate funding, the company is pursuing the development of prophylactic vaccines against infectious microbes and will also do so in partnership with other vaccine developers. The company intends to develop the TAP technology for use as a vaccine that restores normal immune recognition for the treatment of cancer and supplements immune recognition for the development of prophylactic vaccines.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TapImmune’s Target Market Strategy</w:t>
      </w:r>
    </w:p>
    <w:p>
      <w:pPr>
        <w:pStyle w:val="TextBody"/>
        <w:spacing w:before="0" w:after="0"/>
        <w:ind w:left="0" w:right="0" w:hanging="0"/>
        <w:jc w:val="both"/>
        <w:rPr>
          <w:rFonts w:ascii="Times New Roman" w:hAnsi="Times New Roman"/>
          <w:sz w:val="20"/>
        </w:rPr>
      </w:pPr>
      <w:r>
        <w:rPr>
          <w:rFonts w:ascii="Times New Roman" w:hAnsi="Times New Roman"/>
          <w:sz w:val="20"/>
        </w:rPr>
        <w:t>With the required funding in place, we will support and expand on our key infectious disease partnerships, including Aeras TB Foundation and the Mayo Clinic. We will also continue product development in oncology either alone as  well as with strategic partners including the Mayo Clinic where we expect to have a Phase 1 Breast Cancer clinical trial initiated in early 2011. Cancer encompasses a large number of diseases that affect many different parts of the human body.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Research &amp; Markets (Global Vaccine Market Outlook 2007 – 2010) estimated that the market for cancer vaccines could reach approximately $6 billion in 2010. IMS has estimated that the cancer market will mushroom from $48 billion to $75 billion in 2012 with biopharma companies anticipating that cancer vaccines will grab a large slice of the market (Fierch Biotech, March 23, 2010). The goal of TapImmune management is to have the FDA approve our cancer vaccines within the next few years so that we can secure a portion of this market.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also believes that our prophylactic vaccine adjuvant will improve the creation of new vaccines and enhance the efficacy of current vaccines. It will be a key business development strategy to pursue additional partnerships and joint research and development ventures with vaccine manufacturers and pharmaceutical companies to bring new and improved vaccines to market.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 Efforts</w:t>
      </w:r>
    </w:p>
    <w:p>
      <w:pPr>
        <w:pStyle w:val="TextBody"/>
        <w:spacing w:before="0" w:after="0"/>
        <w:ind w:left="0" w:right="0" w:hanging="0"/>
        <w:jc w:val="both"/>
        <w:rPr>
          <w:rFonts w:ascii="Times New Roman" w:hAnsi="Times New Roman"/>
          <w:sz w:val="20"/>
        </w:rPr>
      </w:pPr>
      <w:r>
        <w:rPr>
          <w:rFonts w:ascii="Times New Roman" w:hAnsi="Times New Roman"/>
          <w:sz w:val="20"/>
        </w:rPr>
        <w:t>We direct our research and development efforts towards the development of immunotherapeutic and prophylactic vaccine products for the treatment of cancer and protection against pathogenic microbes respectively, using our proprietary TAP technology. We have focused our efforts initially on the development of a therapeutic vaccine for applications in cancer treatment while demonstrating the breadth of the TAP technology for the development of prophylactic vaccines and its ability to complement currently approved and emerging products in both cancer therapeutics and prophylactic vaccines against microbes. This approach allows us to pursue our own internal product development while positioning us to enter into multiple partnerships and licensing agreements. Our first generation TAP vaccines that have been used in animal preclinical studies are based on insertion of TAP genes into a proprietary modified adeno virus vector. For clinical studies, we plan to have this product manufactured using the PerC6 cell line licensed from Crucell Holland B.V. (“Crucell”). We have an opportunity to take advantage of our potential partners’ capabilities while reducing our overhead costs. Our relationship with the University of British Columbia (“UBC”) allowed us to conduct contract research and development by employing highly skilled scientists at UBC. The research and development team performed the basic research on the biological function of TAP and related licensed technology as well as preclinical animal studies in cancer and infectious diseases. Moving into the development phase, we plan to initiate a contract with a qualified CRO (contract research organization) for the production of clinical grade vaccine product to be used in preclinical and clinical studies that require production facilities with Good Manufacturing Practices (“GMP”) and Good Laboratory Practices (“GLP”) certification. We will also plan to rely on our new partnerships with Aeras and Mayo Clinic to demonstrate the use of TAP in a new TB and smallpox vaccine candidates as well as new HER2/neu breast cancer vaccine. We also intend to develop second generation vaccines using TAP-encoding DNA plasmids.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09" w:name="PGBRK88"/>
      <w:bookmarkStart w:id="1010" w:name="PGBRK88"/>
      <w:bookmarkEnd w:id="10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1" w:name="FTR88"/>
      <w:bookmarkStart w:id="1012" w:name="FTR88"/>
      <w:bookmarkEnd w:id="10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13" w:name="GLFTR88"/>
      <w:bookmarkEnd w:id="10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14" w:name="PN87"/>
      <w:bookmarkEnd w:id="1014"/>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5" w:name="HDR87"/>
      <w:bookmarkStart w:id="1016" w:name="HDR87"/>
      <w:bookmarkEnd w:id="10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17" w:name="GLHDR87"/>
      <w:bookmarkEnd w:id="10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Products and Technology in Development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TAP Cancer Vaccine</w:t>
      </w:r>
    </w:p>
    <w:p>
      <w:pPr>
        <w:pStyle w:val="TextBody"/>
        <w:spacing w:before="0" w:after="0"/>
        <w:ind w:left="0" w:right="0" w:hanging="0"/>
        <w:jc w:val="both"/>
        <w:rPr>
          <w:rFonts w:ascii="Times New Roman" w:hAnsi="Times New Roman"/>
          <w:sz w:val="20"/>
        </w:rPr>
      </w:pPr>
      <w:r>
        <w:rPr>
          <w:rFonts w:ascii="Times New Roman" w:hAnsi="Times New Roman"/>
          <w:sz w:val="20"/>
        </w:rPr>
        <w:t>We previously developed our TAP Cancer Vaccine at the UBC Biomedical Research Centre under an agreement we refer to in this report as our “Collaborative Research Agreement”. This therapeutic cancer vaccine candidate, to be tested in preclinical toxicology studies, will, if successfully developed, include the patented use of the TAP-1 gene to restore the TAP protein, with the objective being to develop the TAP technology as a therapeutic cancer vaccine that will restore the normal immune recognition of cancer cells. The TAP Cancer Vaccine will be targeted at those cancers that are deficient in the TAP protein, which include breast cancer, prostate cancer, lung cancer, liver cancer, melanoma, renal cancer and colorectal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TAP Cancer Vaccine will deliver the genetic information required for the production of the TAP protein in the target cancer cell. This will trigger the cancer cell’s ability to effectively identify itself to the body’s immune system by transporting the cancer antigen peptides to the cell surface using the individual’s specific MHC Class I proteins. As a result, we believe that the immune response could be targeted to the entire repertoire of cancer antigen peptides produced by the cancer cell, rather than just to a single cancer antigen, as delivered by current cancer vaccines. The TAP Cancer Vaccine could allow the immune response to respond to the cancer even if the TAP protein and genetic information were only delivered to a small portion of the cancer cells. In addition, the TAP Cancer Vaccine would generate an immune response to any TAP-deficient cancer, regardless of the patient’s individual genetic variability either in the MHC Class I proteins or in the cancer-specific proteins and resultant peptides.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general, a “cancer vaccine” is a therapy whose goal is to stimulate the immune system to attack tumors. Management believes that most current cancer vaccines contain either cancer-specific proteins that directly activate the immune system or contain genetic information, such as DNA, that encodes these cancer-specific proteins. Management believes that there are a number of key conditions that must be met before a cancer vaccine can be effective in generating a therapeutic immune response: (i) the cancer antigen peptide delivered by the vaccine has to be recognized by the immune system as “abnormal” or “foreign” in order to generate a strong and specific T-cell response; (ii) the same cancer antigen peptide has to be displayed on the surface of the cancer cells in association with the MHC Class I proteins; and (iii) these cancer antigen peptides then have to be sufficiently different from normal proteins in order to generate a strong anti-tumor response.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these conditions are all met, then management believes that such cancer vaccines should generate a sufficiently strong immune response to kill the cancer cells. However, the identification of suitable cancer-specific antigen proteins to use in these therapeutic vaccines has proven extremely complex. In addition, the MHC Class I proteins are highly variable, with over 100 different types in humans and, as a result, any one-cancer antigen peptide will not produce an immune response for all individuals. Cancers are “genetically unstable” and their proteins are highly variable, so that the selected cancer antigen protein may result in the immune system only attacking a small subset of the cancerous cells.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Laboratory Testing of the TAP Cancer Vaccine</w:t>
      </w:r>
    </w:p>
    <w:p>
      <w:pPr>
        <w:pStyle w:val="TextBody"/>
        <w:spacing w:before="0" w:after="0"/>
        <w:ind w:left="0" w:right="0" w:hanging="0"/>
        <w:jc w:val="both"/>
        <w:rPr>
          <w:rFonts w:ascii="Times New Roman" w:hAnsi="Times New Roman"/>
          <w:sz w:val="20"/>
        </w:rPr>
      </w:pPr>
      <w:r>
        <w:rPr>
          <w:rFonts w:ascii="Times New Roman" w:hAnsi="Times New Roman"/>
          <w:sz w:val="20"/>
        </w:rPr>
        <w:t>We have completed small animal pre-clinical animal testing of our TAP Cancer Vaccine to the extent that is required as a prerequisite for further preclinical toxicology analysis and Investigational New Drug (or “IND”) application to the FDA. The pre-clinical testing of the TAP Cancer Vaccine to date included the evaluation of several strains of vaccinia and adenovirus vectors to assess their respective ability to deliver the correct genetic information allowing expression of the TAP protein in tumors, the selection and licensing of the vector from Crucell and the identification and entering into an agreement, that we refer to in this report as our “Production Services Agreement”, with a CRO, a GMP manufacturer, for subsequent production of the TAP Cancer Vaccine. We have to complete the performance of toxicology studies using the TAP Cancer Vaccine on at least two animal species to confirm its non-toxicity. In addition, we must complete initial vaccine production, and develop internal and external clinical trials, support personnel and infrastructure before commencing 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Once the formal pre-clinical testing is completed, we intend to compile and summarize the data and submit it to the United States Federal Drug Administration (or “FDA”) and/or the Canadian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clinical trials, described below.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18" w:name="PGBRK89"/>
      <w:bookmarkStart w:id="1019" w:name="PGBRK89"/>
      <w:bookmarkEnd w:id="10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0" w:name="FTR89"/>
      <w:bookmarkStart w:id="1021" w:name="FTR89"/>
      <w:bookmarkEnd w:id="10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22" w:name="GLFTR89"/>
      <w:bookmarkEnd w:id="10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23" w:name="PN88"/>
      <w:bookmarkEnd w:id="1023"/>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4" w:name="HDR88"/>
      <w:bookmarkStart w:id="1025" w:name="HDR88"/>
      <w:bookmarkEnd w:id="10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26" w:name="GLHDR88"/>
      <w:bookmarkEnd w:id="10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Phase I Human Clinical Trials</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subject to the completion of remaining pre-clinical work and financing, estimated at approximately $5,000,000, the Phase I human clinical trials could commence in 2011 depending on how quickly funding or an appropriate partnership is in place. The Phase I human clinical trials will be designed to provide data on the safety of the TAP Cancer Vaccine when used alone or as a component of a cancer vaccine in humans. If the latter strategy is employed the clinical trial design and specific cancer indication will be dependent upon the collaboration.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Clinical trials to support new drug applications are typically conducted in three sequential phases, although the phases may overlap. During Phase I there is an initial introduction of the therapeutic candidate into healthy human subjects or patients. The drug is tested to assess metabolism, pharmacokinetics and pharmacological actions and safety, including side effects associated with increasing doses. Phase II usually involves studies in a limited patient population to assess the clinical activity of the drug in specific targeted indications, assess dosage tolerance and optimal dosage and continue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HER2/neu Vaccine Technology – Mayo Clinic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1, 2010, we signed an exclusive licensing option agreement with the Mayo Clinic, Rochester MN for clinical development of a new HER2/neu breast cancer vaccine technology. Under the principle investigator Dr Keith Knutson, an IND application followed by Phase 1 clinical studies could begin as early Q1 2011.</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Infectious Disease Application for “TAP” Adjuvant</w:t>
      </w:r>
    </w:p>
    <w:p>
      <w:pPr>
        <w:pStyle w:val="TextBody"/>
        <w:spacing w:before="0" w:after="0"/>
        <w:ind w:left="0" w:right="0" w:hanging="0"/>
        <w:jc w:val="both"/>
        <w:rPr>
          <w:rFonts w:ascii="Times New Roman" w:hAnsi="Times New Roman"/>
          <w:sz w:val="20"/>
        </w:rPr>
      </w:pPr>
      <w:r>
        <w:rPr>
          <w:rFonts w:ascii="Times New Roman" w:hAnsi="Times New Roman"/>
          <w:sz w:val="20"/>
        </w:rPr>
        <w:t>TapImmune plans to develop or license out our technology for the creation of enhanced viral vaccines, such as for smallpox and others, based on our findings that TAP can augment immune responses. We have presented data showing that increasing TAP expression in TAP-competent antigen presenting cells (APCs) and/or virus infected cells increases the antigenic peptide associated with MHC class I expression on the cell surface, and leads to increased specific T cell-mediated immune responses. We believe this technology can add great value to the creation of new vaccines and enhance those that already exist. Our collaboration with Aeras TB Foundation and Mayo Clinic is evidence of this, and we will continue to pursue additional partnerships and collaborations as a key strategy to expand our R&amp;D program to optimize resources and to reduce costs and development times.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Strategic Relationships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Crucell Holland B.V. Research License and Option Agreement</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2003, we entered into a five-year research license and option agreement with Crucell Holland B.V. (“Crucell”), whereby Crucell granted us a non-exclusive worldwide license for the research use of its packaging cell (PerC6) technology. We were required to make certain payments over the five-year term totaling Euro €450,000 (approximately $510,100). The license was dormant with an outstanding balance owing of 170,000 Euro ($248,938) that was included in research obligations. Management completed a settlement for the remaining balance including a €17,000 cash payment and the issuance of 265,000 shares of the Company’s restricted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2008, we negotiated an amended license agreement for the use of Crucell’s adenovirus technology. We are required to make annual license payments on the anniversary of the effective date for the three year term equal to €75,000 per annum. As at September 30, 2010, we have accrued $119,080 (€87,500) under the amended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National Institute of Allergy and Infectious Diseases</w:t>
      </w:r>
    </w:p>
    <w:p>
      <w:pPr>
        <w:pStyle w:val="TextBody"/>
        <w:spacing w:before="0" w:after="0"/>
        <w:ind w:left="0" w:right="0" w:hanging="0"/>
        <w:jc w:val="both"/>
        <w:rPr>
          <w:rFonts w:ascii="Times New Roman" w:hAnsi="Times New Roman"/>
          <w:sz w:val="20"/>
        </w:rPr>
      </w:pPr>
      <w:r>
        <w:rPr>
          <w:rFonts w:ascii="Times New Roman" w:hAnsi="Times New Roman"/>
          <w:sz w:val="20"/>
        </w:rPr>
        <w:t>We signed a License Agreement with the National Institute of Health (USA) for the use of the Modified Vaccinia Ankora (MVA) virus for the development of vaccines. We will continue to license this technology for the development of prophylactic vaccines against infectious diseases. Under the terms of this agreement, we are required to pay a royalty of $2,500 per year. This license is expected to be renegotiated pending adequate funding.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27" w:name="PGBRK90"/>
      <w:bookmarkStart w:id="1028" w:name="PGBRK90"/>
      <w:bookmarkEnd w:id="10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9" w:name="FTR90"/>
      <w:bookmarkStart w:id="1030" w:name="FTR90"/>
      <w:bookmarkEnd w:id="10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31" w:name="GLFTR90"/>
      <w:bookmarkEnd w:id="10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32" w:name="PN89"/>
      <w:bookmarkEnd w:id="1032"/>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3" w:name="HDR89"/>
      <w:bookmarkStart w:id="1034" w:name="HDR89"/>
      <w:bookmarkEnd w:id="10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35" w:name="GLHDR89"/>
      <w:bookmarkEnd w:id="10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Aeras Global TB Foundation</w:t>
      </w:r>
    </w:p>
    <w:p>
      <w:pPr>
        <w:pStyle w:val="TextBody"/>
        <w:spacing w:before="0" w:after="0"/>
        <w:ind w:left="0" w:right="0" w:hanging="0"/>
        <w:jc w:val="both"/>
        <w:rPr>
          <w:rFonts w:ascii="Times New Roman" w:hAnsi="Times New Roman"/>
          <w:sz w:val="20"/>
        </w:rPr>
      </w:pPr>
      <w:r>
        <w:rPr>
          <w:rFonts w:ascii="Times New Roman" w:hAnsi="Times New Roman"/>
          <w:sz w:val="20"/>
        </w:rPr>
        <w:t>On February 1, 2010, we announced our collaboration intent with Aeras Global TB Foundation. Aeras, one of the foremost non-profit organizations is developing new approaches for tuberculosis (“TB”) vaccines, which is dedicated to the development of effective TB vaccine regimens that will prevent tuberculosis in all age groups and will be affordable, available and adopted worldwide</w:t>
      </w:r>
      <w:r>
        <w:rPr>
          <w:rFonts w:ascii="Times New Roman" w:hAnsi="Times New Roman"/>
          <w:b/>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Mayo Clinic HER2/neo Breat Cancer Vaccine</w:t>
      </w:r>
    </w:p>
    <w:p>
      <w:pPr>
        <w:pStyle w:val="TextBody"/>
        <w:spacing w:before="0" w:after="0"/>
        <w:ind w:left="0" w:right="0" w:hanging="0"/>
        <w:jc w:val="both"/>
        <w:rPr>
          <w:rFonts w:ascii="Times New Roman" w:hAnsi="Times New Roman"/>
          <w:sz w:val="20"/>
        </w:rPr>
      </w:pPr>
      <w:r>
        <w:rPr>
          <w:rFonts w:ascii="Times New Roman" w:hAnsi="Times New Roman"/>
          <w:sz w:val="20"/>
        </w:rPr>
        <w:t>In June 2010, TapImmune signed an exclusive Licensing Option agreement with the Mayo Clinic in Rochester, Minnesota, for the clinical development of a vaccine technology to treat breast cancer. The technology targets a novel set of antigens on the human epidermal growth factor receptor 2 (HER-2/neu) receptor that were identified in breast cancer patients with pre-existent immunity. It has a number of potential advantages for the development of a breast cancer vaccine that may use both MHC class I and class II pathways to address a broad patient population (Source: Clinical Cancer Research 16[3]:825-34, 2010). The technology may also elicit a longer immune response versus traditional immunotherapies.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option to license this technology can be exercised after Phase I clinical trials under terms agreed between Mayo Clinic and TapImmune. Upon obtaining IND approval, TapImmune and the Mayo Clinic will likely execute a Sponsored Research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Mayo Clinic  Smallpox Vaccine</w:t>
      </w:r>
    </w:p>
    <w:p>
      <w:pPr>
        <w:pStyle w:val="TextBody"/>
        <w:spacing w:before="0" w:after="0"/>
        <w:ind w:left="0" w:right="0" w:hanging="0"/>
        <w:jc w:val="both"/>
        <w:rPr>
          <w:rFonts w:ascii="Times New Roman" w:hAnsi="Times New Roman"/>
          <w:sz w:val="20"/>
        </w:rPr>
      </w:pPr>
      <w:r>
        <w:rPr>
          <w:rFonts w:ascii="Times New Roman" w:hAnsi="Times New Roman"/>
          <w:sz w:val="20"/>
        </w:rPr>
        <w:t>On August 4th 2010, we announced a Research and Technology License Option Agreement with Mayo Clinic, Rochester, MN, for the development of a smallpox vaccine. The research will be conducted by Gregory Poland M.D. at Mayo Clinic, to evaluate novel peptide antigens together with TapImmune’s proprietary TAP technology. TapImmune also has an exclusive Option to the smallpox vaccine technology after research studies are completed under the terms of the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collaborator on the new smallpox vaccine, Dr Gregory Poland, is a world-renowned expert on the development of vaccines for infectious disease and leads the Translational Immunovirology and Biodefense Program at the Mayo Clinic. It is the broad goal of TapImmune to determine whether TAP can be a platform technology for improving the efficacy of vaccines designed to combat additional viral threats in the biodefense field.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preclinical studies our TAP technology improved the efficacy of a vaccinia (Pox) virus vaccine by over a 100 fold.</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Other Technology</w:t>
      </w:r>
    </w:p>
    <w:p>
      <w:pPr>
        <w:pStyle w:val="TextBody"/>
        <w:spacing w:before="0" w:after="0"/>
        <w:ind w:left="0" w:right="0" w:hanging="0"/>
        <w:jc w:val="both"/>
        <w:rPr>
          <w:rFonts w:ascii="Times New Roman" w:hAnsi="Times New Roman"/>
          <w:sz w:val="20"/>
        </w:rPr>
      </w:pPr>
      <w:r>
        <w:rPr>
          <w:rFonts w:ascii="Times New Roman" w:hAnsi="Times New Roman"/>
          <w:sz w:val="20"/>
        </w:rPr>
        <w:t>On February 16, 2004, we added to our technology portfolio by expanding the License Agreement (now assigned under the purchase agreement) with UBC to include a technological method that identifies agonists or antagonists antigen presentation to the immune system by normal and cancerous cells. Management believes that this technology can be used to screen and select new drugs that regulate immune responses.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Intellectual Property, Patents and Trademarks</w:t>
      </w:r>
    </w:p>
    <w:p>
      <w:pPr>
        <w:pStyle w:val="TextBody"/>
        <w:spacing w:before="0" w:after="0"/>
        <w:ind w:left="0" w:right="0" w:hanging="0"/>
        <w:jc w:val="both"/>
        <w:rPr>
          <w:rFonts w:ascii="Times New Roman" w:hAnsi="Times New Roman"/>
          <w:sz w:val="20"/>
        </w:rPr>
      </w:pPr>
      <w:r>
        <w:rPr>
          <w:rFonts w:ascii="Times New Roman" w:hAnsi="Times New Roman"/>
          <w:sz w:val="20"/>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36" w:name="PGBRK91"/>
      <w:bookmarkStart w:id="1037" w:name="PGBRK91"/>
      <w:bookmarkEnd w:id="10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8" w:name="FTR91"/>
      <w:bookmarkStart w:id="1039" w:name="FTR91"/>
      <w:bookmarkEnd w:id="10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40" w:name="GLFTR91"/>
      <w:bookmarkEnd w:id="10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41" w:name="PN90"/>
      <w:bookmarkEnd w:id="1041"/>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2" w:name="HDR90"/>
      <w:bookmarkStart w:id="1043" w:name="HDR90"/>
      <w:bookmarkEnd w:id="10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44" w:name="GLHDR90"/>
      <w:bookmarkEnd w:id="10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acquisition agreement with UBC, we acquired the portfolio of intellectual property as follows: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Enhancing Expression of MHC Class I Molecules Bearing Endogenous Peptides</w:t>
      </w:r>
    </w:p>
    <w:p>
      <w:pPr>
        <w:pStyle w:val="TextBody"/>
        <w:spacing w:before="0" w:after="0"/>
        <w:ind w:left="0" w:right="0" w:hanging="0"/>
        <w:jc w:val="both"/>
        <w:rPr>
          <w:rFonts w:ascii="Times New Roman" w:hAnsi="Times New Roman"/>
          <w:sz w:val="20"/>
        </w:rPr>
      </w:pPr>
      <w:r>
        <w:rPr>
          <w:rFonts w:ascii="Times New Roman" w:hAnsi="Times New Roman"/>
          <w:sz w:val="20"/>
        </w:rPr>
        <w:t>On March 26, 2002, the United States Patent and Trademark Office issued US Patent No. 6,361,770 to UBC for the use of TAP-1 as an immunotherapy against all cancers. The patent is titled “Method of Enhancing Expression of MHC Class I Molecules Bearing Endogenous Peptides” and provides comprehensive protection and coverage to both in vivo and ex vivo applications of TAP-1 as a therapeutic against all cancers with a variety of delivery mechanisms. The inventors were Dr. Jefferies, Dr. Reinhard Gabathuler, Dr. Gerassinmoes Kolaitis and Dr. Gregor S.D. Reid, who collectively assigned the patent to UBC under an assignment agreement. The patent expires March 23, 2014. We have pending applications for patent protection for this patent in Europe and in Japan.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Enhancing an Immune Response</w:t>
      </w:r>
    </w:p>
    <w:p>
      <w:pPr>
        <w:pStyle w:val="TextBody"/>
        <w:spacing w:before="0" w:after="0"/>
        <w:ind w:left="0" w:right="0" w:hanging="0"/>
        <w:jc w:val="both"/>
        <w:rPr>
          <w:rFonts w:ascii="Times New Roman" w:hAnsi="Times New Roman"/>
          <w:sz w:val="20"/>
        </w:rPr>
      </w:pPr>
      <w:r>
        <w:rPr>
          <w:rFonts w:ascii="Times New Roman" w:hAnsi="Times New Roman"/>
          <w:sz w:val="20"/>
        </w:rPr>
        <w:t>U.S. patent No. 7,378,087, issued May 27 2008. The patent claims relate to methods for enhancing the immune response to tumor cells by introducing the TAP molecule into the infected cells. Patent applications are pending on other aspects of the company’s technology. The inventors were Jefferies, Wilfred A.; Zhang, Qian-Jin; Chen, Susan Shu-Ping; Alimonti, Judie B., who collectively assigned the patent to UBC under an assignment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Method of Identifying MHC Class I Restricted Antigens Endogenously Processed by a Secretory Pathway</w:t>
      </w:r>
    </w:p>
    <w:p>
      <w:pPr>
        <w:pStyle w:val="TextBody"/>
        <w:spacing w:before="0" w:after="0"/>
        <w:ind w:left="0" w:right="0" w:hanging="0"/>
        <w:jc w:val="both"/>
        <w:rPr>
          <w:rFonts w:ascii="Times New Roman" w:hAnsi="Times New Roman"/>
          <w:sz w:val="20"/>
        </w:rPr>
      </w:pPr>
      <w:r>
        <w:rPr>
          <w:rFonts w:ascii="Times New Roman" w:hAnsi="Times New Roman"/>
          <w:sz w:val="20"/>
        </w:rPr>
        <w:t>On August 11, 1998, the U.S. Patent and Trademark Office issued US Patent No. 5,792,604 to UBC, being a patent for the use of bioengineered cell lines to measure the output of the MHC Class I restricted antigen presentation pathway as a way to screen for immunomodulating drugs. The patent is titled “Method of Identifying MHC Class I Restricted Antigens Endogenously Processed by a Secretory Pathway.”  This patent covers the assay which can identify compounds capable of modulating the immune system. The inventors were Dr. Jefferies, Dr. Gabathuler, Dr. Kolaitis and Dr. Reid, who collectively assigned the patent to UBC under an assignment agreement. The patent expires on March 12, 2016. We have been granted patent protection for this patent in Finland, France, Germany, Italy, Sweden Switzerland and the United Kingdom, and have applied for patent protection in Canada and Japan.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TAP Vaccines and other filings</w:t>
      </w:r>
    </w:p>
    <w:p>
      <w:pPr>
        <w:pStyle w:val="TextBody"/>
        <w:spacing w:before="0" w:after="0"/>
        <w:ind w:left="0" w:right="0" w:hanging="0"/>
        <w:jc w:val="both"/>
        <w:rPr>
          <w:rFonts w:ascii="Times New Roman" w:hAnsi="Times New Roman"/>
          <w:sz w:val="20"/>
        </w:rPr>
      </w:pPr>
      <w:r>
        <w:rPr>
          <w:rFonts w:ascii="Times New Roman" w:hAnsi="Times New Roman"/>
          <w:sz w:val="20"/>
        </w:rPr>
        <w:t>Patent applications have been filed by TapImmune and UBC in respect of our technologies and those currently under assignment. In December 2006, January, November, and December 2007 we made additional filings as continuations or new filings with regard to the same technologies as well as their applications in infectious diseases. We intend to continue to work with UBC to file additional patent applications with respect to any novel aspects of our technology to further protect our intellectual property portfolio. As disclosed in previous filings, additional patents have been acquired under the execution of the option agreement. An invention that describes the use of bio-acceptable substances to promote the transcription of the TAP-1 gene in TAP-1 expression-deficient cells was filed in July 2009. The patent is entitled “HAT acetylation promoters and uses of compositions thereof in promoting immunogenicity”.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Plan of Operation and Funding</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as a result of a significant debt settlement and restructuring in July 2009, we are well positioned and have a balance sheet that has been restructured to make it possible to go to the equity market to raise the estimated $5,000,000 necessary over the next two years for expenses associated with the balance of pre-clinical development and completion of toxicology trials for the TAP Cancer Vaccine and prophylactic vaccine development and for various operating expenses.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2008 and 2009 were very challenging years in the capital markets. We have been able to secure over $2,000,000 enabling us to complete our restructure, ensure our important patent work continued along and pursue our business development initiatives. These initiatives resulted in a collaboration agreement with Aeras Global Tuberculosis Foundation, a new license agreement with Crucell Holland and two development  and license partnership with the Mayo Clinic, (Rochester MN) giving us the opportunity to advance multiple product candidates to the market.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extremely pleased that these world class institutions and leading individuals recently added to our board and advisory board  have identified the uniqueness and the potential of our technology platform and the opportunities we are pursuing.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45" w:name="PGBRK92"/>
      <w:bookmarkStart w:id="1046" w:name="PGBRK92"/>
      <w:bookmarkEnd w:id="10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7" w:name="FTR92"/>
      <w:bookmarkStart w:id="1048" w:name="FTR92"/>
      <w:bookmarkEnd w:id="10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49" w:name="GLFTR92"/>
      <w:bookmarkEnd w:id="10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50" w:name="PN91"/>
      <w:bookmarkEnd w:id="1050"/>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1" w:name="HDR91"/>
      <w:bookmarkStart w:id="1052" w:name="HDR91"/>
      <w:bookmarkEnd w:id="10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53" w:name="GLHDR91"/>
      <w:bookmarkEnd w:id="10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not generated any cash flows from operations to fund our operations and activities due primarily to the nature of lengthy product development cycles that are normal to the biotech industry. Therefore, we must raise additional funds in the future to continue operations. We intend to finance our operating expenses with further issuances of common stock and/or debt. Although we do not currently have funds to continue operations for more than four months, we believe that future investment, if successful, should be adequate to fund our operations over the next 24 months. Thereafter, we expect we will need to raise additional capital to meet long-term operating requirements. Our future success and viability are dependent on our ability to raise additional capital through further private offerings of our stock or loans from private investors. Additional financing may not be available upon acceptable terms, or at all. If adequate funds are not available or not available on acceptable terms, we may not be able to conduct our proposed business operations successfully, which could significantly and materially restrict or delay our overall business operations.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this discussion of the Company’s results of operations and financial condition, amounts, other than per-share amounts, have been rounded to the nearest thousand dollars.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this Amendment No. 1, we have restated the amounts in our three months and six months results of operations and financial condition, where applicable.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20"/>
        </w:rPr>
      </w:pPr>
      <w:r>
        <w:rPr>
          <w:rFonts w:ascii="Times New Roman" w:hAnsi="Times New Roman"/>
          <w:b/>
          <w:i/>
          <w:sz w:val="20"/>
        </w:rPr>
        <w:t>Three Months Ended September 30, 2010 Compared to Three Months Ended September 30, 2009</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a development stage company. We recorded a net loss of $1,014,000 during the three months ended September 30, 2010 compared to net loss of $791,000 for the three months ended September 30, 2009.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Operating costs increased to $1,234,000 during the three months ended September 30, 2010 compared to $748,000 in the prior period. Significant changes in operating expenses are outlined as follows:</w:t>
      </w:r>
    </w:p>
    <w:p>
      <w:pPr>
        <w:pStyle w:val="Normal"/>
        <w:spacing w:before="0" w:after="0"/>
        <w:rPr>
          <w:sz w:val="4"/>
          <w:szCs w:val="4"/>
        </w:rPr>
      </w:pPr>
      <w:r>
        <w:rPr>
          <w:sz w:val="4"/>
          <w:szCs w:val="4"/>
        </w:rPr>
      </w:r>
      <w:bookmarkStart w:id="1054" w:name="hangingindent89"/>
      <w:bookmarkStart w:id="1055" w:name="hangingindent89"/>
      <w:bookmarkEnd w:id="1055"/>
    </w:p>
    <w:tbl>
      <w:tblPr>
        <w:tblW w:w="5000" w:type="pct"/>
        <w:jc w:val="center"/>
        <w:tblInd w:w="0" w:type="dxa"/>
        <w:tblCellMar>
          <w:top w:w="0" w:type="dxa"/>
          <w:left w:w="0" w:type="dxa"/>
          <w:bottom w:w="0" w:type="dxa"/>
          <w:right w:w="0" w:type="dxa"/>
        </w:tblCellMar>
      </w:tblPr>
      <w:tblGrid>
        <w:gridCol w:w="86"/>
        <w:gridCol w:w="95"/>
        <w:gridCol w:w="10024"/>
      </w:tblGrid>
      <w:tr>
        <w:trPr/>
        <w:tc>
          <w:tcPr>
            <w:tcW w:w="86"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decrerased to $28,000 during the three months ended September 30, 2010 compared to $87,000 during the prior period, due primarily to business development services relating to debt restructuring that were in place during the prior period.</w:t>
            </w:r>
          </w:p>
        </w:tc>
      </w:tr>
    </w:tbl>
    <w:p>
      <w:pPr>
        <w:pStyle w:val="Normal"/>
        <w:spacing w:before="0" w:after="0"/>
        <w:rPr>
          <w:sz w:val="4"/>
          <w:szCs w:val="4"/>
        </w:rPr>
      </w:pPr>
      <w:r>
        <w:rPr>
          <w:sz w:val="4"/>
          <w:szCs w:val="4"/>
        </w:rPr>
      </w:r>
      <w:bookmarkStart w:id="1056" w:name="hangingindent90"/>
      <w:bookmarkStart w:id="1057" w:name="hangingindent90"/>
      <w:bookmarkEnd w:id="1057"/>
    </w:p>
    <w:tbl>
      <w:tblPr>
        <w:tblW w:w="5000" w:type="pct"/>
        <w:jc w:val="center"/>
        <w:tblInd w:w="0" w:type="dxa"/>
        <w:tblCellMar>
          <w:top w:w="0" w:type="dxa"/>
          <w:left w:w="0" w:type="dxa"/>
          <w:bottom w:w="0" w:type="dxa"/>
          <w:right w:w="0" w:type="dxa"/>
        </w:tblCellMar>
      </w:tblPr>
      <w:tblGrid>
        <w:gridCol w:w="85"/>
        <w:gridCol w:w="95"/>
        <w:gridCol w:w="10025"/>
      </w:tblGrid>
      <w:tr>
        <w:trPr/>
        <w:tc>
          <w:tcPr>
            <w:tcW w:w="85"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compensation – stock-based increased to $70,000 during the three months ended September 30, 2010 from $28,000 during the prior period. The current period expense consists of the fair value of option, stock and warrant grants earned during the period.</w:t>
            </w:r>
          </w:p>
        </w:tc>
      </w:tr>
    </w:tbl>
    <w:p>
      <w:pPr>
        <w:pStyle w:val="Normal"/>
        <w:spacing w:before="0" w:after="0"/>
        <w:rPr>
          <w:sz w:val="4"/>
          <w:szCs w:val="4"/>
        </w:rPr>
      </w:pPr>
      <w:r>
        <w:rPr>
          <w:sz w:val="4"/>
          <w:szCs w:val="4"/>
        </w:rPr>
      </w:r>
      <w:bookmarkStart w:id="1058" w:name="hangingindent91"/>
      <w:bookmarkStart w:id="1059" w:name="hangingindent91"/>
      <w:bookmarkEnd w:id="1059"/>
    </w:p>
    <w:tbl>
      <w:tblPr>
        <w:tblW w:w="5000" w:type="pct"/>
        <w:jc w:val="center"/>
        <w:tblInd w:w="0" w:type="dxa"/>
        <w:tblCellMar>
          <w:top w:w="0" w:type="dxa"/>
          <w:left w:w="0" w:type="dxa"/>
          <w:bottom w:w="0" w:type="dxa"/>
          <w:right w:w="0" w:type="dxa"/>
        </w:tblCellMar>
      </w:tblPr>
      <w:tblGrid>
        <w:gridCol w:w="86"/>
        <w:gridCol w:w="95"/>
        <w:gridCol w:w="10024"/>
      </w:tblGrid>
      <w:tr>
        <w:trPr/>
        <w:tc>
          <w:tcPr>
            <w:tcW w:w="86"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General and administrative expenses increased to $33,000 in the three months ended September 30, 2010 from $13,000 in the prior period, with the increase resulting primarily from a higher investor relations and travel related activities in the current period.</w:t>
            </w:r>
          </w:p>
        </w:tc>
      </w:tr>
    </w:tbl>
    <w:p>
      <w:pPr>
        <w:pStyle w:val="Normal"/>
        <w:spacing w:before="0" w:after="0"/>
        <w:rPr>
          <w:sz w:val="4"/>
          <w:szCs w:val="4"/>
        </w:rPr>
      </w:pPr>
      <w:r>
        <w:rPr>
          <w:sz w:val="4"/>
          <w:szCs w:val="4"/>
        </w:rPr>
      </w:r>
      <w:bookmarkStart w:id="1060" w:name="hangingindent92"/>
      <w:bookmarkStart w:id="1061" w:name="hangingindent92"/>
      <w:bookmarkEnd w:id="1061"/>
    </w:p>
    <w:tbl>
      <w:tblPr>
        <w:tblW w:w="5000" w:type="pct"/>
        <w:jc w:val="center"/>
        <w:tblInd w:w="0" w:type="dxa"/>
        <w:tblCellMar>
          <w:top w:w="0" w:type="dxa"/>
          <w:left w:w="0" w:type="dxa"/>
          <w:bottom w:w="0" w:type="dxa"/>
          <w:right w:w="0" w:type="dxa"/>
        </w:tblCellMar>
      </w:tblPr>
      <w:tblGrid>
        <w:gridCol w:w="81"/>
        <w:gridCol w:w="95"/>
        <w:gridCol w:w="10029"/>
      </w:tblGrid>
      <w:tr>
        <w:trPr/>
        <w:tc>
          <w:tcPr>
            <w:tcW w:w="81"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Interest and finance charges increased to $459,000 during the three months ended September 30, 2010 from $320,000 during the prior period. Current and prior period interest charges are primarily accretion of interest and the fair value of warrants issued with convertible debentures and promissory notes, respectively.</w:t>
            </w:r>
          </w:p>
        </w:tc>
      </w:tr>
    </w:tbl>
    <w:p>
      <w:pPr>
        <w:pStyle w:val="Normal"/>
        <w:spacing w:before="0" w:after="0"/>
        <w:rPr>
          <w:sz w:val="4"/>
          <w:szCs w:val="4"/>
        </w:rPr>
      </w:pPr>
      <w:r>
        <w:rPr>
          <w:sz w:val="4"/>
          <w:szCs w:val="4"/>
        </w:rPr>
      </w:r>
      <w:bookmarkStart w:id="1062" w:name="hangingindent93"/>
      <w:bookmarkStart w:id="1063" w:name="hangingindent93"/>
      <w:bookmarkEnd w:id="1063"/>
    </w:p>
    <w:tbl>
      <w:tblPr>
        <w:tblW w:w="5000" w:type="pct"/>
        <w:jc w:val="center"/>
        <w:tblInd w:w="0" w:type="dxa"/>
        <w:tblCellMar>
          <w:top w:w="0" w:type="dxa"/>
          <w:left w:w="0" w:type="dxa"/>
          <w:bottom w:w="0" w:type="dxa"/>
          <w:right w:w="0" w:type="dxa"/>
        </w:tblCellMar>
      </w:tblPr>
      <w:tblGrid>
        <w:gridCol w:w="78"/>
        <w:gridCol w:w="95"/>
        <w:gridCol w:w="10032"/>
      </w:tblGrid>
      <w:tr>
        <w:trPr/>
        <w:tc>
          <w:tcPr>
            <w:tcW w:w="78"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decreased to $54,000 during the three months ended September 30, 2010 from $63,000 during the prior period. Our Board of Directors and management were reorganized during the prior year, and as of June 1, 2009, a portion of the fees paid or accrued to our Chief Executive Officer have been allocated to research and development.</w:t>
            </w:r>
          </w:p>
        </w:tc>
      </w:tr>
    </w:tbl>
    <w:p>
      <w:pPr>
        <w:pStyle w:val="Normal"/>
        <w:spacing w:before="0" w:after="0"/>
        <w:rPr>
          <w:sz w:val="4"/>
          <w:szCs w:val="4"/>
        </w:rPr>
      </w:pPr>
      <w:r>
        <w:rPr>
          <w:sz w:val="4"/>
          <w:szCs w:val="4"/>
        </w:rPr>
      </w:r>
      <w:bookmarkStart w:id="1064" w:name="hangingindent94"/>
      <w:bookmarkStart w:id="1065" w:name="hangingindent94"/>
      <w:bookmarkEnd w:id="1065"/>
    </w:p>
    <w:tbl>
      <w:tblPr>
        <w:tblW w:w="5000" w:type="pct"/>
        <w:jc w:val="center"/>
        <w:tblInd w:w="0" w:type="dxa"/>
        <w:tblCellMar>
          <w:top w:w="0" w:type="dxa"/>
          <w:left w:w="0" w:type="dxa"/>
          <w:bottom w:w="0" w:type="dxa"/>
          <w:right w:w="0" w:type="dxa"/>
        </w:tblCellMar>
      </w:tblPr>
      <w:tblGrid>
        <w:gridCol w:w="87"/>
        <w:gridCol w:w="95"/>
        <w:gridCol w:w="10023"/>
      </w:tblGrid>
      <w:tr>
        <w:trPr/>
        <w:tc>
          <w:tcPr>
            <w:tcW w:w="87"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compensation – stock-based increased to $326,000 during the three months ended September 30, 2010 from $nil during the prior period. The current period expense consists of the fair value of option grants earned during the period.</w:t>
            </w:r>
          </w:p>
        </w:tc>
      </w:tr>
    </w:tbl>
    <w:p>
      <w:pPr>
        <w:pStyle w:val="Normal"/>
        <w:spacing w:before="0" w:after="0"/>
        <w:rPr>
          <w:sz w:val="4"/>
          <w:szCs w:val="4"/>
        </w:rPr>
      </w:pPr>
      <w:r>
        <w:rPr>
          <w:sz w:val="4"/>
          <w:szCs w:val="4"/>
        </w:rPr>
      </w:r>
      <w:bookmarkStart w:id="1066" w:name="hangingindent95"/>
      <w:bookmarkStart w:id="1067" w:name="hangingindent95"/>
      <w:bookmarkEnd w:id="1067"/>
    </w:p>
    <w:tbl>
      <w:tblPr>
        <w:tblW w:w="5000" w:type="pct"/>
        <w:jc w:val="center"/>
        <w:tblInd w:w="0" w:type="dxa"/>
        <w:tblCellMar>
          <w:top w:w="0" w:type="dxa"/>
          <w:left w:w="0" w:type="dxa"/>
          <w:bottom w:w="0" w:type="dxa"/>
          <w:right w:w="0" w:type="dxa"/>
        </w:tblCellMar>
      </w:tblPr>
      <w:tblGrid>
        <w:gridCol w:w="91"/>
        <w:gridCol w:w="95"/>
        <w:gridCol w:w="10019"/>
      </w:tblGrid>
      <w:tr>
        <w:trPr/>
        <w:tc>
          <w:tcPr>
            <w:tcW w:w="91"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1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Professional fees decreased to $171,000 during the three months ended September 30, 2010 from $213,000 during the prior period, due to significant activity relating to financing and debt restructuring in the prior period.</w:t>
            </w:r>
          </w:p>
        </w:tc>
      </w:tr>
    </w:tbl>
    <w:p>
      <w:pPr>
        <w:pStyle w:val="Normal"/>
        <w:spacing w:before="0" w:after="0"/>
        <w:rPr>
          <w:sz w:val="4"/>
          <w:szCs w:val="4"/>
        </w:rPr>
      </w:pPr>
      <w:r>
        <w:rPr>
          <w:sz w:val="4"/>
          <w:szCs w:val="4"/>
        </w:rPr>
      </w:r>
      <w:bookmarkStart w:id="1068" w:name="hangingindent96"/>
      <w:bookmarkStart w:id="1069" w:name="hangingindent96"/>
      <w:bookmarkEnd w:id="1069"/>
    </w:p>
    <w:tbl>
      <w:tblPr>
        <w:tblW w:w="5000" w:type="pct"/>
        <w:jc w:val="center"/>
        <w:tblInd w:w="0" w:type="dxa"/>
        <w:tblCellMar>
          <w:top w:w="0" w:type="dxa"/>
          <w:left w:w="0" w:type="dxa"/>
          <w:bottom w:w="0" w:type="dxa"/>
          <w:right w:w="0" w:type="dxa"/>
        </w:tblCellMar>
      </w:tblPr>
      <w:tblGrid>
        <w:gridCol w:w="72"/>
        <w:gridCol w:w="95"/>
        <w:gridCol w:w="10038"/>
      </w:tblGrid>
      <w:tr>
        <w:trPr/>
        <w:tc>
          <w:tcPr>
            <w:tcW w:w="72"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Research and development increased to $94,000 during the three months ended September 30, 2010 from $25,000 during the prior period. The increase in expense in the current period is due to an option fee payment for licensing technology made to Mayo Foundation for education. Also, our Board of Directors and management were reorganized during the year, and as of June 1, 2009, a portion of the fees paid or accrued to our Chief Executive Officer has been allocated to research and development.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70" w:name="PGBRK93"/>
      <w:bookmarkStart w:id="1071" w:name="PGBRK93"/>
      <w:bookmarkEnd w:id="10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2" w:name="FTR93"/>
      <w:bookmarkStart w:id="1073" w:name="FTR93"/>
      <w:bookmarkEnd w:id="10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74" w:name="GLFTR93"/>
      <w:bookmarkEnd w:id="10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75" w:name="PN92"/>
      <w:bookmarkEnd w:id="1075"/>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6" w:name="HDR92"/>
      <w:bookmarkStart w:id="1077" w:name="HDR92"/>
      <w:bookmarkEnd w:id="10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78" w:name="GLHDR92"/>
      <w:bookmarkEnd w:id="10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Nine Months Ended September 30, 2010 Compared to Nine Months Ended September 30, 2009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recorded a net loss of $3,988,000 during the nine months ended September 30, 2010 compared to a net loss of $14,265,000 for the nine months ended September 30, 2009.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Operating costs increased to $4,146,000 during the nine months ended September 30, 2010 compared to $1,689,000 in the prior period. Significant changes in operating expenses are outlined as follows:</w:t>
      </w:r>
    </w:p>
    <w:p>
      <w:pPr>
        <w:pStyle w:val="Normal"/>
        <w:spacing w:before="0" w:after="0"/>
        <w:rPr>
          <w:sz w:val="4"/>
          <w:szCs w:val="4"/>
        </w:rPr>
      </w:pPr>
      <w:r>
        <w:rPr>
          <w:sz w:val="4"/>
          <w:szCs w:val="4"/>
        </w:rPr>
      </w:r>
      <w:bookmarkStart w:id="1079" w:name="hangingindent97"/>
      <w:bookmarkStart w:id="1080" w:name="hangingindent97"/>
      <w:bookmarkEnd w:id="1080"/>
    </w:p>
    <w:tbl>
      <w:tblPr>
        <w:tblW w:w="5000" w:type="pct"/>
        <w:jc w:val="center"/>
        <w:tblInd w:w="0" w:type="dxa"/>
        <w:tblCellMar>
          <w:top w:w="0" w:type="dxa"/>
          <w:left w:w="0" w:type="dxa"/>
          <w:bottom w:w="0" w:type="dxa"/>
          <w:right w:w="0" w:type="dxa"/>
        </w:tblCellMar>
      </w:tblPr>
      <w:tblGrid>
        <w:gridCol w:w="87"/>
        <w:gridCol w:w="95"/>
        <w:gridCol w:w="10023"/>
      </w:tblGrid>
      <w:tr>
        <w:trPr/>
        <w:tc>
          <w:tcPr>
            <w:tcW w:w="87"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decreased to $67,000 during the nine months ended September 30, 2010 from $320,000 during the prior period, due primarily to business development services relating to debt restructuring that were in place during the prior period.</w:t>
            </w:r>
          </w:p>
        </w:tc>
      </w:tr>
    </w:tbl>
    <w:p>
      <w:pPr>
        <w:pStyle w:val="Normal"/>
        <w:spacing w:before="0" w:after="0"/>
        <w:rPr>
          <w:sz w:val="4"/>
          <w:szCs w:val="4"/>
        </w:rPr>
      </w:pPr>
      <w:r>
        <w:rPr>
          <w:sz w:val="4"/>
          <w:szCs w:val="4"/>
        </w:rPr>
      </w:r>
      <w:bookmarkStart w:id="1081" w:name="hangingindent98"/>
      <w:bookmarkStart w:id="1082" w:name="hangingindent98"/>
      <w:bookmarkEnd w:id="1082"/>
    </w:p>
    <w:tbl>
      <w:tblPr>
        <w:tblW w:w="5000" w:type="pct"/>
        <w:jc w:val="center"/>
        <w:tblInd w:w="0" w:type="dxa"/>
        <w:tblCellMar>
          <w:top w:w="0" w:type="dxa"/>
          <w:left w:w="0" w:type="dxa"/>
          <w:bottom w:w="0" w:type="dxa"/>
          <w:right w:w="0" w:type="dxa"/>
        </w:tblCellMar>
      </w:tblPr>
      <w:tblGrid>
        <w:gridCol w:w="84"/>
        <w:gridCol w:w="95"/>
        <w:gridCol w:w="10026"/>
      </w:tblGrid>
      <w:tr>
        <w:trPr/>
        <w:tc>
          <w:tcPr>
            <w:tcW w:w="84"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compensation – stock-based increased to $1,142,000 during the nine months ended September 30, 2010 from $27,500 during the prior period. The current period expense consists of the fair value of option, stock and warrant grants earned during the period.</w:t>
            </w:r>
          </w:p>
        </w:tc>
      </w:tr>
    </w:tbl>
    <w:p>
      <w:pPr>
        <w:pStyle w:val="Normal"/>
        <w:spacing w:before="0" w:after="0"/>
        <w:rPr>
          <w:sz w:val="4"/>
          <w:szCs w:val="4"/>
        </w:rPr>
      </w:pPr>
      <w:r>
        <w:rPr>
          <w:sz w:val="4"/>
          <w:szCs w:val="4"/>
        </w:rPr>
      </w:r>
      <w:bookmarkStart w:id="1083" w:name="hangingindent99"/>
      <w:bookmarkStart w:id="1084" w:name="hangingindent99"/>
      <w:bookmarkEnd w:id="1084"/>
    </w:p>
    <w:tbl>
      <w:tblPr>
        <w:tblW w:w="5000" w:type="pct"/>
        <w:jc w:val="center"/>
        <w:tblInd w:w="0" w:type="dxa"/>
        <w:tblCellMar>
          <w:top w:w="0" w:type="dxa"/>
          <w:left w:w="0" w:type="dxa"/>
          <w:bottom w:w="0" w:type="dxa"/>
          <w:right w:w="0" w:type="dxa"/>
        </w:tblCellMar>
      </w:tblPr>
      <w:tblGrid>
        <w:gridCol w:w="88"/>
        <w:gridCol w:w="95"/>
        <w:gridCol w:w="10022"/>
      </w:tblGrid>
      <w:tr>
        <w:trPr/>
        <w:tc>
          <w:tcPr>
            <w:tcW w:w="88"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General and administrative expenses increased to $143,000 in the nine months ended September 30, 2010 from $54,000 in the prior period, with the increase resulting primarily from a higher investor relations activities in the current period.</w:t>
            </w:r>
          </w:p>
        </w:tc>
      </w:tr>
    </w:tbl>
    <w:p>
      <w:pPr>
        <w:pStyle w:val="Normal"/>
        <w:spacing w:before="0" w:after="0"/>
        <w:rPr>
          <w:sz w:val="4"/>
          <w:szCs w:val="4"/>
        </w:rPr>
      </w:pPr>
      <w:r>
        <w:rPr>
          <w:sz w:val="4"/>
          <w:szCs w:val="4"/>
        </w:rPr>
      </w:r>
      <w:bookmarkStart w:id="1085" w:name="hangingindent100"/>
      <w:bookmarkStart w:id="1086" w:name="hangingindent100"/>
      <w:bookmarkEnd w:id="1086"/>
    </w:p>
    <w:tbl>
      <w:tblPr>
        <w:tblW w:w="5000" w:type="pct"/>
        <w:jc w:val="center"/>
        <w:tblInd w:w="0" w:type="dxa"/>
        <w:tblCellMar>
          <w:top w:w="0" w:type="dxa"/>
          <w:left w:w="0" w:type="dxa"/>
          <w:bottom w:w="0" w:type="dxa"/>
          <w:right w:w="0" w:type="dxa"/>
        </w:tblCellMar>
      </w:tblPr>
      <w:tblGrid>
        <w:gridCol w:w="81"/>
        <w:gridCol w:w="95"/>
        <w:gridCol w:w="10029"/>
      </w:tblGrid>
      <w:tr>
        <w:trPr/>
        <w:tc>
          <w:tcPr>
            <w:tcW w:w="81"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Interest and finance charges increased to $794,000 during the nine months ended September 30, 2010 from $577,000 during the prior period. Current and prior period interest charges are primarily accretion of interest and the fair value of warrants issued with convertible debentures and promissory notes, respectively.</w:t>
            </w:r>
          </w:p>
        </w:tc>
      </w:tr>
    </w:tbl>
    <w:p>
      <w:pPr>
        <w:pStyle w:val="Normal"/>
        <w:spacing w:before="0" w:after="0"/>
        <w:rPr>
          <w:sz w:val="4"/>
          <w:szCs w:val="4"/>
        </w:rPr>
      </w:pPr>
      <w:r>
        <w:rPr>
          <w:sz w:val="4"/>
          <w:szCs w:val="4"/>
        </w:rPr>
      </w:r>
      <w:bookmarkStart w:id="1087" w:name="hangingindent101"/>
      <w:bookmarkStart w:id="1088" w:name="hangingindent101"/>
      <w:bookmarkEnd w:id="1088"/>
    </w:p>
    <w:tbl>
      <w:tblPr>
        <w:tblW w:w="5000" w:type="pct"/>
        <w:jc w:val="center"/>
        <w:tblInd w:w="0" w:type="dxa"/>
        <w:tblCellMar>
          <w:top w:w="0" w:type="dxa"/>
          <w:left w:w="0" w:type="dxa"/>
          <w:bottom w:w="0" w:type="dxa"/>
          <w:right w:w="0" w:type="dxa"/>
        </w:tblCellMar>
      </w:tblPr>
      <w:tblGrid>
        <w:gridCol w:w="78"/>
        <w:gridCol w:w="95"/>
        <w:gridCol w:w="10032"/>
      </w:tblGrid>
      <w:tr>
        <w:trPr/>
        <w:tc>
          <w:tcPr>
            <w:tcW w:w="78"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increased slightly to $198,000 during the nine months ended September 30, 2010 from $191,000 during the prior period. Our Board of Directors and management were reorganized during the prior year, and as of June 1, 2009, a portion of the fees paid or accrued to our Chief Executive Officer have been allocated to research and development.</w:t>
            </w:r>
          </w:p>
        </w:tc>
      </w:tr>
    </w:tbl>
    <w:p>
      <w:pPr>
        <w:pStyle w:val="Normal"/>
        <w:spacing w:before="0" w:after="0"/>
        <w:rPr>
          <w:sz w:val="4"/>
          <w:szCs w:val="4"/>
        </w:rPr>
      </w:pPr>
      <w:r>
        <w:rPr>
          <w:sz w:val="4"/>
          <w:szCs w:val="4"/>
        </w:rPr>
      </w:r>
      <w:bookmarkStart w:id="1089" w:name="hangingindent102"/>
      <w:bookmarkStart w:id="1090" w:name="hangingindent102"/>
      <w:bookmarkEnd w:id="1090"/>
    </w:p>
    <w:tbl>
      <w:tblPr>
        <w:tblW w:w="5000" w:type="pct"/>
        <w:jc w:val="center"/>
        <w:tblInd w:w="0" w:type="dxa"/>
        <w:tblCellMar>
          <w:top w:w="0" w:type="dxa"/>
          <w:left w:w="0" w:type="dxa"/>
          <w:bottom w:w="0" w:type="dxa"/>
          <w:right w:w="0" w:type="dxa"/>
        </w:tblCellMar>
      </w:tblPr>
      <w:tblGrid>
        <w:gridCol w:w="85"/>
        <w:gridCol w:w="95"/>
        <w:gridCol w:w="10025"/>
      </w:tblGrid>
      <w:tr>
        <w:trPr/>
        <w:tc>
          <w:tcPr>
            <w:tcW w:w="85"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compensation – stock-based increased to $974,000 during the nine months ended September 30, 2010 from $24,000 during the prior period. The current and prior period expense consists of the fair value of option grants earned during the period.</w:t>
            </w:r>
          </w:p>
        </w:tc>
      </w:tr>
    </w:tbl>
    <w:p>
      <w:pPr>
        <w:pStyle w:val="Normal"/>
        <w:spacing w:before="0" w:after="0"/>
        <w:rPr>
          <w:sz w:val="4"/>
          <w:szCs w:val="4"/>
        </w:rPr>
      </w:pPr>
      <w:r>
        <w:rPr>
          <w:sz w:val="4"/>
          <w:szCs w:val="4"/>
        </w:rPr>
      </w:r>
      <w:bookmarkStart w:id="1091" w:name="hangingindent103"/>
      <w:bookmarkStart w:id="1092" w:name="hangingindent103"/>
      <w:bookmarkEnd w:id="1092"/>
    </w:p>
    <w:tbl>
      <w:tblPr>
        <w:tblW w:w="5000" w:type="pct"/>
        <w:jc w:val="center"/>
        <w:tblInd w:w="0" w:type="dxa"/>
        <w:tblCellMar>
          <w:top w:w="0" w:type="dxa"/>
          <w:left w:w="0" w:type="dxa"/>
          <w:bottom w:w="0" w:type="dxa"/>
          <w:right w:w="0" w:type="dxa"/>
        </w:tblCellMar>
      </w:tblPr>
      <w:tblGrid>
        <w:gridCol w:w="90"/>
        <w:gridCol w:w="95"/>
        <w:gridCol w:w="10020"/>
      </w:tblGrid>
      <w:tr>
        <w:trPr/>
        <w:tc>
          <w:tcPr>
            <w:tcW w:w="90"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Professional fees increased to $585,000 during the nine months ended September 30, 2010 from $463,000 during the prior period due to significant activity relating to financing and debt restructuring in the current period].</w:t>
            </w:r>
          </w:p>
        </w:tc>
      </w:tr>
    </w:tbl>
    <w:p>
      <w:pPr>
        <w:pStyle w:val="Normal"/>
        <w:spacing w:before="0" w:after="0"/>
        <w:rPr>
          <w:sz w:val="4"/>
          <w:szCs w:val="4"/>
        </w:rPr>
      </w:pPr>
      <w:r>
        <w:rPr>
          <w:sz w:val="4"/>
          <w:szCs w:val="4"/>
        </w:rPr>
      </w:r>
      <w:bookmarkStart w:id="1093" w:name="hangingindent104"/>
      <w:bookmarkStart w:id="1094" w:name="hangingindent104"/>
      <w:bookmarkEnd w:id="1094"/>
    </w:p>
    <w:tbl>
      <w:tblPr>
        <w:tblW w:w="5000" w:type="pct"/>
        <w:jc w:val="center"/>
        <w:tblInd w:w="0" w:type="dxa"/>
        <w:tblCellMar>
          <w:top w:w="0" w:type="dxa"/>
          <w:left w:w="0" w:type="dxa"/>
          <w:bottom w:w="0" w:type="dxa"/>
          <w:right w:w="0" w:type="dxa"/>
        </w:tblCellMar>
      </w:tblPr>
      <w:tblGrid>
        <w:gridCol w:w="72"/>
        <w:gridCol w:w="95"/>
        <w:gridCol w:w="10038"/>
      </w:tblGrid>
      <w:tr>
        <w:trPr/>
        <w:tc>
          <w:tcPr>
            <w:tcW w:w="72"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Research and development increased to $243,000 during the nine months ended September 30, 2010 from $29,000 during the prior period. The increase in expense in the current period is due to an option fee payment for licensing technology made to Mayo Foundation for education. Also, our Board of Directors and management were reorganized during the year, and as of June 1, 2009, a portion of the fees paid or accrued to our Chief Executive Officer has been allocated to research and development.</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Since inception, we have continued to incur development related expenses which have resulted in the accumulation of a substantial deficit during the development stage. We will require significant additional financial resources and will be dependant on future financings to fund our ongoing research and development as well as other working capital requirements.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September 30, 2010, we had total assets of $295,000, total liabilities of $2,635,000 and a deficit of $42,399,000 accumulated during the development stage. Generally, we have financed our operations through the proceeds from convertible notes and the private placement of equity securities as noted in financing activities section below.</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Cash and Working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had cash and cash equivalents of $145,000 as of September 30, 2010, compared to cash of $141,000 at December 31, 2009 and $46,000 at September 30, 2009. We had working capital deficiency of $2,340,000 as of September 30, 2010, compared to a working capital deficiency of $629,000 as of December 31, 2009 and working capital deficiency of $760,000 as of September 30, 2009.</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95" w:name="PGBRK94"/>
      <w:bookmarkStart w:id="1096" w:name="PGBRK94"/>
      <w:bookmarkEnd w:id="10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7" w:name="FTR94"/>
      <w:bookmarkStart w:id="1098" w:name="FTR94"/>
      <w:bookmarkEnd w:id="10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99" w:name="GLFTR94"/>
      <w:bookmarkEnd w:id="10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00" w:name="PN93"/>
      <w:bookmarkEnd w:id="1100"/>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1" w:name="HDR93"/>
      <w:bookmarkStart w:id="1102" w:name="HDR93"/>
      <w:bookmarkEnd w:id="1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03" w:name="GLHDR93"/>
      <w:bookmarkEnd w:id="11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Operating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used in operating activities during the nine months ended September 30, 2010 was $850,000 compared to $690,000 during the prior period. We had no revenues during the current or prior periods. Operating expenditures increased during the current period due to higher legal fees associated with debt and note settlement, a new agreement with Mayo Foundation, higher non-cash stock-based management fee and higher consulting fees for investor relation services provided by Financial Insights offset by lower consulting fee.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Investing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used in investing activities during the nine months ended September 30, 2010 was $Nil compared to $Nil during the prior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Financing Activities</w:t>
      </w:r>
    </w:p>
    <w:p>
      <w:pPr>
        <w:pStyle w:val="TextBody"/>
        <w:spacing w:before="0" w:after="0"/>
        <w:ind w:left="0" w:right="0" w:hanging="0"/>
        <w:jc w:val="both"/>
        <w:rPr>
          <w:rFonts w:ascii="Times New Roman" w:hAnsi="Times New Roman"/>
          <w:sz w:val="20"/>
        </w:rPr>
      </w:pPr>
      <w:r>
        <w:rPr>
          <w:rFonts w:ascii="Times New Roman" w:hAnsi="Times New Roman"/>
          <w:sz w:val="20"/>
        </w:rPr>
        <w:t>Net cash provided by financing activities during the nine months ended September 30, 2010 was $854,000 compared to $735,000 during the prior period. Current period financing consisted of advances from related parties and proceeds from convertible notes and prior period financing included proceeds from the same sources in addition to advances from notes and loans payable and equity.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September 30, 2010, we had 3,868,000 stock options and 24,868,300 share purchase warrants outstanding. The outstanding stock options had a weighted average exercise price of $0.93 per share, with the warrants having a weighted average exercise price of $0.45 per share. Accordingly, as of September 30, 2010, the outstanding options and warrants represented a total of 28,736,300 shares issuable for proceeds of approximately $14,788,000, if these options and warrants were exercised in full. The exercise of these options and warrants is completely at the discretion of the holders. There is no assurance that any of these options or warrants will be exercised or that those warrants that contain a cashless exercise provision will not be exercised on a cashless basis.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September 30, 2010, we anticipate that we will need significant financing to enable us to meet our anticipated expenditures for the next 24 months, which are expected to be in the range of $5,000,000 assuming a single Phase 1 clinical trial.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Going Concern</w:t>
      </w:r>
    </w:p>
    <w:p>
      <w:pPr>
        <w:pStyle w:val="TextBody"/>
        <w:spacing w:before="0" w:after="0"/>
        <w:ind w:left="0" w:right="0" w:hanging="0"/>
        <w:jc w:val="both"/>
        <w:rPr>
          <w:rFonts w:ascii="Times New Roman" w:hAnsi="Times New Roman"/>
          <w:sz w:val="20"/>
        </w:rPr>
      </w:pPr>
      <w:r>
        <w:rPr>
          <w:rFonts w:ascii="Times New Roman" w:hAnsi="Times New Roman"/>
          <w:sz w:val="20"/>
        </w:rPr>
        <w:t>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ability to continue as a going concern is dependent upon our ability to obtain the necessary financing to meet our obligations and pay our liabilities arising from our business operations when they come due. We intend to finance our anticipated operating expenses with further issuances of common stock through private placement offerings or loans from private investors. Management believes that the Company will be able to continue limited operations with accommodations from debt holders and additional temporary short term funding over the next twelve months. Due to capital market conditions, funding continues to be challenging. It is unlikely the Company will be able to continue as a going concern past a twelve month horizon if significant equity funding is not raised within this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rFonts w:ascii="Times New Roman" w:hAnsi="Times New Roman"/>
          <w:sz w:val="20"/>
        </w:rPr>
      </w:pPr>
      <w:r>
        <w:rPr>
          <w:rFonts w:ascii="Times New Roman" w:hAnsi="Times New Roman"/>
          <w:sz w:val="20"/>
        </w:rPr>
        <w:t>Other than as disclosed in the financial statements, we have no significant off-balance sheet arrangements that have or are reasonably likely to have a material current or future effect on our financial condition, changes in financial condition, revenues or expenses, results of operations, liquidity, capital expenditures or capital resources that is material to stockholders.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Critical Accounting Policies</w:t>
      </w:r>
    </w:p>
    <w:p>
      <w:pPr>
        <w:pStyle w:val="TextBody"/>
        <w:spacing w:before="0" w:after="0"/>
        <w:ind w:left="0" w:right="0" w:hanging="0"/>
        <w:jc w:val="both"/>
        <w:rPr>
          <w:rFonts w:ascii="Times New Roman" w:hAnsi="Times New Roman"/>
          <w:sz w:val="20"/>
        </w:rPr>
      </w:pPr>
      <w:r>
        <w:rPr>
          <w:rFonts w:ascii="Times New Roman" w:hAnsi="Times New Roman"/>
          <w:sz w:val="20"/>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04" w:name="PGBRK95"/>
      <w:bookmarkStart w:id="1105" w:name="PGBRK95"/>
      <w:bookmarkEnd w:id="1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6" w:name="FTR95"/>
      <w:bookmarkStart w:id="1107" w:name="FTR95"/>
      <w:bookmarkEnd w:id="1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08" w:name="GLFTR95"/>
      <w:bookmarkEnd w:id="11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09" w:name="PN94"/>
      <w:bookmarkEnd w:id="1109"/>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0" w:name="HDR94"/>
      <w:bookmarkStart w:id="1111" w:name="HDR94"/>
      <w:bookmarkEnd w:id="1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12" w:name="GLHDR94"/>
      <w:bookmarkEnd w:id="11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Refer to Note 2 of our consolidated financial statements for our year ended December 31, 2009 for a summary of significant accounting policies.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3.</w:t>
      </w:r>
      <w:r>
        <w:rPr>
          <w:rFonts w:ascii="Times New Roman" w:hAnsi="Times New Roman"/>
          <w:b/>
          <w:sz w:val="20"/>
        </w:rPr>
        <w:t>                 </w:t>
      </w:r>
      <w:r>
        <w:rPr>
          <w:rFonts w:ascii="Times New Roman" w:hAnsi="Times New Roman"/>
          <w:b/>
          <w:sz w:val="20"/>
          <w:u w:val="single"/>
        </w:rPr>
        <w:t>Quantitive and Qualitative Disclosures About Market Risk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a smaller reporting company as defined by Rule 12b-2 of the Exchange Act and are not required to provide the information required under this item.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4.</w:t>
      </w:r>
      <w:r>
        <w:rPr>
          <w:rFonts w:ascii="Times New Roman" w:hAnsi="Times New Roman"/>
          <w:b/>
          <w:sz w:val="20"/>
        </w:rPr>
        <w:t>                 </w:t>
      </w:r>
      <w:r>
        <w:rPr>
          <w:rFonts w:ascii="Times New Roman" w:hAnsi="Times New Roman"/>
          <w:b/>
          <w:sz w:val="20"/>
          <w:u w:val="single"/>
        </w:rPr>
        <w:t>Controls and Procedures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Evaluation of Disclosure Controls and Procedures</w:t>
      </w:r>
    </w:p>
    <w:p>
      <w:pPr>
        <w:pStyle w:val="TextBody"/>
        <w:spacing w:before="0" w:after="0"/>
        <w:ind w:left="0" w:right="0" w:hanging="0"/>
        <w:jc w:val="both"/>
        <w:rPr>
          <w:rFonts w:ascii="Times New Roman" w:hAnsi="Times New Roman"/>
          <w:sz w:val="20"/>
        </w:rPr>
      </w:pPr>
      <w:r>
        <w:rPr>
          <w:rFonts w:ascii="Times New Roman" w:hAnsi="Times New Roman"/>
          <w:sz w:val="20"/>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Principal Executive Officer and Principal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Management’s Report on Internal Control Over Financial Reporting</w:t>
      </w:r>
    </w:p>
    <w:p>
      <w:pPr>
        <w:pStyle w:val="TextBody"/>
        <w:spacing w:before="0" w:after="0"/>
        <w:ind w:left="0" w:right="0" w:hanging="0"/>
        <w:jc w:val="both"/>
        <w:rPr>
          <w:rFonts w:ascii="Times New Roman" w:hAnsi="Times New Roman"/>
          <w:sz w:val="20"/>
        </w:rPr>
      </w:pPr>
      <w:r>
        <w:rPr>
          <w:rFonts w:ascii="Times New Roman" w:hAnsi="Times New Roman"/>
          <w:sz w:val="20"/>
        </w:rPr>
        <w:t>The management of the Company is responsible for establishing and maintaining adequate internal control over financial reporting, as required by Sarbanes-Oxley (SOX) Section 404 A. The Company's internal control over financial reporting is a process designed under the supervision of the Company's Principal Executive Officer and Principal Financial Officer to provide reasonable assurance regarding the reliability of financial reporting and the preparation of the Company's financial statements for external purposes in accordance with United States generally accepted accounting principles (“US GAAP”).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September 30, 2010, management assessed the effectiveness of the Company's internal control over financial reporting based on the criteria for effective internal control over financial reporting established in Internal Control -Integrated Framework issued by the Committee of Sponsoring Organizations of the Treadway Commission ("COSO") and SEC guidance on conducting such assessments. Based on that evaluation, they concluded that, as at September 30, 2010 such internal controls and procedures were not effective to detect the inappropriate application of US GAAP rules as more fully described below.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matters involving internal controls and procedures that the Company’s management considered to be material weaknesses under the standards of the Public Company Accounting Oversight Board were: (1) inadequate entity level controls due to an ineffective audit committee resulting from a lack of independent members on the current audit committee and a lack of outside directors on our board of directors; (2) inadequate segregation of duties consistent with control objectives; (3) insufficient written policies and procedures for accounting and financial reporting with respect to the requirements and application of US GAAP and SEC disclosure requirements; (4) ineffective controls over period end financial disclosure and reporting processes; (5) incorrect classification of fair value of warrants to additional paid-in capital instead of as a derivative liability on the balance sheet.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none of the material weaknesses set forth above had a material adverse effect on the Company's financial results for the nine months ended September 30, 2010, but management is most concerned that the material weakness in entity level controls set forth in item (1) results in ineffective oversight in the establishment and monitoring of required internal controls and procedures, it could result in a material misstatement in our financial statements in future periods.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13" w:name="PGBRK96"/>
      <w:bookmarkStart w:id="1114" w:name="PGBRK96"/>
      <w:bookmarkEnd w:id="1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5" w:name="FTR96"/>
      <w:bookmarkStart w:id="1116" w:name="FTR96"/>
      <w:bookmarkEnd w:id="1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17" w:name="GLFTR96"/>
      <w:bookmarkEnd w:id="11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18" w:name="PN95"/>
      <w:bookmarkEnd w:id="1118"/>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9" w:name="HDR95"/>
      <w:bookmarkStart w:id="1120" w:name="HDR95"/>
      <w:bookmarkEnd w:id="1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21" w:name="GLHDR95"/>
      <w:bookmarkEnd w:id="11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rFonts w:ascii="Times New Roman" w:hAnsi="Times New Roman"/>
          <w:sz w:val="20"/>
        </w:rPr>
      </w:pPr>
      <w:r>
        <w:rPr>
          <w:rFonts w:ascii="Times New Roman" w:hAnsi="Times New Roman"/>
          <w:sz w:val="20"/>
        </w:rPr>
        <w:t>We are committed to improving our financial organization. As part of this commitment, we will continue to enhance our internal control over financial reporting by: i) expanding our personnel, ii) improving segregate duties consistent with control objectives, iii) appointing one or more outside directors to our board of directors who shall be appointed to our audit committee resulting in a fully functioning audit committee who will undertake the oversight in the establishment and monitoring of required internal controls and procedures such as reviewing and approving estimates and assumptions made by management; and iv) preparing and implementing sufficient written policies and checklists which will set forth procedures for accounting and financial reporting with respect to the requirements and application of US GAAP and SEC disclosure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appointment of one or more outside directors, who shall be appointed to a fully functioning audit committee, will remedy the ineffective audit committee and a lack of outside directors on our Board.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 (ii) ineffective controls over period end financial close and reporting processes. Further, management believes that the hiring of additional personnel will result in improved segregation of duties and provide more checks and balances within the financial reporting department.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hanging="0"/>
        <w:jc w:val="both"/>
        <w:rPr>
          <w:rFonts w:ascii="Times New Roman" w:hAnsi="Times New Roman"/>
          <w:sz w:val="20"/>
        </w:rPr>
      </w:pPr>
      <w:r>
        <w:rPr>
          <w:rFonts w:ascii="Times New Roman" w:hAnsi="Times New Roman"/>
          <w:sz w:val="20"/>
        </w:rPr>
        <w:t>There have been no changes in our internal control over financial reporting during the nine months ended September 30, 2010 that have materially affected, or are reasonably likely to materially affect, our internal control over financial reporting.</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22" w:name="PGBRK97"/>
      <w:bookmarkStart w:id="1123" w:name="PGBRK97"/>
      <w:bookmarkEnd w:id="1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4" w:name="FTR97"/>
      <w:bookmarkStart w:id="1125" w:name="FTR97"/>
      <w:bookmarkEnd w:id="1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26" w:name="GLFTR97"/>
      <w:bookmarkEnd w:id="11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27" w:name="PN96"/>
      <w:bookmarkEnd w:id="1127"/>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8" w:name="HDR96"/>
      <w:bookmarkStart w:id="1129" w:name="HDR96"/>
      <w:bookmarkEnd w:id="1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30" w:name="GLHDR96"/>
      <w:bookmarkEnd w:id="11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PART II – OTHER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1.</w:t>
      </w:r>
      <w:r>
        <w:rPr>
          <w:rFonts w:ascii="Times New Roman" w:hAnsi="Times New Roman"/>
          <w:b/>
          <w:sz w:val="20"/>
        </w:rPr>
        <w:t>                 </w:t>
      </w:r>
      <w:r>
        <w:rPr>
          <w:rFonts w:ascii="Times New Roman" w:hAnsi="Times New Roman"/>
          <w:b/>
          <w:sz w:val="20"/>
          <w:u w:val="single"/>
        </w:rPr>
        <w:t>Legal Proceedings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the date of this Quarterly Report, no director, officer, affiliate or beneficial owner of more than 5% of our common stock is (i) a party adverse to us in any legal proceeding, or (ii) has an adverse interest to us in any legal proceeding. Management is not aware of any other legal proceedings pending or that have been threatened against us or our properties.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1A.</w:t>
      </w:r>
      <w:r>
        <w:rPr>
          <w:rFonts w:ascii="Times New Roman" w:hAnsi="Times New Roman"/>
          <w:b/>
          <w:sz w:val="20"/>
        </w:rPr>
        <w:t>              </w:t>
      </w:r>
      <w:r>
        <w:rPr>
          <w:rFonts w:ascii="Times New Roman" w:hAnsi="Times New Roman"/>
          <w:b/>
          <w:sz w:val="20"/>
          <w:u w:val="single"/>
        </w:rPr>
        <w:t>Risk Factors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2.</w:t>
      </w:r>
      <w:r>
        <w:rPr>
          <w:rFonts w:ascii="Times New Roman" w:hAnsi="Times New Roman"/>
          <w:b/>
          <w:sz w:val="20"/>
        </w:rPr>
        <w:t>                 </w:t>
      </w:r>
      <w:r>
        <w:rPr>
          <w:rFonts w:ascii="Times New Roman" w:hAnsi="Times New Roman"/>
          <w:b/>
          <w:sz w:val="20"/>
          <w:u w:val="single"/>
        </w:rPr>
        <w:t>Unregistered Sales of Equity Securities and Use of Proceeds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3.</w:t>
      </w:r>
      <w:r>
        <w:rPr>
          <w:rFonts w:ascii="Times New Roman" w:hAnsi="Times New Roman"/>
          <w:b/>
          <w:sz w:val="20"/>
        </w:rPr>
        <w:t>                 </w:t>
      </w:r>
      <w:r>
        <w:rPr>
          <w:rFonts w:ascii="Times New Roman" w:hAnsi="Times New Roman"/>
          <w:b/>
          <w:sz w:val="20"/>
          <w:u w:val="single"/>
        </w:rPr>
        <w:t>Defaults Upon Senior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4.</w:t>
      </w:r>
      <w:r>
        <w:rPr>
          <w:rFonts w:ascii="Times New Roman" w:hAnsi="Times New Roman"/>
          <w:b/>
          <w:sz w:val="20"/>
        </w:rPr>
        <w:t>                 </w:t>
      </w:r>
      <w:r>
        <w:rPr>
          <w:rFonts w:ascii="Times New Roman" w:hAnsi="Times New Roman"/>
          <w:b/>
          <w:sz w:val="20"/>
          <w:u w:val="single"/>
        </w:rPr>
        <w:t>(Removed and Reserved)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5.</w:t>
      </w:r>
      <w:r>
        <w:rPr>
          <w:rFonts w:ascii="Times New Roman" w:hAnsi="Times New Roman"/>
          <w:b/>
          <w:sz w:val="20"/>
        </w:rPr>
        <w:t>                 </w:t>
      </w:r>
      <w:r>
        <w:rPr>
          <w:rFonts w:ascii="Times New Roman" w:hAnsi="Times New Roman"/>
          <w:b/>
          <w:sz w:val="20"/>
          <w:u w:val="single"/>
        </w:rPr>
        <w:t>Other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6.</w:t>
      </w:r>
      <w:r>
        <w:rPr>
          <w:rFonts w:ascii="Times New Roman" w:hAnsi="Times New Roman"/>
          <w:b/>
          <w:sz w:val="20"/>
        </w:rPr>
        <w:t>                 </w:t>
      </w:r>
      <w:r>
        <w:rPr>
          <w:rFonts w:ascii="Times New Roman" w:hAnsi="Times New Roman"/>
          <w:b/>
          <w:sz w:val="20"/>
          <w:u w:val="single"/>
        </w:rPr>
        <w:t>Exhibits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exhibits are included with this Quarterly Report on Form 10-Q:</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386"/>
        <w:gridCol w:w="1808"/>
        <w:gridCol w:w="8011"/>
      </w:tblGrid>
      <w:tr>
        <w:trPr/>
        <w:tc>
          <w:tcPr>
            <w:tcW w:w="386" w:type="dxa"/>
            <w:tcBorders>
              <w:top w:val="single" w:sz="12" w:space="0" w:color="000000"/>
              <w:bottom w:val="single" w:sz="12" w:space="0" w:color="000000"/>
            </w:tcBorders>
            <w:shd w:fill="auto" w:val="clear"/>
          </w:tcPr>
          <w:p>
            <w:pPr>
              <w:pStyle w:val="TableContents"/>
              <w:spacing w:before="0" w:after="283"/>
              <w:rPr/>
            </w:pPr>
            <w:r>
              <w:rPr/>
              <w:t xml:space="preserve">  </w:t>
            </w:r>
          </w:p>
        </w:tc>
        <w:tc>
          <w:tcPr>
            <w:tcW w:w="1808" w:type="dxa"/>
            <w:tcBorders>
              <w:top w:val="single" w:sz="12" w:space="0" w:color="000000"/>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 Number</w:t>
            </w:r>
          </w:p>
        </w:tc>
        <w:tc>
          <w:tcPr>
            <w:tcW w:w="8011" w:type="dxa"/>
            <w:tcBorders>
              <w:top w:val="single" w:sz="12"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Description of Exhibit</w:t>
            </w:r>
          </w:p>
        </w:tc>
      </w:tr>
      <w:tr>
        <w:trPr/>
        <w:tc>
          <w:tcPr>
            <w:tcW w:w="386" w:type="dxa"/>
            <w:tcBorders/>
            <w:shd w:fill="auto" w:val="clear"/>
            <w:tcMar>
              <w:top w:w="0" w:type="dxa"/>
              <w:bottom w:w="0" w:type="dxa"/>
            </w:tcMar>
          </w:tcPr>
          <w:p>
            <w:pPr>
              <w:pStyle w:val="TableContents"/>
              <w:spacing w:before="0" w:after="283"/>
              <w:rPr/>
            </w:pPr>
            <w:r>
              <w:rPr/>
              <w:t xml:space="preserve">  </w:t>
            </w:r>
          </w:p>
        </w:tc>
        <w:tc>
          <w:tcPr>
            <w:tcW w:w="1808"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31.1</w:t>
            </w:r>
          </w:p>
        </w:tc>
        <w:tc>
          <w:tcPr>
            <w:tcW w:w="8011" w:type="dxa"/>
            <w:tcBorders/>
            <w:shd w:fill="auto" w:val="clear"/>
            <w:tcMar>
              <w:top w:w="0" w:type="dxa"/>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Principal Executive Officer Pursuant to Rule 13a-14(a) or 15d-14(a) of the Securities Exchange Act of 1933, as amended.</w:t>
            </w:r>
          </w:p>
        </w:tc>
      </w:tr>
      <w:tr>
        <w:trPr/>
        <w:tc>
          <w:tcPr>
            <w:tcW w:w="386" w:type="dxa"/>
            <w:tcBorders/>
            <w:shd w:fill="auto" w:val="clear"/>
            <w:tcMar>
              <w:top w:w="0" w:type="dxa"/>
              <w:bottom w:w="0" w:type="dxa"/>
            </w:tcMar>
          </w:tcPr>
          <w:p>
            <w:pPr>
              <w:pStyle w:val="TableContents"/>
              <w:spacing w:before="0" w:after="283"/>
              <w:rPr/>
            </w:pPr>
            <w:r>
              <w:rPr/>
              <w:t xml:space="preserve">  </w:t>
            </w:r>
          </w:p>
        </w:tc>
        <w:tc>
          <w:tcPr>
            <w:tcW w:w="1808"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31.2</w:t>
            </w:r>
          </w:p>
        </w:tc>
        <w:tc>
          <w:tcPr>
            <w:tcW w:w="8011" w:type="dxa"/>
            <w:tcBorders/>
            <w:shd w:fill="auto" w:val="clear"/>
            <w:tcMar>
              <w:top w:w="0" w:type="dxa"/>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Acting Principal Accounting Officer Pursuant to Rule 13a-14(a) or 15d-14(a) of the Securities Exchange Act of 1933, as amended.</w:t>
            </w:r>
          </w:p>
        </w:tc>
      </w:tr>
      <w:tr>
        <w:trPr/>
        <w:tc>
          <w:tcPr>
            <w:tcW w:w="386" w:type="dxa"/>
            <w:tcBorders/>
            <w:shd w:fill="auto" w:val="clear"/>
            <w:tcMar>
              <w:top w:w="0" w:type="dxa"/>
              <w:bottom w:w="0" w:type="dxa"/>
            </w:tcMar>
          </w:tcPr>
          <w:p>
            <w:pPr>
              <w:pStyle w:val="TableContents"/>
              <w:spacing w:before="0" w:after="283"/>
              <w:rPr/>
            </w:pPr>
            <w:r>
              <w:rPr/>
              <w:t xml:space="preserve">  </w:t>
            </w:r>
          </w:p>
        </w:tc>
        <w:tc>
          <w:tcPr>
            <w:tcW w:w="1808"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32.1</w:t>
            </w:r>
          </w:p>
        </w:tc>
        <w:tc>
          <w:tcPr>
            <w:tcW w:w="8011" w:type="dxa"/>
            <w:tcBorders/>
            <w:shd w:fill="auto" w:val="clear"/>
            <w:tcMar>
              <w:top w:w="0" w:type="dxa"/>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Principal Executive Officer pursuant to 18 U.S.C. 1350 as adopted pursuant to Section 906 of the Sarbanes-Oxley Act of 2002.</w:t>
            </w:r>
          </w:p>
        </w:tc>
      </w:tr>
      <w:tr>
        <w:trPr/>
        <w:tc>
          <w:tcPr>
            <w:tcW w:w="386" w:type="dxa"/>
            <w:tcBorders/>
            <w:shd w:fill="auto" w:val="clear"/>
            <w:tcMar>
              <w:top w:w="0" w:type="dxa"/>
              <w:bottom w:w="0" w:type="dxa"/>
            </w:tcMar>
          </w:tcPr>
          <w:p>
            <w:pPr>
              <w:pStyle w:val="TableContents"/>
              <w:spacing w:before="0" w:after="283"/>
              <w:rPr/>
            </w:pPr>
            <w:r>
              <w:rPr/>
              <w:t xml:space="preserve">  </w:t>
            </w:r>
          </w:p>
        </w:tc>
        <w:tc>
          <w:tcPr>
            <w:tcW w:w="1808"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32.2</w:t>
            </w:r>
          </w:p>
        </w:tc>
        <w:tc>
          <w:tcPr>
            <w:tcW w:w="8011" w:type="dxa"/>
            <w:tcBorders/>
            <w:shd w:fill="auto" w:val="clear"/>
            <w:tcMar>
              <w:top w:w="0" w:type="dxa"/>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Acting Principal Accounting Officer pursuant to 18 U.S.C. 1350 as adopted pursuant to Section 906 of the Sarbanes-Oxley Act of 2002.</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31" w:name="PGBRK98"/>
      <w:bookmarkStart w:id="1132" w:name="PGBRK98"/>
      <w:bookmarkEnd w:id="1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3" w:name="FTR98"/>
      <w:bookmarkStart w:id="1134" w:name="FTR98"/>
      <w:bookmarkEnd w:id="1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35" w:name="GLFTR98"/>
      <w:bookmarkEnd w:id="11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36" w:name="PN97"/>
      <w:bookmarkEnd w:id="1136"/>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7" w:name="HDR97"/>
      <w:bookmarkStart w:id="1138" w:name="HDR97"/>
      <w:bookmarkEnd w:id="1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39" w:name="GLHDR97"/>
      <w:bookmarkEnd w:id="11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accordance with the requirements of the Exchange Act, the registrant caused this report to be signed on its behalf by the undersigned, thereunto duly authorized.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TAPIMMUNE INC.</w:t>
      </w:r>
    </w:p>
    <w:tbl>
      <w:tblPr>
        <w:tblW w:w="5000" w:type="pct"/>
        <w:jc w:val="left"/>
        <w:tblInd w:w="0" w:type="dxa"/>
        <w:tblCellMar>
          <w:top w:w="0" w:type="dxa"/>
          <w:left w:w="0" w:type="dxa"/>
          <w:bottom w:w="0" w:type="dxa"/>
          <w:right w:w="0" w:type="dxa"/>
        </w:tblCellMar>
      </w:tblPr>
      <w:tblGrid>
        <w:gridCol w:w="1159"/>
        <w:gridCol w:w="9046"/>
      </w:tblGrid>
      <w:tr>
        <w:trPr/>
        <w:tc>
          <w:tcPr>
            <w:tcW w:w="1159" w:type="dxa"/>
            <w:tcBorders/>
            <w:shd w:fill="auto" w:val="clear"/>
          </w:tcPr>
          <w:p>
            <w:pPr>
              <w:pStyle w:val="TableContents"/>
              <w:spacing w:before="0" w:after="283"/>
              <w:rPr/>
            </w:pPr>
            <w:r>
              <w:rPr/>
              <w:t xml:space="preserve">  </w:t>
            </w:r>
          </w:p>
        </w:tc>
        <w:tc>
          <w:tcPr>
            <w:tcW w:w="9046" w:type="dxa"/>
            <w:tcBorders/>
            <w:shd w:fill="auto" w:val="clear"/>
          </w:tcPr>
          <w:p>
            <w:pPr>
              <w:pStyle w:val="TableContents"/>
              <w:spacing w:before="0" w:after="0"/>
              <w:ind w:left="0" w:right="0" w:hanging="0"/>
              <w:rPr/>
            </w:pPr>
            <w:r>
              <w:rPr/>
              <w:t> </w:t>
            </w:r>
          </w:p>
          <w:p>
            <w:pPr>
              <w:pStyle w:val="TableContents"/>
              <w:spacing w:before="0" w:after="0"/>
              <w:ind w:left="720" w:right="0" w:hanging="720"/>
              <w:jc w:val="both"/>
              <w:rPr>
                <w:rFonts w:ascii="times new roman" w:hAnsi="times new roman"/>
                <w:i/>
                <w:sz w:val="20"/>
              </w:rPr>
            </w:pPr>
            <w:r>
              <w:rPr>
                <w:rFonts w:ascii="times new roman" w:hAnsi="times new roman"/>
                <w:i/>
                <w:sz w:val="20"/>
              </w:rPr>
              <w:t>/s/ Glynn Wilson</w:t>
            </w:r>
          </w:p>
          <w:p>
            <w:pPr>
              <w:pStyle w:val="TableContents"/>
              <w:spacing w:before="0" w:after="0"/>
              <w:ind w:left="720" w:right="0" w:hanging="720"/>
              <w:jc w:val="left"/>
              <w:rPr>
                <w:rFonts w:ascii="times new roman" w:hAnsi="times new roman"/>
                <w:sz w:val="20"/>
              </w:rPr>
            </w:pPr>
            <w:r>
              <w:rPr>
                <w:rFonts w:ascii="times new roman" w:hAnsi="times new roman"/>
                <w:sz w:val="20"/>
              </w:rPr>
              <w:t>________________________________</w:t>
            </w:r>
          </w:p>
        </w:tc>
      </w:tr>
      <w:tr>
        <w:trPr/>
        <w:tc>
          <w:tcPr>
            <w:tcW w:w="1159" w:type="dxa"/>
            <w:tcBorders/>
            <w:shd w:fill="auto" w:val="clear"/>
          </w:tcPr>
          <w:p>
            <w:pPr>
              <w:pStyle w:val="TableContents"/>
              <w:spacing w:before="0" w:after="283"/>
              <w:rPr/>
            </w:pPr>
            <w:r>
              <w:rPr/>
              <w:t xml:space="preserve">  </w:t>
            </w:r>
          </w:p>
        </w:tc>
        <w:tc>
          <w:tcPr>
            <w:tcW w:w="9046"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Glynn Wilson</w:t>
            </w:r>
          </w:p>
          <w:p>
            <w:pPr>
              <w:pStyle w:val="TableContents"/>
              <w:spacing w:before="0" w:after="0"/>
              <w:ind w:left="0" w:right="0" w:hanging="0"/>
              <w:jc w:val="left"/>
              <w:rPr>
                <w:rFonts w:ascii="times new roman" w:hAnsi="times new roman"/>
                <w:sz w:val="20"/>
              </w:rPr>
            </w:pPr>
            <w:r>
              <w:rPr>
                <w:rFonts w:ascii="times new roman" w:hAnsi="times new roman"/>
                <w:sz w:val="20"/>
              </w:rPr>
              <w:t>Chairman and Principal Executive Officer</w:t>
            </w:r>
          </w:p>
          <w:p>
            <w:pPr>
              <w:pStyle w:val="TableContents"/>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color w:val="0000FF"/>
                <w:sz w:val="20"/>
                <w:u w:val="single"/>
                <w:bdr w:val="double" w:sz="2" w:space="1" w:color="000000"/>
              </w:rPr>
              <w:t>October 13, 2011.</w:t>
            </w:r>
          </w:p>
        </w:tc>
      </w:tr>
      <w:tr>
        <w:trPr/>
        <w:tc>
          <w:tcPr>
            <w:tcW w:w="1159" w:type="dxa"/>
            <w:tcBorders/>
            <w:shd w:fill="auto" w:val="clear"/>
          </w:tcPr>
          <w:p>
            <w:pPr>
              <w:pStyle w:val="TableContents"/>
              <w:spacing w:before="0" w:after="283"/>
              <w:rPr/>
            </w:pPr>
            <w:r>
              <w:rPr/>
              <w:t xml:space="preserve">  </w:t>
            </w:r>
          </w:p>
        </w:tc>
        <w:tc>
          <w:tcPr>
            <w:tcW w:w="9046" w:type="dxa"/>
            <w:tcBorders/>
            <w:shd w:fill="auto" w:val="clear"/>
          </w:tcPr>
          <w:p>
            <w:pPr>
              <w:pStyle w:val="TableContents"/>
              <w:spacing w:before="0" w:after="0"/>
              <w:ind w:left="720" w:right="0" w:hanging="720"/>
              <w:jc w:val="both"/>
              <w:rPr/>
            </w:pPr>
            <w:r>
              <w:rPr/>
              <w:t> </w:t>
            </w:r>
          </w:p>
          <w:p>
            <w:pPr>
              <w:pStyle w:val="TableContents"/>
              <w:spacing w:before="0" w:after="0"/>
              <w:ind w:left="720" w:right="0" w:hanging="720"/>
              <w:jc w:val="both"/>
              <w:rPr>
                <w:rFonts w:ascii="times new roman" w:hAnsi="times new roman"/>
                <w:i/>
                <w:sz w:val="20"/>
              </w:rPr>
            </w:pPr>
            <w:r>
              <w:rPr>
                <w:rFonts w:ascii="times new roman" w:hAnsi="times new roman"/>
                <w:i/>
                <w:sz w:val="20"/>
              </w:rPr>
              <w:t>/s/ Denis Corin</w:t>
            </w:r>
          </w:p>
          <w:p>
            <w:pPr>
              <w:pStyle w:val="TableContents"/>
              <w:spacing w:before="0" w:after="0"/>
              <w:ind w:left="720" w:right="0" w:hanging="720"/>
              <w:jc w:val="left"/>
              <w:rPr>
                <w:rFonts w:ascii="times new roman" w:hAnsi="times new roman"/>
                <w:sz w:val="20"/>
              </w:rPr>
            </w:pPr>
            <w:r>
              <w:rPr>
                <w:rFonts w:ascii="times new roman" w:hAnsi="times new roman"/>
                <w:sz w:val="20"/>
              </w:rPr>
              <w:t>__________________________________</w:t>
            </w:r>
          </w:p>
        </w:tc>
      </w:tr>
      <w:tr>
        <w:trPr/>
        <w:tc>
          <w:tcPr>
            <w:tcW w:w="1159" w:type="dxa"/>
            <w:tcBorders/>
            <w:shd w:fill="auto" w:val="clear"/>
          </w:tcPr>
          <w:p>
            <w:pPr>
              <w:pStyle w:val="TableContents"/>
              <w:spacing w:before="0" w:after="283"/>
              <w:rPr/>
            </w:pPr>
            <w:r>
              <w:rPr/>
              <w:t xml:space="preserve">  </w:t>
            </w:r>
          </w:p>
        </w:tc>
        <w:tc>
          <w:tcPr>
            <w:tcW w:w="9046"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Denis Corin</w:t>
            </w:r>
          </w:p>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 and Acting Principal</w:t>
            </w:r>
          </w:p>
          <w:p>
            <w:pPr>
              <w:pStyle w:val="TableContents"/>
              <w:spacing w:before="0" w:after="0"/>
              <w:ind w:left="0" w:right="0" w:hanging="0"/>
              <w:jc w:val="left"/>
              <w:rPr>
                <w:rFonts w:ascii="times new roman" w:hAnsi="times new roman"/>
                <w:sz w:val="20"/>
              </w:rPr>
            </w:pPr>
            <w:r>
              <w:rPr>
                <w:rFonts w:ascii="times new roman" w:hAnsi="times new roman"/>
                <w:sz w:val="20"/>
              </w:rPr>
              <w:t>Accounting Officer</w:t>
            </w:r>
          </w:p>
          <w:p>
            <w:pPr>
              <w:pStyle w:val="TableContents"/>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color w:val="0000FF"/>
                <w:sz w:val="20"/>
                <w:u w:val="single"/>
                <w:bdr w:val="double" w:sz="2" w:space="1" w:color="000000"/>
              </w:rPr>
              <w:t>October 13, 2011</w:t>
            </w:r>
            <w:r>
              <w:rPr>
                <w:rFonts w:ascii="times new roman" w:hAnsi="times new roman"/>
                <w:sz w:val="20"/>
              </w:rPr>
              <w:t>.</w:t>
            </w:r>
          </w:p>
        </w:tc>
      </w:tr>
    </w:tbl>
    <w:p>
      <w:pPr>
        <w:pStyle w:val="TextBody"/>
        <w:spacing w:before="0" w:after="0"/>
        <w:rPr/>
      </w:pPr>
      <w:r>
        <w:rPr/>
        <w:b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br/>
        <w:t>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40" w:name="PGBRK99"/>
      <w:bookmarkStart w:id="1141" w:name="PGBRK99"/>
      <w:bookmarkEnd w:id="1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2" w:name="FTR99"/>
      <w:bookmarkStart w:id="1143" w:name="FTR99"/>
      <w:bookmarkEnd w:id="1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44" w:name="GLFTR99"/>
      <w:bookmarkEnd w:id="11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45" w:name="PN98"/>
      <w:bookmarkEnd w:id="1145"/>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6" w:name="HDR98"/>
      <w:bookmarkStart w:id="1147" w:name="HDR98"/>
      <w:bookmarkEnd w:id="1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48" w:name="GLHDR98"/>
      <w:bookmarkEnd w:id="11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right"/>
        <w:rPr>
          <w:rFonts w:ascii="Times New Roman" w:hAnsi="Times New Roman"/>
          <w:b/>
          <w:sz w:val="20"/>
        </w:rPr>
      </w:pPr>
      <w:r>
        <w:rPr>
          <w:rFonts w:ascii="Times New Roman" w:hAnsi="Times New Roman"/>
          <w:b/>
          <w:sz w:val="20"/>
        </w:rPr>
        <w:t>Exhibit 31.1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Glynn Wilson, certify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149" w:name="hangingindent105"/>
      <w:bookmarkStart w:id="1150" w:name="hangingindent105"/>
      <w:bookmarkEnd w:id="1150"/>
    </w:p>
    <w:tbl>
      <w:tblPr>
        <w:tblW w:w="5000" w:type="pct"/>
        <w:jc w:val="center"/>
        <w:tblInd w:w="0" w:type="dxa"/>
        <w:tblCellMar>
          <w:top w:w="0" w:type="dxa"/>
          <w:left w:w="0" w:type="dxa"/>
          <w:bottom w:w="0" w:type="dxa"/>
          <w:right w:w="0" w:type="dxa"/>
        </w:tblCellMar>
      </w:tblPr>
      <w:tblGrid>
        <w:gridCol w:w="260"/>
        <w:gridCol w:w="9945"/>
      </w:tblGrid>
      <w:tr>
        <w:trPr/>
        <w:tc>
          <w:tcPr>
            <w:tcW w:w="26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4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Report on Form 10-Q</w:t>
            </w:r>
            <w:r>
              <w:rPr>
                <w:rFonts w:ascii="times new roman" w:hAnsi="times new roman"/>
                <w:color w:val="0000FF"/>
                <w:sz w:val="20"/>
                <w:u w:val="single"/>
                <w:bdr w:val="double" w:sz="2" w:space="1" w:color="000000"/>
              </w:rPr>
              <w:t>/A</w:t>
            </w:r>
            <w:r>
              <w:rPr>
                <w:rFonts w:ascii="Times New Roman" w:hAnsi="Times New Roman"/>
                <w:sz w:val="20"/>
              </w:rPr>
              <w:t xml:space="preserve"> for the quarterly period ended September 30, 2010 of TapImmune Inc.;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51" w:name="hangingindent106"/>
      <w:bookmarkStart w:id="1152" w:name="hangingindent106"/>
      <w:bookmarkEnd w:id="1152"/>
    </w:p>
    <w:tbl>
      <w:tblPr>
        <w:tblW w:w="5000" w:type="pct"/>
        <w:jc w:val="center"/>
        <w:tblInd w:w="0" w:type="dxa"/>
        <w:tblCellMar>
          <w:top w:w="0" w:type="dxa"/>
          <w:left w:w="0" w:type="dxa"/>
          <w:bottom w:w="0" w:type="dxa"/>
          <w:right w:w="0" w:type="dxa"/>
        </w:tblCellMar>
      </w:tblPr>
      <w:tblGrid>
        <w:gridCol w:w="207"/>
        <w:gridCol w:w="9998"/>
      </w:tblGrid>
      <w:tr>
        <w:trPr/>
        <w:tc>
          <w:tcPr>
            <w:tcW w:w="20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53" w:name="hangingindent107"/>
      <w:bookmarkStart w:id="1154" w:name="hangingindent107"/>
      <w:bookmarkEnd w:id="1154"/>
    </w:p>
    <w:tbl>
      <w:tblPr>
        <w:tblW w:w="5000" w:type="pct"/>
        <w:jc w:val="center"/>
        <w:tblInd w:w="0" w:type="dxa"/>
        <w:tblCellMar>
          <w:top w:w="0" w:type="dxa"/>
          <w:left w:w="0" w:type="dxa"/>
          <w:bottom w:w="0" w:type="dxa"/>
          <w:right w:w="0" w:type="dxa"/>
        </w:tblCellMar>
      </w:tblPr>
      <w:tblGrid>
        <w:gridCol w:w="209"/>
        <w:gridCol w:w="9996"/>
      </w:tblGrid>
      <w:tr>
        <w:trPr/>
        <w:tc>
          <w:tcPr>
            <w:tcW w:w="20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9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55" w:name="hangingindent108"/>
      <w:bookmarkStart w:id="1156" w:name="hangingindent108"/>
      <w:bookmarkEnd w:id="1156"/>
    </w:p>
    <w:tbl>
      <w:tblPr>
        <w:tblW w:w="5000" w:type="pct"/>
        <w:jc w:val="center"/>
        <w:tblInd w:w="0" w:type="dxa"/>
        <w:tblCellMar>
          <w:top w:w="0" w:type="dxa"/>
          <w:left w:w="0" w:type="dxa"/>
          <w:bottom w:w="0" w:type="dxa"/>
          <w:right w:w="0" w:type="dxa"/>
        </w:tblCellMar>
      </w:tblPr>
      <w:tblGrid>
        <w:gridCol w:w="216"/>
        <w:gridCol w:w="9989"/>
      </w:tblGrid>
      <w:tr>
        <w:trPr/>
        <w:tc>
          <w:tcPr>
            <w:tcW w:w="21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57" w:name="hangingindent109"/>
      <w:bookmarkStart w:id="1158" w:name="hangingindent109"/>
      <w:bookmarkEnd w:id="1158"/>
    </w:p>
    <w:tbl>
      <w:tblPr>
        <w:tblW w:w="5000" w:type="pct"/>
        <w:jc w:val="center"/>
        <w:tblInd w:w="0" w:type="dxa"/>
        <w:tblCellMar>
          <w:top w:w="0" w:type="dxa"/>
          <w:left w:w="0" w:type="dxa"/>
          <w:bottom w:w="0" w:type="dxa"/>
          <w:right w:w="0" w:type="dxa"/>
        </w:tblCellMar>
      </w:tblPr>
      <w:tblGrid>
        <w:gridCol w:w="77"/>
        <w:gridCol w:w="188"/>
        <w:gridCol w:w="9940"/>
      </w:tblGrid>
      <w:tr>
        <w:trPr/>
        <w:tc>
          <w:tcPr>
            <w:tcW w:w="77" w:type="dxa"/>
            <w:tcBorders/>
            <w:shd w:fill="auto" w:val="clear"/>
          </w:tcPr>
          <w:p>
            <w:pPr>
              <w:pStyle w:val="TableContents"/>
              <w:spacing w:before="0" w:after="0"/>
              <w:rPr/>
            </w:pPr>
            <w:r>
              <w:rPr/>
              <w:t xml:space="preserve">  </w:t>
            </w:r>
          </w:p>
        </w:tc>
        <w:tc>
          <w:tcPr>
            <w:tcW w:w="18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4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59" w:name="hangingindent110"/>
      <w:bookmarkStart w:id="1160" w:name="hangingindent110"/>
      <w:bookmarkEnd w:id="1160"/>
    </w:p>
    <w:tbl>
      <w:tblPr>
        <w:tblW w:w="5000" w:type="pct"/>
        <w:jc w:val="center"/>
        <w:tblInd w:w="0" w:type="dxa"/>
        <w:tblCellMar>
          <w:top w:w="0" w:type="dxa"/>
          <w:left w:w="0" w:type="dxa"/>
          <w:bottom w:w="0" w:type="dxa"/>
          <w:right w:w="0" w:type="dxa"/>
        </w:tblCellMar>
      </w:tblPr>
      <w:tblGrid>
        <w:gridCol w:w="78"/>
        <w:gridCol w:w="204"/>
        <w:gridCol w:w="9923"/>
      </w:tblGrid>
      <w:tr>
        <w:trPr/>
        <w:tc>
          <w:tcPr>
            <w:tcW w:w="78" w:type="dxa"/>
            <w:tcBorders/>
            <w:shd w:fill="auto" w:val="clear"/>
          </w:tcPr>
          <w:p>
            <w:pPr>
              <w:pStyle w:val="TableContents"/>
              <w:spacing w:before="0" w:after="0"/>
              <w:rPr/>
            </w:pPr>
            <w:r>
              <w:rPr/>
              <w:t xml:space="preserve">  </w:t>
            </w:r>
          </w:p>
        </w:tc>
        <w:tc>
          <w:tcPr>
            <w:tcW w:w="2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61" w:name="hangingindent111"/>
      <w:bookmarkStart w:id="1162" w:name="hangingindent111"/>
      <w:bookmarkEnd w:id="1162"/>
    </w:p>
    <w:tbl>
      <w:tblPr>
        <w:tblW w:w="5000" w:type="pct"/>
        <w:jc w:val="center"/>
        <w:tblInd w:w="0" w:type="dxa"/>
        <w:tblCellMar>
          <w:top w:w="0" w:type="dxa"/>
          <w:left w:w="0" w:type="dxa"/>
          <w:bottom w:w="0" w:type="dxa"/>
          <w:right w:w="0" w:type="dxa"/>
        </w:tblCellMar>
      </w:tblPr>
      <w:tblGrid>
        <w:gridCol w:w="84"/>
        <w:gridCol w:w="195"/>
        <w:gridCol w:w="9926"/>
      </w:tblGrid>
      <w:tr>
        <w:trPr/>
        <w:tc>
          <w:tcPr>
            <w:tcW w:w="84" w:type="dxa"/>
            <w:tcBorders/>
            <w:shd w:fill="auto" w:val="clear"/>
          </w:tcPr>
          <w:p>
            <w:pPr>
              <w:pStyle w:val="TableContents"/>
              <w:spacing w:before="0" w:after="0"/>
              <w:rPr/>
            </w:pPr>
            <w:r>
              <w:rPr/>
              <w:t xml:space="preserve">  </w:t>
            </w:r>
          </w:p>
        </w:tc>
        <w:tc>
          <w:tcPr>
            <w:tcW w:w="19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63" w:name="hangingindent112"/>
      <w:bookmarkStart w:id="1164" w:name="hangingindent112"/>
      <w:bookmarkEnd w:id="1164"/>
    </w:p>
    <w:tbl>
      <w:tblPr>
        <w:tblW w:w="5000" w:type="pct"/>
        <w:jc w:val="center"/>
        <w:tblInd w:w="0" w:type="dxa"/>
        <w:tblCellMar>
          <w:top w:w="0" w:type="dxa"/>
          <w:left w:w="0" w:type="dxa"/>
          <w:bottom w:w="0" w:type="dxa"/>
          <w:right w:w="0" w:type="dxa"/>
        </w:tblCellMar>
      </w:tblPr>
      <w:tblGrid>
        <w:gridCol w:w="78"/>
        <w:gridCol w:w="204"/>
        <w:gridCol w:w="9923"/>
      </w:tblGrid>
      <w:tr>
        <w:trPr/>
        <w:tc>
          <w:tcPr>
            <w:tcW w:w="78" w:type="dxa"/>
            <w:tcBorders/>
            <w:shd w:fill="auto" w:val="clear"/>
          </w:tcPr>
          <w:p>
            <w:pPr>
              <w:pStyle w:val="TableContents"/>
              <w:spacing w:before="0" w:after="0"/>
              <w:rPr/>
            </w:pPr>
            <w:r>
              <w:rPr/>
              <w:t xml:space="preserve">  </w:t>
            </w:r>
          </w:p>
        </w:tc>
        <w:tc>
          <w:tcPr>
            <w:tcW w:w="2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65" w:name="hangingindent113"/>
      <w:bookmarkStart w:id="1166" w:name="hangingindent113"/>
      <w:bookmarkEnd w:id="1166"/>
    </w:p>
    <w:tbl>
      <w:tblPr>
        <w:tblW w:w="5000" w:type="pct"/>
        <w:jc w:val="center"/>
        <w:tblInd w:w="0" w:type="dxa"/>
        <w:tblCellMar>
          <w:top w:w="0" w:type="dxa"/>
          <w:left w:w="0" w:type="dxa"/>
          <w:bottom w:w="0" w:type="dxa"/>
          <w:right w:w="0" w:type="dxa"/>
        </w:tblCellMar>
      </w:tblPr>
      <w:tblGrid>
        <w:gridCol w:w="208"/>
        <w:gridCol w:w="9997"/>
      </w:tblGrid>
      <w:tr>
        <w:trPr/>
        <w:tc>
          <w:tcPr>
            <w:tcW w:w="20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67" w:name="hangingindent114"/>
      <w:bookmarkStart w:id="1168" w:name="hangingindent114"/>
      <w:bookmarkEnd w:id="1168"/>
    </w:p>
    <w:tbl>
      <w:tblPr>
        <w:tblW w:w="5000" w:type="pct"/>
        <w:jc w:val="center"/>
        <w:tblInd w:w="0" w:type="dxa"/>
        <w:tblCellMar>
          <w:top w:w="0" w:type="dxa"/>
          <w:left w:w="0" w:type="dxa"/>
          <w:bottom w:w="0" w:type="dxa"/>
          <w:right w:w="0" w:type="dxa"/>
        </w:tblCellMar>
      </w:tblPr>
      <w:tblGrid>
        <w:gridCol w:w="85"/>
        <w:gridCol w:w="196"/>
        <w:gridCol w:w="9924"/>
      </w:tblGrid>
      <w:tr>
        <w:trPr/>
        <w:tc>
          <w:tcPr>
            <w:tcW w:w="85" w:type="dxa"/>
            <w:tcBorders/>
            <w:shd w:fill="auto" w:val="clear"/>
          </w:tcPr>
          <w:p>
            <w:pPr>
              <w:pStyle w:val="TableContents"/>
              <w:spacing w:before="0" w:after="0"/>
              <w:rPr/>
            </w:pPr>
            <w:r>
              <w:rPr/>
              <w:t xml:space="preserve">  </w:t>
            </w:r>
          </w:p>
        </w:tc>
        <w:tc>
          <w:tcPr>
            <w:tcW w:w="19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69" w:name="hangingindent115"/>
      <w:bookmarkStart w:id="1170" w:name="hangingindent115"/>
      <w:bookmarkEnd w:id="1170"/>
    </w:p>
    <w:tbl>
      <w:tblPr>
        <w:tblW w:w="5000" w:type="pct"/>
        <w:jc w:val="center"/>
        <w:tblInd w:w="0" w:type="dxa"/>
        <w:tblCellMar>
          <w:top w:w="0" w:type="dxa"/>
          <w:left w:w="0" w:type="dxa"/>
          <w:bottom w:w="0" w:type="dxa"/>
          <w:right w:w="0" w:type="dxa"/>
        </w:tblCellMar>
      </w:tblPr>
      <w:tblGrid>
        <w:gridCol w:w="101"/>
        <w:gridCol w:w="227"/>
        <w:gridCol w:w="9877"/>
      </w:tblGrid>
      <w:tr>
        <w:trPr/>
        <w:tc>
          <w:tcPr>
            <w:tcW w:w="101" w:type="dxa"/>
            <w:tcBorders/>
            <w:shd w:fill="auto" w:val="clear"/>
          </w:tcPr>
          <w:p>
            <w:pPr>
              <w:pStyle w:val="TableContents"/>
              <w:spacing w:before="0" w:after="0"/>
              <w:rPr/>
            </w:pPr>
            <w:r>
              <w:rPr/>
              <w:t xml:space="preserve">  </w:t>
            </w:r>
          </w:p>
        </w:tc>
        <w:tc>
          <w:tcPr>
            <w:tcW w:w="22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87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Date:           </w:t>
      </w:r>
      <w:r>
        <w:rPr>
          <w:rFonts w:ascii="times new roman" w:hAnsi="times new roman"/>
          <w:color w:val="0000FF"/>
          <w:sz w:val="20"/>
          <w:u w:val="single"/>
          <w:bdr w:val="double" w:sz="2" w:space="1" w:color="000000"/>
        </w:rPr>
        <w:t>October 13, 2011.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/s/ Glynn Wilson</w:t>
      </w:r>
    </w:p>
    <w:p>
      <w:pPr>
        <w:pStyle w:val="TextBody"/>
        <w:spacing w:before="0" w:after="0"/>
        <w:ind w:left="0" w:right="0" w:hanging="0"/>
        <w:jc w:val="both"/>
        <w:rPr>
          <w:rFonts w:ascii="Times New Roman" w:hAnsi="Times New Roman"/>
          <w:sz w:val="20"/>
        </w:rPr>
      </w:pPr>
      <w:r>
        <w:rPr>
          <w:rFonts w:ascii="Times New Roman" w:hAnsi="Times New Roman"/>
          <w:sz w:val="20"/>
        </w:rPr>
        <w:t>By:           </w:t>
      </w:r>
      <w:r>
        <w:rPr>
          <w:rFonts w:ascii="Times New Roman" w:hAnsi="Times New Roman"/>
          <w:b/>
          <w:sz w:val="20"/>
        </w:rPr>
        <w:t>Glynn Wilson</w:t>
      </w:r>
    </w:p>
    <w:p>
      <w:pPr>
        <w:pStyle w:val="TextBody"/>
        <w:spacing w:before="0" w:after="0"/>
        <w:ind w:left="0" w:right="0" w:hanging="0"/>
        <w:jc w:val="both"/>
        <w:rPr>
          <w:rFonts w:ascii="Times New Roman" w:hAnsi="Times New Roman"/>
          <w:sz w:val="20"/>
        </w:rPr>
      </w:pPr>
      <w:r>
        <w:rPr>
          <w:rFonts w:ascii="Times New Roman" w:hAnsi="Times New Roman"/>
          <w:sz w:val="20"/>
        </w:rPr>
        <w:t>Title:        Chairman and Principal Executive Officer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71" w:name="PGBRK100"/>
      <w:bookmarkStart w:id="1172" w:name="PGBRK100"/>
      <w:bookmarkEnd w:id="1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3" w:name="FTR100"/>
      <w:bookmarkStart w:id="1174" w:name="FTR100"/>
      <w:bookmarkEnd w:id="1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75" w:name="GLFTR100"/>
      <w:bookmarkEnd w:id="11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76" w:name="PN99"/>
      <w:bookmarkEnd w:id="1176"/>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7" w:name="HDR99"/>
      <w:bookmarkStart w:id="1178" w:name="HDR99"/>
      <w:bookmarkEnd w:id="1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79" w:name="GLHDR99"/>
      <w:bookmarkEnd w:id="11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right"/>
        <w:rPr>
          <w:rFonts w:ascii="Times New Roman" w:hAnsi="Times New Roman"/>
          <w:b/>
          <w:sz w:val="20"/>
        </w:rPr>
      </w:pPr>
      <w:r>
        <w:rPr>
          <w:rFonts w:ascii="Times New Roman" w:hAnsi="Times New Roman"/>
          <w:b/>
          <w:sz w:val="20"/>
        </w:rPr>
        <w:t>Exhibit 31.2</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Denis Corin certify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180" w:name="hangingindent116"/>
      <w:bookmarkStart w:id="1181" w:name="hangingindent116"/>
      <w:bookmarkEnd w:id="1181"/>
    </w:p>
    <w:tbl>
      <w:tblPr>
        <w:tblW w:w="5000" w:type="pct"/>
        <w:jc w:val="center"/>
        <w:tblInd w:w="0" w:type="dxa"/>
        <w:tblCellMar>
          <w:top w:w="0" w:type="dxa"/>
          <w:left w:w="0" w:type="dxa"/>
          <w:bottom w:w="0" w:type="dxa"/>
          <w:right w:w="0" w:type="dxa"/>
        </w:tblCellMar>
      </w:tblPr>
      <w:tblGrid>
        <w:gridCol w:w="260"/>
        <w:gridCol w:w="9945"/>
      </w:tblGrid>
      <w:tr>
        <w:trPr/>
        <w:tc>
          <w:tcPr>
            <w:tcW w:w="26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4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Report on Form 10-Q</w:t>
            </w:r>
            <w:r>
              <w:rPr>
                <w:rFonts w:ascii="times new roman" w:hAnsi="times new roman"/>
                <w:color w:val="0000FF"/>
                <w:sz w:val="20"/>
                <w:u w:val="single"/>
                <w:bdr w:val="double" w:sz="2" w:space="1" w:color="000000"/>
              </w:rPr>
              <w:t>/A</w:t>
            </w:r>
            <w:r>
              <w:rPr>
                <w:rFonts w:ascii="Times New Roman" w:hAnsi="Times New Roman"/>
                <w:sz w:val="20"/>
              </w:rPr>
              <w:t xml:space="preserve"> for the quarterly period ended September 30, 2010 of TapImmune Inc.;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82" w:name="hangingindent117"/>
      <w:bookmarkStart w:id="1183" w:name="hangingindent117"/>
      <w:bookmarkEnd w:id="1183"/>
    </w:p>
    <w:tbl>
      <w:tblPr>
        <w:tblW w:w="5000" w:type="pct"/>
        <w:jc w:val="center"/>
        <w:tblInd w:w="0" w:type="dxa"/>
        <w:tblCellMar>
          <w:top w:w="0" w:type="dxa"/>
          <w:left w:w="0" w:type="dxa"/>
          <w:bottom w:w="0" w:type="dxa"/>
          <w:right w:w="0" w:type="dxa"/>
        </w:tblCellMar>
      </w:tblPr>
      <w:tblGrid>
        <w:gridCol w:w="207"/>
        <w:gridCol w:w="9998"/>
      </w:tblGrid>
      <w:tr>
        <w:trPr/>
        <w:tc>
          <w:tcPr>
            <w:tcW w:w="20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84" w:name="hangingindent118"/>
      <w:bookmarkStart w:id="1185" w:name="hangingindent118"/>
      <w:bookmarkEnd w:id="1185"/>
    </w:p>
    <w:tbl>
      <w:tblPr>
        <w:tblW w:w="5000" w:type="pct"/>
        <w:jc w:val="center"/>
        <w:tblInd w:w="0" w:type="dxa"/>
        <w:tblCellMar>
          <w:top w:w="0" w:type="dxa"/>
          <w:left w:w="0" w:type="dxa"/>
          <w:bottom w:w="0" w:type="dxa"/>
          <w:right w:w="0" w:type="dxa"/>
        </w:tblCellMar>
      </w:tblPr>
      <w:tblGrid>
        <w:gridCol w:w="209"/>
        <w:gridCol w:w="9996"/>
      </w:tblGrid>
      <w:tr>
        <w:trPr/>
        <w:tc>
          <w:tcPr>
            <w:tcW w:w="20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9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86" w:name="hangingindent119"/>
      <w:bookmarkStart w:id="1187" w:name="hangingindent119"/>
      <w:bookmarkEnd w:id="1187"/>
    </w:p>
    <w:tbl>
      <w:tblPr>
        <w:tblW w:w="5000" w:type="pct"/>
        <w:jc w:val="center"/>
        <w:tblInd w:w="0" w:type="dxa"/>
        <w:tblCellMar>
          <w:top w:w="0" w:type="dxa"/>
          <w:left w:w="0" w:type="dxa"/>
          <w:bottom w:w="0" w:type="dxa"/>
          <w:right w:w="0" w:type="dxa"/>
        </w:tblCellMar>
      </w:tblPr>
      <w:tblGrid>
        <w:gridCol w:w="216"/>
        <w:gridCol w:w="9989"/>
      </w:tblGrid>
      <w:tr>
        <w:trPr/>
        <w:tc>
          <w:tcPr>
            <w:tcW w:w="21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88" w:name="hangingindent120"/>
      <w:bookmarkStart w:id="1189" w:name="hangingindent120"/>
      <w:bookmarkEnd w:id="1189"/>
    </w:p>
    <w:tbl>
      <w:tblPr>
        <w:tblW w:w="5000" w:type="pct"/>
        <w:jc w:val="center"/>
        <w:tblInd w:w="0" w:type="dxa"/>
        <w:tblCellMar>
          <w:top w:w="0" w:type="dxa"/>
          <w:left w:w="0" w:type="dxa"/>
          <w:bottom w:w="0" w:type="dxa"/>
          <w:right w:w="0" w:type="dxa"/>
        </w:tblCellMar>
      </w:tblPr>
      <w:tblGrid>
        <w:gridCol w:w="77"/>
        <w:gridCol w:w="188"/>
        <w:gridCol w:w="9940"/>
      </w:tblGrid>
      <w:tr>
        <w:trPr/>
        <w:tc>
          <w:tcPr>
            <w:tcW w:w="77" w:type="dxa"/>
            <w:tcBorders/>
            <w:shd w:fill="auto" w:val="clear"/>
          </w:tcPr>
          <w:p>
            <w:pPr>
              <w:pStyle w:val="TableContents"/>
              <w:spacing w:before="0" w:after="0"/>
              <w:rPr/>
            </w:pPr>
            <w:r>
              <w:rPr/>
              <w:t xml:space="preserve">  </w:t>
            </w:r>
          </w:p>
        </w:tc>
        <w:tc>
          <w:tcPr>
            <w:tcW w:w="18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4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90" w:name="hangingindent121"/>
      <w:bookmarkStart w:id="1191" w:name="hangingindent121"/>
      <w:bookmarkEnd w:id="1191"/>
    </w:p>
    <w:tbl>
      <w:tblPr>
        <w:tblW w:w="5000" w:type="pct"/>
        <w:jc w:val="center"/>
        <w:tblInd w:w="0" w:type="dxa"/>
        <w:tblCellMar>
          <w:top w:w="0" w:type="dxa"/>
          <w:left w:w="0" w:type="dxa"/>
          <w:bottom w:w="0" w:type="dxa"/>
          <w:right w:w="0" w:type="dxa"/>
        </w:tblCellMar>
      </w:tblPr>
      <w:tblGrid>
        <w:gridCol w:w="78"/>
        <w:gridCol w:w="204"/>
        <w:gridCol w:w="9923"/>
      </w:tblGrid>
      <w:tr>
        <w:trPr/>
        <w:tc>
          <w:tcPr>
            <w:tcW w:w="78" w:type="dxa"/>
            <w:tcBorders/>
            <w:shd w:fill="auto" w:val="clear"/>
          </w:tcPr>
          <w:p>
            <w:pPr>
              <w:pStyle w:val="TableContents"/>
              <w:spacing w:before="0" w:after="0"/>
              <w:rPr/>
            </w:pPr>
            <w:r>
              <w:rPr/>
              <w:t xml:space="preserve">  </w:t>
            </w:r>
          </w:p>
        </w:tc>
        <w:tc>
          <w:tcPr>
            <w:tcW w:w="2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92" w:name="hangingindent122"/>
      <w:bookmarkStart w:id="1193" w:name="hangingindent122"/>
      <w:bookmarkEnd w:id="1193"/>
    </w:p>
    <w:tbl>
      <w:tblPr>
        <w:tblW w:w="5000" w:type="pct"/>
        <w:jc w:val="center"/>
        <w:tblInd w:w="0" w:type="dxa"/>
        <w:tblCellMar>
          <w:top w:w="0" w:type="dxa"/>
          <w:left w:w="0" w:type="dxa"/>
          <w:bottom w:w="0" w:type="dxa"/>
          <w:right w:w="0" w:type="dxa"/>
        </w:tblCellMar>
      </w:tblPr>
      <w:tblGrid>
        <w:gridCol w:w="84"/>
        <w:gridCol w:w="195"/>
        <w:gridCol w:w="9926"/>
      </w:tblGrid>
      <w:tr>
        <w:trPr/>
        <w:tc>
          <w:tcPr>
            <w:tcW w:w="84" w:type="dxa"/>
            <w:tcBorders/>
            <w:shd w:fill="auto" w:val="clear"/>
          </w:tcPr>
          <w:p>
            <w:pPr>
              <w:pStyle w:val="TableContents"/>
              <w:spacing w:before="0" w:after="0"/>
              <w:rPr/>
            </w:pPr>
            <w:r>
              <w:rPr/>
              <w:t xml:space="preserve">  </w:t>
            </w:r>
          </w:p>
        </w:tc>
        <w:tc>
          <w:tcPr>
            <w:tcW w:w="19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94" w:name="hangingindent123"/>
      <w:bookmarkStart w:id="1195" w:name="hangingindent123"/>
      <w:bookmarkEnd w:id="1195"/>
    </w:p>
    <w:tbl>
      <w:tblPr>
        <w:tblW w:w="5000" w:type="pct"/>
        <w:jc w:val="center"/>
        <w:tblInd w:w="0" w:type="dxa"/>
        <w:tblCellMar>
          <w:top w:w="0" w:type="dxa"/>
          <w:left w:w="0" w:type="dxa"/>
          <w:bottom w:w="0" w:type="dxa"/>
          <w:right w:w="0" w:type="dxa"/>
        </w:tblCellMar>
      </w:tblPr>
      <w:tblGrid>
        <w:gridCol w:w="78"/>
        <w:gridCol w:w="204"/>
        <w:gridCol w:w="9923"/>
      </w:tblGrid>
      <w:tr>
        <w:trPr/>
        <w:tc>
          <w:tcPr>
            <w:tcW w:w="78" w:type="dxa"/>
            <w:tcBorders/>
            <w:shd w:fill="auto" w:val="clear"/>
          </w:tcPr>
          <w:p>
            <w:pPr>
              <w:pStyle w:val="TableContents"/>
              <w:spacing w:before="0" w:after="0"/>
              <w:rPr/>
            </w:pPr>
            <w:r>
              <w:rPr/>
              <w:t xml:space="preserve">  </w:t>
            </w:r>
          </w:p>
        </w:tc>
        <w:tc>
          <w:tcPr>
            <w:tcW w:w="2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96" w:name="hangingindent124"/>
      <w:bookmarkStart w:id="1197" w:name="hangingindent124"/>
      <w:bookmarkEnd w:id="1197"/>
    </w:p>
    <w:tbl>
      <w:tblPr>
        <w:tblW w:w="5000" w:type="pct"/>
        <w:jc w:val="center"/>
        <w:tblInd w:w="0" w:type="dxa"/>
        <w:tblCellMar>
          <w:top w:w="0" w:type="dxa"/>
          <w:left w:w="0" w:type="dxa"/>
          <w:bottom w:w="0" w:type="dxa"/>
          <w:right w:w="0" w:type="dxa"/>
        </w:tblCellMar>
      </w:tblPr>
      <w:tblGrid>
        <w:gridCol w:w="208"/>
        <w:gridCol w:w="9997"/>
      </w:tblGrid>
      <w:tr>
        <w:trPr/>
        <w:tc>
          <w:tcPr>
            <w:tcW w:w="20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98" w:name="hangingindent125"/>
      <w:bookmarkStart w:id="1199" w:name="hangingindent125"/>
      <w:bookmarkEnd w:id="1199"/>
    </w:p>
    <w:tbl>
      <w:tblPr>
        <w:tblW w:w="5000" w:type="pct"/>
        <w:jc w:val="center"/>
        <w:tblInd w:w="0" w:type="dxa"/>
        <w:tblCellMar>
          <w:top w:w="0" w:type="dxa"/>
          <w:left w:w="0" w:type="dxa"/>
          <w:bottom w:w="0" w:type="dxa"/>
          <w:right w:w="0" w:type="dxa"/>
        </w:tblCellMar>
      </w:tblPr>
      <w:tblGrid>
        <w:gridCol w:w="85"/>
        <w:gridCol w:w="196"/>
        <w:gridCol w:w="9924"/>
      </w:tblGrid>
      <w:tr>
        <w:trPr/>
        <w:tc>
          <w:tcPr>
            <w:tcW w:w="85" w:type="dxa"/>
            <w:tcBorders/>
            <w:shd w:fill="auto" w:val="clear"/>
          </w:tcPr>
          <w:p>
            <w:pPr>
              <w:pStyle w:val="TableContents"/>
              <w:spacing w:before="0" w:after="0"/>
              <w:rPr/>
            </w:pPr>
            <w:r>
              <w:rPr/>
              <w:t xml:space="preserve">  </w:t>
            </w:r>
          </w:p>
        </w:tc>
        <w:tc>
          <w:tcPr>
            <w:tcW w:w="19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00" w:name="hangingindent126"/>
      <w:bookmarkStart w:id="1201" w:name="hangingindent126"/>
      <w:bookmarkEnd w:id="1201"/>
    </w:p>
    <w:tbl>
      <w:tblPr>
        <w:tblW w:w="5000" w:type="pct"/>
        <w:jc w:val="center"/>
        <w:tblInd w:w="0" w:type="dxa"/>
        <w:tblCellMar>
          <w:top w:w="0" w:type="dxa"/>
          <w:left w:w="0" w:type="dxa"/>
          <w:bottom w:w="0" w:type="dxa"/>
          <w:right w:w="0" w:type="dxa"/>
        </w:tblCellMar>
      </w:tblPr>
      <w:tblGrid>
        <w:gridCol w:w="101"/>
        <w:gridCol w:w="227"/>
        <w:gridCol w:w="9877"/>
      </w:tblGrid>
      <w:tr>
        <w:trPr/>
        <w:tc>
          <w:tcPr>
            <w:tcW w:w="101" w:type="dxa"/>
            <w:tcBorders/>
            <w:shd w:fill="auto" w:val="clear"/>
          </w:tcPr>
          <w:p>
            <w:pPr>
              <w:pStyle w:val="TableContents"/>
              <w:spacing w:before="0" w:after="0"/>
              <w:rPr/>
            </w:pPr>
            <w:r>
              <w:rPr/>
              <w:t xml:space="preserve">  </w:t>
            </w:r>
          </w:p>
        </w:tc>
        <w:tc>
          <w:tcPr>
            <w:tcW w:w="22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87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Date:           </w:t>
      </w:r>
      <w:r>
        <w:rPr>
          <w:rFonts w:ascii="times new roman" w:hAnsi="times new roman"/>
          <w:color w:val="0000FF"/>
          <w:sz w:val="20"/>
          <w:u w:val="single"/>
          <w:bdr w:val="double" w:sz="2" w:space="1" w:color="000000"/>
        </w:rPr>
        <w:t>October 13, 2011.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/s/ Denis Corin</w:t>
      </w:r>
    </w:p>
    <w:p>
      <w:pPr>
        <w:pStyle w:val="TextBody"/>
        <w:spacing w:before="0" w:after="0"/>
        <w:ind w:left="0" w:right="0" w:hanging="0"/>
        <w:jc w:val="both"/>
        <w:rPr>
          <w:rFonts w:ascii="Times New Roman" w:hAnsi="Times New Roman"/>
          <w:sz w:val="20"/>
        </w:rPr>
      </w:pPr>
      <w:r>
        <w:rPr>
          <w:rFonts w:ascii="Times New Roman" w:hAnsi="Times New Roman"/>
          <w:sz w:val="20"/>
        </w:rPr>
        <w:t>By:           </w:t>
      </w:r>
      <w:r>
        <w:rPr>
          <w:rFonts w:ascii="Times New Roman" w:hAnsi="Times New Roman"/>
          <w:b/>
          <w:sz w:val="20"/>
        </w:rPr>
        <w:t>Denis Corin</w:t>
      </w:r>
    </w:p>
    <w:p>
      <w:pPr>
        <w:pStyle w:val="TextBody"/>
        <w:spacing w:before="0" w:after="0"/>
        <w:ind w:left="0" w:right="0" w:hanging="0"/>
        <w:jc w:val="both"/>
        <w:rPr>
          <w:rFonts w:ascii="Times New Roman" w:hAnsi="Times New Roman"/>
          <w:sz w:val="20"/>
        </w:rPr>
      </w:pPr>
      <w:r>
        <w:rPr>
          <w:rFonts w:ascii="Times New Roman" w:hAnsi="Times New Roman"/>
          <w:sz w:val="20"/>
        </w:rPr>
        <w:t>Title:        Chief Financial Officer and Acting Principal Accounting Officer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02" w:name="PGBRK101"/>
      <w:bookmarkStart w:id="1203" w:name="PGBRK101"/>
      <w:bookmarkEnd w:id="1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4" w:name="FTR101"/>
      <w:bookmarkStart w:id="1205" w:name="FTR101"/>
      <w:bookmarkEnd w:id="1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06" w:name="GLFTR101"/>
      <w:bookmarkEnd w:id="12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07" w:name="PN100"/>
      <w:bookmarkEnd w:id="1207"/>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8" w:name="HDR100"/>
      <w:bookmarkStart w:id="1209" w:name="HDR100"/>
      <w:bookmarkEnd w:id="1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10" w:name="GLHDR100"/>
      <w:bookmarkEnd w:id="12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right"/>
        <w:rPr>
          <w:rFonts w:ascii="Times New Roman" w:hAnsi="Times New Roman"/>
          <w:b/>
          <w:sz w:val="20"/>
        </w:rPr>
      </w:pPr>
      <w:r>
        <w:rPr>
          <w:rFonts w:ascii="Times New Roman" w:hAnsi="Times New Roman"/>
          <w:b/>
          <w:sz w:val="20"/>
        </w:rPr>
        <w:t>Exhibit 32.1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PRINCIPAL EXECUTIVE OFFICER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18 U.S.C. SECTION 1350,</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undersigned, Glynn Wilson, the Principal Executive Officer of TapImmune Inc. (the “Company”) hereby certifies, pursuant to 18 U.S.C. Section 1350, as adopted pursuant to Section 906 of the Sarbanes-Oxley Act of 2002, that, to his or her knowledge, the Report on Form 10-Q</w:t>
      </w:r>
      <w:r>
        <w:rPr>
          <w:rFonts w:ascii="times new roman" w:hAnsi="times new roman"/>
          <w:color w:val="0000FF"/>
          <w:sz w:val="20"/>
          <w:u w:val="single"/>
          <w:bdr w:val="double" w:sz="2" w:space="1" w:color="000000"/>
        </w:rPr>
        <w:t>/A</w:t>
      </w:r>
      <w:r>
        <w:rPr>
          <w:rFonts w:ascii="Times New Roman" w:hAnsi="Times New Roman"/>
          <w:sz w:val="20"/>
        </w:rPr>
        <w:t xml:space="preserve"> of TapImmune Inc., for the quarterly period ended September 30, 2010 fully complies with the requirements of Section 13(a) or 15(d) of the Securities Exchange Act of 1934, and that the information contained in the Report on Form 10-Q</w:t>
      </w:r>
      <w:r>
        <w:rPr>
          <w:rFonts w:ascii="times new roman" w:hAnsi="times new roman"/>
          <w:color w:val="0000FF"/>
          <w:sz w:val="20"/>
          <w:u w:val="single"/>
          <w:bdr w:val="double" w:sz="2" w:space="1" w:color="000000"/>
        </w:rPr>
        <w:t>/A</w:t>
      </w:r>
      <w:r>
        <w:rPr>
          <w:rFonts w:ascii="Times New Roman" w:hAnsi="Times New Roman"/>
          <w:sz w:val="20"/>
        </w:rPr>
        <w:t xml:space="preserve"> fairly presents in all material respects the financial condition and results of operations of TapImmune Inc.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color w:val="0000FF"/>
          <w:sz w:val="20"/>
          <w:u w:val="single"/>
          <w:bdr w:val="double" w:sz="2" w:space="1" w:color="000000"/>
        </w:rPr>
        <w:t>October 13, 2011.</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157"/>
        <w:gridCol w:w="9048"/>
      </w:tblGrid>
      <w:tr>
        <w:trPr/>
        <w:tc>
          <w:tcPr>
            <w:tcW w:w="1157" w:type="dxa"/>
            <w:tcBorders/>
            <w:shd w:fill="auto" w:val="clear"/>
          </w:tcPr>
          <w:p>
            <w:pPr>
              <w:pStyle w:val="TableContents"/>
              <w:spacing w:before="0" w:after="283"/>
              <w:rPr/>
            </w:pPr>
            <w:r>
              <w:rPr/>
              <w:t xml:space="preserve">  </w:t>
            </w:r>
          </w:p>
        </w:tc>
        <w:tc>
          <w:tcPr>
            <w:tcW w:w="9048" w:type="dxa"/>
            <w:tcBorders/>
            <w:shd w:fill="auto" w:val="clear"/>
          </w:tcPr>
          <w:p>
            <w:pPr>
              <w:pStyle w:val="TableContents"/>
              <w:spacing w:before="0" w:after="0"/>
              <w:ind w:left="720" w:right="0" w:hanging="720"/>
              <w:jc w:val="both"/>
              <w:rPr>
                <w:rFonts w:ascii="times new roman" w:hAnsi="times new roman"/>
                <w:i/>
                <w:sz w:val="20"/>
              </w:rPr>
            </w:pPr>
            <w:r>
              <w:rPr>
                <w:rFonts w:ascii="times new roman" w:hAnsi="times new roman"/>
                <w:i/>
                <w:sz w:val="20"/>
              </w:rPr>
              <w:t>/s/ Glynn Wilson</w:t>
            </w:r>
          </w:p>
          <w:p>
            <w:pPr>
              <w:pStyle w:val="TableContents"/>
              <w:spacing w:before="0" w:after="0"/>
              <w:ind w:left="720" w:right="0" w:hanging="720"/>
              <w:jc w:val="left"/>
              <w:rPr>
                <w:rFonts w:ascii="times new roman" w:hAnsi="times new roman"/>
                <w:sz w:val="20"/>
              </w:rPr>
            </w:pPr>
            <w:r>
              <w:rPr>
                <w:rFonts w:ascii="times new roman" w:hAnsi="times new roman"/>
                <w:sz w:val="20"/>
              </w:rPr>
              <w:t>________________________________</w:t>
            </w:r>
          </w:p>
        </w:tc>
      </w:tr>
      <w:tr>
        <w:trPr/>
        <w:tc>
          <w:tcPr>
            <w:tcW w:w="1157" w:type="dxa"/>
            <w:tcBorders/>
            <w:shd w:fill="auto" w:val="clear"/>
          </w:tcPr>
          <w:p>
            <w:pPr>
              <w:pStyle w:val="TableContents"/>
              <w:spacing w:before="0" w:after="283"/>
              <w:rPr/>
            </w:pPr>
            <w:r>
              <w:rPr/>
              <w:t xml:space="preserve">  </w:t>
            </w:r>
          </w:p>
        </w:tc>
        <w:tc>
          <w:tcPr>
            <w:tcW w:w="9048"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Glynn Wilson</w:t>
            </w:r>
          </w:p>
          <w:p>
            <w:pPr>
              <w:pStyle w:val="TableContents"/>
              <w:spacing w:before="0" w:after="0"/>
              <w:ind w:left="0" w:right="0" w:hanging="0"/>
              <w:jc w:val="left"/>
              <w:rPr>
                <w:rFonts w:ascii="times new roman" w:hAnsi="times new roman"/>
                <w:sz w:val="20"/>
              </w:rPr>
            </w:pPr>
            <w:r>
              <w:rPr>
                <w:rFonts w:ascii="times new roman" w:hAnsi="times new roman"/>
                <w:sz w:val="20"/>
              </w:rPr>
              <w:t>Chairman and</w:t>
            </w:r>
          </w:p>
          <w:p>
            <w:pPr>
              <w:pStyle w:val="TableContents"/>
              <w:spacing w:before="0" w:after="0"/>
              <w:ind w:left="0" w:right="0" w:hanging="0"/>
              <w:jc w:val="left"/>
              <w:rPr>
                <w:rFonts w:ascii="times new roman" w:hAnsi="times new roman"/>
                <w:sz w:val="20"/>
              </w:rPr>
            </w:pPr>
            <w:r>
              <w:rPr>
                <w:rFonts w:ascii="times new roman" w:hAnsi="times new roman"/>
                <w:sz w:val="20"/>
              </w:rPr>
              <w:t>Principal Executive Officer</w:t>
            </w:r>
          </w:p>
        </w:tc>
      </w:tr>
    </w:tbl>
    <w:p>
      <w:pPr>
        <w:pStyle w:val="TextBody"/>
        <w:spacing w:before="0" w:after="0"/>
        <w:ind w:left="0" w:right="0" w:hanging="0"/>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HorizontalLine"/>
        <w:pBdr>
          <w:bottom w:val="single" w:sz="24"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211" w:name="PGBRK102"/>
      <w:bookmarkStart w:id="1212" w:name="PGBRK102"/>
      <w:bookmarkEnd w:id="1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213" w:name="FTR102"/>
      <w:bookmarkStart w:id="1214" w:name="FTR102"/>
      <w:bookmarkEnd w:id="1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215" w:name="GLFTR102"/>
      <w:bookmarkEnd w:id="12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16" w:name="PN101"/>
      <w:bookmarkEnd w:id="1216"/>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217" w:name="HDR101"/>
      <w:bookmarkStart w:id="1218" w:name="HDR101"/>
      <w:bookmarkEnd w:id="1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219" w:name="GLHDR101"/>
      <w:bookmarkEnd w:id="12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right"/>
        <w:rPr>
          <w:rFonts w:ascii="Times New Roman" w:hAnsi="Times New Roman"/>
          <w:b/>
          <w:sz w:val="20"/>
        </w:rPr>
      </w:pPr>
      <w:r>
        <w:rPr>
          <w:rFonts w:ascii="Times New Roman" w:hAnsi="Times New Roman"/>
          <w:b/>
          <w:sz w:val="20"/>
        </w:rPr>
        <w:t>Exhibit 32.2</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ACTING PRINCIPAL ACCOUNTING OFFICER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18 U.S.C. SECTION 1350,</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undersigned, Denis Corin, the Acting Principal Accounting Officer of TapImmune Inc. (the “Company”) hereby certifies, pursuant to 18 U.S.C. Section 1350, as adopted pursuant to Section 906 of the Sarbanes-Oxley Act of 2002, that, to his or her knowledge, the Report on Form 10-Q</w:t>
      </w:r>
      <w:r>
        <w:rPr>
          <w:rFonts w:ascii="times new roman" w:hAnsi="times new roman"/>
          <w:color w:val="0000FF"/>
          <w:sz w:val="20"/>
          <w:u w:val="single"/>
          <w:bdr w:val="double" w:sz="2" w:space="1" w:color="000000"/>
        </w:rPr>
        <w:t>/A</w:t>
      </w:r>
      <w:r>
        <w:rPr>
          <w:rFonts w:ascii="Times New Roman" w:hAnsi="Times New Roman"/>
          <w:sz w:val="20"/>
        </w:rPr>
        <w:t xml:space="preserve"> of TapImmune Inc., for the quarterly period ended September 30, 2010 fully complies with the requirements of Section 13(a) or 15(d) of the Securities Exchange Act of 1934, and that the information contained in the Report on Form 10-Q</w:t>
      </w:r>
      <w:r>
        <w:rPr>
          <w:rFonts w:ascii="times new roman" w:hAnsi="times new roman"/>
          <w:color w:val="0000FF"/>
          <w:sz w:val="20"/>
          <w:u w:val="single"/>
          <w:bdr w:val="double" w:sz="2" w:space="1" w:color="000000"/>
        </w:rPr>
        <w:t>/A</w:t>
      </w:r>
      <w:r>
        <w:rPr>
          <w:rFonts w:ascii="Times New Roman" w:hAnsi="Times New Roman"/>
          <w:sz w:val="20"/>
        </w:rPr>
        <w:t xml:space="preserve"> fairly presents in all material respects the financial condition and results of operations of TapImmune Inc.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w:t>
      </w:r>
      <w:r>
        <w:rPr>
          <w:rFonts w:ascii="times new roman" w:hAnsi="times new roman"/>
          <w:color w:val="0000FF"/>
          <w:sz w:val="20"/>
          <w:u w:val="single"/>
          <w:bdr w:val="double" w:sz="2" w:space="1" w:color="000000"/>
        </w:rPr>
        <w:t>October 13, 2011.</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156"/>
        <w:gridCol w:w="9049"/>
      </w:tblGrid>
      <w:tr>
        <w:trPr/>
        <w:tc>
          <w:tcPr>
            <w:tcW w:w="1156" w:type="dxa"/>
            <w:tcBorders/>
            <w:shd w:fill="auto" w:val="clear"/>
          </w:tcPr>
          <w:p>
            <w:pPr>
              <w:pStyle w:val="TableContents"/>
              <w:spacing w:before="0" w:after="283"/>
              <w:rPr/>
            </w:pPr>
            <w:r>
              <w:rPr/>
              <w:t xml:space="preserve">  </w:t>
            </w:r>
          </w:p>
        </w:tc>
        <w:tc>
          <w:tcPr>
            <w:tcW w:w="9049" w:type="dxa"/>
            <w:tcBorders/>
            <w:shd w:fill="auto" w:val="clear"/>
          </w:tcPr>
          <w:p>
            <w:pPr>
              <w:pStyle w:val="TableContents"/>
              <w:spacing w:before="0" w:after="0"/>
              <w:ind w:left="720" w:right="0" w:hanging="720"/>
              <w:jc w:val="both"/>
              <w:rPr>
                <w:rFonts w:ascii="times new roman" w:hAnsi="times new roman"/>
                <w:i/>
                <w:sz w:val="20"/>
              </w:rPr>
            </w:pPr>
            <w:r>
              <w:rPr>
                <w:rFonts w:ascii="times new roman" w:hAnsi="times new roman"/>
                <w:i/>
                <w:sz w:val="20"/>
              </w:rPr>
              <w:t>/s/ Denis Corin</w:t>
            </w:r>
          </w:p>
          <w:p>
            <w:pPr>
              <w:pStyle w:val="TableContents"/>
              <w:spacing w:before="0" w:after="0"/>
              <w:ind w:left="720" w:right="0" w:hanging="720"/>
              <w:jc w:val="left"/>
              <w:rPr>
                <w:rFonts w:ascii="times new roman" w:hAnsi="times new roman"/>
                <w:sz w:val="20"/>
              </w:rPr>
            </w:pPr>
            <w:r>
              <w:rPr>
                <w:rFonts w:ascii="times new roman" w:hAnsi="times new roman"/>
                <w:sz w:val="20"/>
              </w:rPr>
              <w:t>__________________________________</w:t>
            </w:r>
          </w:p>
        </w:tc>
      </w:tr>
      <w:tr>
        <w:trPr/>
        <w:tc>
          <w:tcPr>
            <w:tcW w:w="1156" w:type="dxa"/>
            <w:tcBorders/>
            <w:shd w:fill="auto" w:val="clear"/>
          </w:tcPr>
          <w:p>
            <w:pPr>
              <w:pStyle w:val="TableContents"/>
              <w:spacing w:before="0" w:after="283"/>
              <w:rPr/>
            </w:pPr>
            <w:r>
              <w:rPr/>
              <w:t xml:space="preserve">  </w:t>
            </w:r>
          </w:p>
        </w:tc>
        <w:tc>
          <w:tcPr>
            <w:tcW w:w="9049"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Denis Corin</w:t>
            </w:r>
          </w:p>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 and</w:t>
            </w:r>
          </w:p>
          <w:p>
            <w:pPr>
              <w:pStyle w:val="TableContents"/>
              <w:spacing w:before="0" w:after="0"/>
              <w:ind w:left="0" w:right="0" w:hanging="0"/>
              <w:jc w:val="left"/>
              <w:rPr>
                <w:rFonts w:ascii="times new roman" w:hAnsi="times new roman"/>
                <w:sz w:val="20"/>
              </w:rPr>
            </w:pPr>
            <w:r>
              <w:rPr>
                <w:rFonts w:ascii="times new roman" w:hAnsi="times new roman"/>
                <w:sz w:val="20"/>
              </w:rPr>
              <w:t>Acting Principal Accounting Officer</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20" w:name="PGBRK103"/>
      <w:bookmarkStart w:id="1221" w:name="PGBRK103"/>
      <w:bookmarkEnd w:id="1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2" w:name="FTR103"/>
      <w:bookmarkStart w:id="1223" w:name="FTR103"/>
      <w:bookmarkEnd w:id="1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24" w:name="GLFTR103"/>
      <w:bookmarkEnd w:id="12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25" w:name="PN102"/>
      <w:bookmarkEnd w:id="1225"/>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6" w:name="HDR102"/>
      <w:bookmarkStart w:id="1227" w:name="HDR102"/>
      <w:bookmarkEnd w:id="1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28" w:name="GLHDR102"/>
      <w:bookmarkEnd w:id="1228"/>
      <w:r>
        <w:rPr/>
        <w:t xml:space="preserve">  </w:t>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2">
    <w:altName w:val="serif"/>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51817</Words>
  <CharactersWithSpaces>337275</CharactersWithSpaces>
  <Paragraphs>13132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