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Silverman Joshua</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11/28/2016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6"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TAPIMMUNE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TPIV</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60"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20" w:type="dxa"/>
            <w:vAlign w:val="bottom"/>
          </w:tcPr>
          <w:p>
            <w:pPr>
              <w:ind w:left="340"/>
              <w:spacing w:after="0"/>
              <w:rPr>
                <w:sz w:val="20"/>
                <w:szCs w:val="20"/>
                <w:color w:val="auto"/>
              </w:rPr>
            </w:pPr>
            <w:r>
              <w:rPr>
                <w:rFonts w:ascii="Arial" w:cs="Arial" w:eastAsia="Arial" w:hAnsi="Arial"/>
                <w:sz w:val="14"/>
                <w:szCs w:val="14"/>
                <w:color w:val="auto"/>
              </w:rPr>
              <w:t>(First)</w:t>
            </w:r>
          </w:p>
        </w:tc>
        <w:tc>
          <w:tcPr>
            <w:tcW w:w="1340" w:type="dxa"/>
            <w:vAlign w:val="bottom"/>
          </w:tcPr>
          <w:p>
            <w:pPr>
              <w:ind w:left="30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9"/>
              </w:rPr>
              <w:t>50 NORTH LAURA STREET, SUITE 2500</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r>
      <w:tr>
        <w:trPr>
          <w:trHeight w:val="272"/>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JACKSONVILLE FL</w:t>
            </w:r>
          </w:p>
        </w:tc>
        <w:tc>
          <w:tcPr>
            <w:tcW w:w="1340" w:type="dxa"/>
            <w:vAlign w:val="bottom"/>
          </w:tcPr>
          <w:p>
            <w:pPr>
              <w:jc w:val="right"/>
              <w:ind w:right="426"/>
              <w:spacing w:after="0"/>
              <w:rPr>
                <w:sz w:val="20"/>
                <w:szCs w:val="20"/>
                <w:color w:val="auto"/>
              </w:rPr>
            </w:pPr>
            <w:r>
              <w:rPr>
                <w:rFonts w:ascii="Times New Roman" w:cs="Times New Roman" w:eastAsia="Times New Roman" w:hAnsi="Times New Roman"/>
                <w:sz w:val="18"/>
                <w:szCs w:val="18"/>
                <w:color w:val="0000FF"/>
              </w:rPr>
              <w:t>32202</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12"/>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20" w:type="dxa"/>
            <w:vAlign w:val="bottom"/>
          </w:tcPr>
          <w:p>
            <w:pPr>
              <w:ind w:left="340"/>
              <w:spacing w:after="0"/>
              <w:rPr>
                <w:sz w:val="20"/>
                <w:szCs w:val="20"/>
                <w:color w:val="auto"/>
              </w:rPr>
            </w:pPr>
            <w:r>
              <w:rPr>
                <w:rFonts w:ascii="Arial" w:cs="Arial" w:eastAsia="Arial" w:hAnsi="Arial"/>
                <w:sz w:val="14"/>
                <w:szCs w:val="14"/>
                <w:color w:val="auto"/>
              </w:rPr>
              <w:t>(State)</w:t>
            </w:r>
          </w:p>
        </w:tc>
        <w:tc>
          <w:tcPr>
            <w:tcW w:w="1340" w:type="dxa"/>
            <w:vAlign w:val="bottom"/>
          </w:tcPr>
          <w:p>
            <w:pPr>
              <w:ind w:left="3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8"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484"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4"/>
                <w:szCs w:val="14"/>
                <w:color w:val="auto"/>
              </w:rPr>
            </w:pPr>
          </w:p>
        </w:tc>
        <w:tc>
          <w:tcPr>
            <w:tcW w:w="180" w:type="dxa"/>
            <w:vAlign w:val="bottom"/>
            <w:gridSpan w:val="2"/>
          </w:tcPr>
          <w:p>
            <w:pPr>
              <w:ind w:left="20"/>
              <w:spacing w:after="0"/>
              <w:rPr>
                <w:sz w:val="20"/>
                <w:szCs w:val="20"/>
                <w:color w:val="auto"/>
              </w:rPr>
            </w:pPr>
            <w:r>
              <w:rPr>
                <w:rFonts w:ascii="Arial" w:cs="Arial" w:eastAsia="Arial" w:hAnsi="Arial"/>
                <w:sz w:val="14"/>
                <w:szCs w:val="14"/>
                <w:b w:val="1"/>
                <w:bCs w:val="1"/>
                <w:color w:val="auto"/>
              </w:rPr>
              <w:t>5.</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4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2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continue"/>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40" w:type="dxa"/>
            <w:vAlign w:val="bottom"/>
            <w:gridSpan w:val="2"/>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20" w:type="dxa"/>
            <w:vAlign w:val="bottom"/>
            <w:gridSpan w:val="4"/>
          </w:tcPr>
          <w:p>
            <w:pPr>
              <w:ind w:left="20"/>
              <w:spacing w:after="0" w:line="141"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3" w:lineRule="exact"/>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vMerge w:val="continue"/>
          </w:tcPr>
          <w:p>
            <w:pPr>
              <w:spacing w:after="0"/>
              <w:rPr>
                <w:sz w:val="16"/>
                <w:szCs w:val="16"/>
                <w:color w:val="auto"/>
              </w:rPr>
            </w:pP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Mark A. Catchur as Attorney-</w:t>
            </w:r>
          </w:p>
        </w:tc>
        <w:tc>
          <w:tcPr>
            <w:tcW w:w="23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0000FF"/>
              </w:rPr>
              <w:t>11/30/2016</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60" w:type="dxa"/>
            <w:vAlign w:val="bottom"/>
            <w:tcBorders>
              <w:top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7"/>
              </w:rPr>
              <w:t>In-Fact for Joshua Silverman</w:t>
            </w:r>
          </w:p>
        </w:tc>
        <w:tc>
          <w:tcPr>
            <w:tcW w:w="20" w:type="dxa"/>
            <w:vAlign w:val="bottom"/>
            <w:tcBorders>
              <w:top w:val="single" w:sz="8" w:color="auto"/>
            </w:tcBorders>
            <w:vMerge w:val="restart"/>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60" w:type="dxa"/>
            <w:vAlign w:val="bottom"/>
            <w:tcBorders>
              <w:top w:val="single" w:sz="8" w:color="auto"/>
              <w:bottom w:val="single" w:sz="8" w:color="auto"/>
            </w:tcBorders>
            <w:gridSpan w:val="2"/>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 FOR SECTION 16 FILINGS</w:t>
      </w:r>
    </w:p>
    <w:p>
      <w:pPr>
        <w:spacing w:after="0" w:line="31" w:lineRule="exact"/>
        <w:rPr>
          <w:sz w:val="20"/>
          <w:szCs w:val="20"/>
          <w:color w:val="auto"/>
        </w:rPr>
      </w:pPr>
    </w:p>
    <w:p>
      <w:pPr>
        <w:ind w:right="3679" w:firstLine="737"/>
        <w:spacing w:after="0" w:line="238" w:lineRule="auto"/>
        <w:rPr>
          <w:sz w:val="20"/>
          <w:szCs w:val="20"/>
          <w:color w:val="auto"/>
        </w:rPr>
      </w:pPr>
      <w:r>
        <w:rPr>
          <w:rFonts w:ascii="Courier New" w:cs="Courier New" w:eastAsia="Courier New" w:hAnsi="Courier New"/>
          <w:sz w:val="18"/>
          <w:szCs w:val="18"/>
          <w:color w:val="auto"/>
        </w:rPr>
        <w:t>The undersigned, Joshua Silverman, an individual, (the "Undersigned") does hereby make, constitute and appoint Mark A. Catchur, Paul Lynch, April Richards-Parker, Edward Richardson, Glynn Wilson, Judy Jaggie and Elizabeth Donnelley, and each of them acting individually, his true and lawful attorneys for the purposes hereinafter set forth, effective as of this 29th day of November, 2016.</w:t>
      </w:r>
    </w:p>
    <w:p>
      <w:pPr>
        <w:spacing w:after="0" w:line="3" w:lineRule="exact"/>
        <w:rPr>
          <w:sz w:val="20"/>
          <w:szCs w:val="20"/>
          <w:color w:val="auto"/>
        </w:rPr>
      </w:pPr>
    </w:p>
    <w:p>
      <w:pPr>
        <w:ind w:right="3359" w:firstLine="737"/>
        <w:spacing w:after="0" w:line="238" w:lineRule="auto"/>
        <w:rPr>
          <w:sz w:val="20"/>
          <w:szCs w:val="20"/>
          <w:color w:val="auto"/>
        </w:rPr>
      </w:pPr>
      <w:r>
        <w:rPr>
          <w:rFonts w:ascii="Courier New" w:cs="Courier New" w:eastAsia="Courier New" w:hAnsi="Courier New"/>
          <w:sz w:val="18"/>
          <w:szCs w:val="18"/>
          <w:color w:val="auto"/>
        </w:rPr>
        <w:t>References in this power of attorney to "attorney-in-fact" are to each of the persons named above and to the person or persons substituted hereunder pursuant to the power of substitution granted herein.</w:t>
      </w:r>
    </w:p>
    <w:p>
      <w:pPr>
        <w:spacing w:after="0" w:line="1" w:lineRule="exact"/>
        <w:rPr>
          <w:sz w:val="20"/>
          <w:szCs w:val="20"/>
          <w:color w:val="auto"/>
        </w:rPr>
      </w:pPr>
    </w:p>
    <w:p>
      <w:pPr>
        <w:ind w:right="3579" w:firstLine="737"/>
        <w:spacing w:after="0" w:line="268" w:lineRule="auto"/>
        <w:rPr>
          <w:sz w:val="20"/>
          <w:szCs w:val="20"/>
          <w:color w:val="auto"/>
        </w:rPr>
      </w:pPr>
      <w:r>
        <w:rPr>
          <w:rFonts w:ascii="Courier New" w:cs="Courier New" w:eastAsia="Courier New" w:hAnsi="Courier New"/>
          <w:sz w:val="16"/>
          <w:szCs w:val="16"/>
          <w:color w:val="auto"/>
        </w:rPr>
        <w:t>The Undersigned hereby grants to the Attorney-in-Fact, for the Undersigned and in his name, place and stead the power:</w:t>
      </w:r>
    </w:p>
    <w:p>
      <w:pPr>
        <w:ind w:right="3579" w:firstLine="745"/>
        <w:spacing w:after="0" w:line="238" w:lineRule="auto"/>
        <w:tabs>
          <w:tab w:leader="none" w:pos="115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or any rule or regulation of the SEC;</w:t>
      </w:r>
    </w:p>
    <w:p>
      <w:pPr>
        <w:spacing w:after="0" w:line="2" w:lineRule="exact"/>
        <w:rPr>
          <w:rFonts w:ascii="Courier New" w:cs="Courier New" w:eastAsia="Courier New" w:hAnsi="Courier New"/>
          <w:sz w:val="18"/>
          <w:szCs w:val="18"/>
          <w:color w:val="auto"/>
        </w:rPr>
      </w:pPr>
    </w:p>
    <w:p>
      <w:pPr>
        <w:ind w:left="1160" w:hanging="415"/>
        <w:spacing w:after="0" w:line="238"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w:t>
      </w:r>
    </w:p>
    <w:p>
      <w:pPr>
        <w:ind w:right="3899"/>
        <w:spacing w:after="0" w:line="238" w:lineRule="auto"/>
        <w:rPr>
          <w:sz w:val="20"/>
          <w:szCs w:val="20"/>
          <w:color w:val="auto"/>
        </w:rPr>
      </w:pPr>
      <w:r>
        <w:rPr>
          <w:rFonts w:ascii="Courier New" w:cs="Courier New" w:eastAsia="Courier New" w:hAnsi="Courier New"/>
          <w:sz w:val="18"/>
          <w:szCs w:val="18"/>
          <w:color w:val="auto"/>
        </w:rPr>
        <w:t>the undersigned's capacity as an officer and/or director of TapImmune, Inc. (the "Company"), Forms 3, 4, and 5 in accordance with Section 16(a) of the Securities Exchange Act of 1934 and the rules thereunder;</w:t>
      </w:r>
    </w:p>
    <w:p>
      <w:pPr>
        <w:spacing w:after="0" w:line="1" w:lineRule="exact"/>
        <w:rPr>
          <w:sz w:val="20"/>
          <w:szCs w:val="20"/>
          <w:color w:val="auto"/>
        </w:rPr>
      </w:pPr>
    </w:p>
    <w:p>
      <w:pPr>
        <w:ind w:right="3679" w:firstLine="745"/>
        <w:spacing w:after="0" w:line="238" w:lineRule="auto"/>
        <w:tabs>
          <w:tab w:leader="none" w:pos="115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right="3359" w:firstLine="745"/>
        <w:spacing w:after="0" w:line="238" w:lineRule="auto"/>
        <w:tabs>
          <w:tab w:leader="none" w:pos="115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18"/>
          <w:szCs w:val="18"/>
          <w:color w:val="auto"/>
        </w:rPr>
      </w:pPr>
    </w:p>
    <w:p>
      <w:pPr>
        <w:ind w:right="3259" w:firstLine="84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w:t>
      </w:r>
    </w:p>
    <w:p>
      <w:pPr>
        <w:spacing w:after="0" w:line="2" w:lineRule="exact"/>
        <w:rPr>
          <w:rFonts w:ascii="Courier New" w:cs="Courier New" w:eastAsia="Courier New" w:hAnsi="Courier New"/>
          <w:sz w:val="18"/>
          <w:szCs w:val="18"/>
          <w:color w:val="auto"/>
        </w:rPr>
      </w:pPr>
    </w:p>
    <w:p>
      <w:pPr>
        <w:ind w:right="3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The Undersigned shall indemnify and hold harmless each attorney-in-fact for any exercise of the powers granted hereby.</w:t>
      </w:r>
    </w:p>
    <w:p>
      <w:pPr>
        <w:spacing w:after="0" w:line="4" w:lineRule="exact"/>
        <w:rPr>
          <w:rFonts w:ascii="Courier New" w:cs="Courier New" w:eastAsia="Courier New" w:hAnsi="Courier New"/>
          <w:sz w:val="18"/>
          <w:szCs w:val="18"/>
          <w:color w:val="auto"/>
        </w:rPr>
      </w:pPr>
    </w:p>
    <w:p>
      <w:pPr>
        <w:ind w:right="3479" w:firstLine="6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rFonts w:ascii="Courier New" w:cs="Courier New" w:eastAsia="Courier New" w:hAnsi="Courier New"/>
          <w:sz w:val="18"/>
          <w:szCs w:val="18"/>
          <w:color w:val="auto"/>
        </w:rPr>
      </w:pPr>
    </w:p>
    <w:p>
      <w:pPr>
        <w:jc w:val="both"/>
        <w:ind w:right="3579" w:firstLine="527"/>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may be executed and delivered by facsimile, PDF or other electronic transmission and shall be deemed to have the same legal effect as delivery of an original signed copy of this Power of Attorney.</w:t>
      </w:r>
    </w:p>
    <w:p>
      <w:pPr>
        <w:spacing w:after="0" w:line="90"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IN WITNESS WHEREOF, the undersigned has caused this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 to be executed on the date first written above.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Joshua Silverman</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24858"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2020-01-19T10:03:17Z</dcterms:created>
  <dcterms:modified xsi:type="dcterms:W3CDTF">2020-01-19T10:03:17Z</dcterms:modified>
</cp:coreProperties>
</file>