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00"/>
              <w:spacing w:after="0"/>
              <w:rPr>
                <w:rFonts w:ascii="Arial" w:cs="Arial" w:eastAsia="Arial" w:hAnsi="Arial"/>
                <w:sz w:val="22"/>
                <w:szCs w:val="22"/>
                <w:color w:val="0000EE"/>
                <w:w w:val="87"/>
              </w:rPr>
            </w:pPr>
            <w:hyperlink r:id="rId11">
              <w:r>
                <w:rPr>
                  <w:rFonts w:ascii="Arial" w:cs="Arial" w:eastAsia="Arial" w:hAnsi="Arial"/>
                  <w:sz w:val="22"/>
                  <w:szCs w:val="22"/>
                  <w:color w:val="0000EE"/>
                  <w:w w:val="87"/>
                </w:rPr>
                <w:t>Wasserman Frederick Gerald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01/26/2016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340"/>
              <w:spacing w:after="0"/>
              <w:rPr>
                <w:sz w:val="20"/>
                <w:szCs w:val="20"/>
                <w:color w:val="auto"/>
              </w:rPr>
            </w:pPr>
            <w:r>
              <w:rPr>
                <w:rFonts w:ascii="Arial" w:cs="Arial" w:eastAsia="Arial" w:hAnsi="Arial"/>
                <w:sz w:val="14"/>
                <w:szCs w:val="14"/>
                <w:color w:val="auto"/>
              </w:rPr>
              <w:t>(First)</w:t>
            </w:r>
          </w:p>
        </w:tc>
        <w:tc>
          <w:tcPr>
            <w:tcW w:w="134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4"/>
              </w:rPr>
              <w:t>50 NORTH LAURA STREET, SUITE 2500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340" w:type="dxa"/>
            <w:vAlign w:val="bottom"/>
          </w:tcPr>
          <w:p>
            <w:pPr>
              <w:jc w:val="right"/>
              <w:ind w:right="426"/>
              <w:spacing w:after="0"/>
              <w:rPr>
                <w:sz w:val="20"/>
                <w:szCs w:val="20"/>
                <w:color w:val="auto"/>
              </w:rPr>
            </w:pPr>
            <w:r>
              <w:rPr>
                <w:rFonts w:ascii="Arial" w:cs="Arial" w:eastAsia="Arial" w:hAnsi="Arial"/>
                <w:sz w:val="18"/>
                <w:szCs w:val="18"/>
                <w:color w:val="0000FF"/>
              </w:rPr>
              <w:t>32202</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20" w:type="dxa"/>
            <w:vAlign w:val="bottom"/>
          </w:tcPr>
          <w:p>
            <w:pPr>
              <w:ind w:left="340"/>
              <w:spacing w:after="0"/>
              <w:rPr>
                <w:sz w:val="20"/>
                <w:szCs w:val="20"/>
                <w:color w:val="auto"/>
              </w:rPr>
            </w:pPr>
            <w:r>
              <w:rPr>
                <w:rFonts w:ascii="Arial" w:cs="Arial" w:eastAsia="Arial" w:hAnsi="Arial"/>
                <w:sz w:val="14"/>
                <w:szCs w:val="14"/>
                <w:color w:val="auto"/>
              </w:rPr>
              <w:t>(State)</w:t>
            </w:r>
          </w:p>
        </w:tc>
        <w:tc>
          <w:tcPr>
            <w:tcW w:w="134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6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January 26, 2016 granted by each Reporting Person, a copy of which is filed as an exhibit and incorporated herein by reference.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Frederick  01/28/2016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Wasserman*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7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70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2120"/>
        <w:spacing w:after="0"/>
        <w:rPr>
          <w:sz w:val="20"/>
          <w:szCs w:val="20"/>
          <w:color w:val="auto"/>
        </w:rPr>
      </w:pPr>
      <w:r>
        <w:rPr>
          <w:rFonts w:ascii="Courier New" w:cs="Courier New" w:eastAsia="Courier New" w:hAnsi="Courier New"/>
          <w:sz w:val="18"/>
          <w:szCs w:val="18"/>
          <w:color w:val="auto"/>
        </w:rPr>
        <w:t>POWER OF ATTORNEY FOR SECTION 16 FILINGS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undersigned, Frederick Wasserman, an individual, (the "Undersigned") does hereby make, constitute and appoint Mark A. Catchur, Paul Lynch, April Richards-Parker, Edward Richardson, Glynn Wilson, Judy Jaggie and Elizabeth Donnelley, and each of them acting individually, his true and lawful attorneys for the purposes hereinafter set forth, effective as of this 26th day of January, 2016.</w:t>
      </w:r>
    </w:p>
    <w:p>
      <w:pPr>
        <w:spacing w:after="0" w:line="21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References in this power of attorney to "attorney-in-fact" are to each of the persons named above and to the person or persons substituted hereunder pursuant to the power of substitution granted herein.</w:t>
      </w:r>
    </w:p>
    <w:p>
      <w:pPr>
        <w:spacing w:after="0" w:line="209"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for the Undersigned and in his name, place and stead the power:</w:t>
      </w:r>
    </w:p>
    <w:p>
      <w:pPr>
        <w:spacing w:after="0" w:line="208" w:lineRule="exact"/>
        <w:rPr>
          <w:sz w:val="20"/>
          <w:szCs w:val="20"/>
          <w:color w:val="auto"/>
        </w:rPr>
      </w:pPr>
    </w:p>
    <w:p>
      <w:pPr>
        <w:ind w:left="640" w:right="199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TapImmune,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for any exercise of the powers granted hereby.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on the date first written above.</w:t>
      </w: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Frederick Wasserman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Frederick Wasserman</w:t>
      </w:r>
    </w:p>
    <w:sectPr>
      <w:pgSz w:w="11900" w:h="16838" w:orient="portrait"/>
      <w:cols w:equalWidth="0" w:num="1">
        <w:col w:w="10219"/>
      </w:cols>
      <w:pgMar w:left="240" w:top="339"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84383"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2020-01-19T05:32:09Z</dcterms:created>
  <dcterms:modified xsi:type="dcterms:W3CDTF">2020-01-19T05:32:09Z</dcterms:modified>
</cp:coreProperties>
</file>