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July 10,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3040" w:type="dxa"/>
            <w:vAlign w:val="bottom"/>
            <w:gridSpan w:val="4"/>
          </w:tcPr>
          <w:p>
            <w:pPr>
              <w:jc w:val="center"/>
              <w:ind w:right="232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001-37939</w:t>
            </w:r>
          </w:p>
        </w:tc>
        <w:tc>
          <w:tcPr>
            <w:tcW w:w="1360" w:type="dxa"/>
            <w:vAlign w:val="bottom"/>
          </w:tcPr>
          <w:p>
            <w:pPr>
              <w:spacing w:after="0"/>
              <w:rPr>
                <w:sz w:val="17"/>
                <w:szCs w:val="17"/>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b w:val="1"/>
                <w:bCs w:val="1"/>
                <w:color w:val="auto"/>
              </w:rPr>
              <w:t>45-4497941</w:t>
            </w:r>
          </w:p>
        </w:tc>
        <w:tc>
          <w:tcPr>
            <w:tcW w:w="8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4260" w:type="dxa"/>
            <w:vAlign w:val="bottom"/>
            <w:gridSpan w:val="5"/>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w:t>
            </w:r>
          </w:p>
        </w:tc>
        <w:tc>
          <w:tcPr>
            <w:tcW w:w="2840" w:type="dxa"/>
            <w:vAlign w:val="bottom"/>
            <w:gridSpan w:val="3"/>
          </w:tcPr>
          <w:p>
            <w:pPr>
              <w:jc w:val="center"/>
              <w:ind w:right="680"/>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gridSpan w:val="4"/>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1220" w:type="dxa"/>
            <w:vAlign w:val="bottom"/>
          </w:tcPr>
          <w:p>
            <w:pPr>
              <w:spacing w:after="0"/>
              <w:rPr>
                <w:sz w:val="24"/>
                <w:szCs w:val="24"/>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9350 Kirby Drive, Suite 300</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40" w:type="dxa"/>
            <w:vAlign w:val="bottom"/>
            <w:gridSpan w:val="3"/>
          </w:tcPr>
          <w:p>
            <w:pPr>
              <w:jc w:val="right"/>
              <w:ind w:right="40"/>
              <w:spacing w:after="0" w:line="194" w:lineRule="exact"/>
              <w:rPr>
                <w:sz w:val="20"/>
                <w:szCs w:val="20"/>
                <w:color w:val="auto"/>
              </w:rPr>
            </w:pPr>
            <w:r>
              <w:rPr>
                <w:rFonts w:ascii="Arial" w:cs="Arial" w:eastAsia="Arial" w:hAnsi="Arial"/>
                <w:sz w:val="18"/>
                <w:szCs w:val="18"/>
                <w:b w:val="1"/>
                <w:bCs w:val="1"/>
                <w:color w:val="auto"/>
              </w:rPr>
              <w:t>77054</w:t>
            </w:r>
          </w:p>
        </w:tc>
        <w:tc>
          <w:tcPr>
            <w:tcW w:w="80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400-6400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2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20" w:type="dxa"/>
            <w:vAlign w:val="bottom"/>
          </w:tcPr>
          <w:p>
            <w:pPr>
              <w:jc w:val="center"/>
              <w:ind w:right="290"/>
              <w:spacing w:after="0"/>
              <w:rPr>
                <w:sz w:val="20"/>
                <w:szCs w:val="20"/>
                <w:color w:val="auto"/>
              </w:rPr>
            </w:pPr>
            <w:r>
              <w:rPr>
                <w:rFonts w:ascii="Arial" w:cs="Arial" w:eastAsia="Arial" w:hAnsi="Arial"/>
                <w:sz w:val="18"/>
                <w:szCs w:val="18"/>
                <w:color w:val="auto"/>
                <w:w w:val="91"/>
              </w:rPr>
              <w:t>Trading</w:t>
            </w:r>
          </w:p>
        </w:tc>
        <w:tc>
          <w:tcPr>
            <w:tcW w:w="432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3"/>
              </w:rPr>
              <w:t>Symbol(s)</w:t>
            </w:r>
          </w:p>
        </w:tc>
        <w:tc>
          <w:tcPr>
            <w:tcW w:w="43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1010"/>
              <w:spacing w:after="0"/>
              <w:rPr>
                <w:sz w:val="20"/>
                <w:szCs w:val="20"/>
                <w:color w:val="auto"/>
              </w:rPr>
            </w:pPr>
            <w:r>
              <w:rPr>
                <w:rFonts w:ascii="Arial" w:cs="Arial" w:eastAsia="Arial" w:hAnsi="Arial"/>
                <w:sz w:val="18"/>
                <w:szCs w:val="18"/>
                <w:color w:val="auto"/>
                <w:w w:val="89"/>
              </w:rPr>
              <w:t>Common Stock, par value $0.001 per share</w:t>
            </w:r>
          </w:p>
        </w:tc>
        <w:tc>
          <w:tcPr>
            <w:tcW w:w="2220" w:type="dxa"/>
            <w:vAlign w:val="bottom"/>
          </w:tcPr>
          <w:p>
            <w:pPr>
              <w:jc w:val="center"/>
              <w:ind w:right="290"/>
              <w:spacing w:after="0"/>
              <w:rPr>
                <w:sz w:val="20"/>
                <w:szCs w:val="20"/>
                <w:color w:val="auto"/>
              </w:rPr>
            </w:pPr>
            <w:r>
              <w:rPr>
                <w:rFonts w:ascii="Arial" w:cs="Arial" w:eastAsia="Arial" w:hAnsi="Arial"/>
                <w:sz w:val="18"/>
                <w:szCs w:val="18"/>
                <w:color w:val="auto"/>
                <w:w w:val="98"/>
              </w:rPr>
              <w:t>MRKR</w:t>
            </w:r>
          </w:p>
        </w:tc>
        <w:tc>
          <w:tcPr>
            <w:tcW w:w="4320" w:type="dxa"/>
            <w:vAlign w:val="bottom"/>
          </w:tcPr>
          <w:p>
            <w:pPr>
              <w:jc w:val="center"/>
              <w:ind w:left="63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10, 2023,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issued a press release announcing that </w:t>
      </w:r>
      <w:r>
        <w:rPr>
          <w:rFonts w:ascii="Arial" w:cs="Arial" w:eastAsia="Arial" w:hAnsi="Arial"/>
          <w:sz w:val="18"/>
          <w:szCs w:val="18"/>
          <w:i w:val="1"/>
          <w:iCs w:val="1"/>
          <w:color w:val="auto"/>
        </w:rPr>
        <w:t>zedenoleucel</w:t>
      </w:r>
      <w:r>
        <w:rPr>
          <w:rFonts w:ascii="Arial" w:cs="Arial" w:eastAsia="Arial" w:hAnsi="Arial"/>
          <w:sz w:val="18"/>
          <w:szCs w:val="18"/>
          <w:color w:val="auto"/>
        </w:rPr>
        <w:t>, its multi-tumor-associated antigen (multiTAA)-specific T cell product candidate, MT-401, was granted Orphan Drug Designation by the Committee for Orphan Medicinal Products of the European Medicines Agency (EMA) for the treatment of patients with acute myeloid leukemia (AML). A copy of the press release is furnished herewith as Exhibit 99.1 to this Current Report on Form 8-K.</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this Item 7.01 of this Current Report on Form 8-K (including Exhibit 99.1) is being furnished and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460" w:type="dxa"/>
            <w:vAlign w:val="bottom"/>
          </w:tcPr>
          <w:p>
            <w:pPr>
              <w:spacing w:after="0"/>
              <w:rPr>
                <w:sz w:val="20"/>
                <w:szCs w:val="20"/>
                <w:color w:val="auto"/>
              </w:rPr>
            </w:pPr>
          </w:p>
        </w:tc>
      </w:tr>
      <w:tr>
        <w:trPr>
          <w:trHeight w:val="43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820" w:type="dxa"/>
            <w:vAlign w:val="bottom"/>
          </w:tcPr>
          <w:p>
            <w:pPr>
              <w:spacing w:after="0"/>
              <w:rPr>
                <w:sz w:val="16"/>
                <w:szCs w:val="16"/>
                <w:color w:val="auto"/>
              </w:rPr>
            </w:pPr>
          </w:p>
        </w:tc>
        <w:tc>
          <w:tcPr>
            <w:tcW w:w="10100" w:type="dxa"/>
            <w:vAlign w:val="bottom"/>
            <w:gridSpan w:val="3"/>
          </w:tcPr>
          <w:p>
            <w:pPr>
              <w:ind w:left="220"/>
              <w:spacing w:after="0" w:line="190" w:lineRule="exact"/>
              <w:rPr>
                <w:sz w:val="20"/>
                <w:szCs w:val="20"/>
                <w:color w:val="auto"/>
              </w:rPr>
            </w:pPr>
            <w:r>
              <w:rPr>
                <w:rFonts w:ascii="Arial" w:cs="Arial" w:eastAsia="Arial" w:hAnsi="Arial"/>
                <w:sz w:val="18"/>
                <w:szCs w:val="18"/>
                <w:color w:val="0000EE"/>
              </w:rPr>
              <w:t>Press release, dated July 10, 2023</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6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July 10, 2023</w:t>
            </w:r>
          </w:p>
        </w:tc>
        <w:tc>
          <w:tcPr>
            <w:tcW w:w="7680" w:type="dxa"/>
            <w:vAlign w:val="bottom"/>
            <w:gridSpan w:val="2"/>
          </w:tcPr>
          <w:p>
            <w:pPr>
              <w:ind w:left="2060"/>
              <w:spacing w:after="0"/>
              <w:rPr>
                <w:sz w:val="20"/>
                <w:szCs w:val="20"/>
                <w:color w:val="auto"/>
              </w:rPr>
            </w:pPr>
            <w:r>
              <w:rPr>
                <w:rFonts w:ascii="Arial" w:cs="Arial" w:eastAsia="Arial" w:hAnsi="Arial"/>
                <w:sz w:val="18"/>
                <w:szCs w:val="18"/>
                <w:color w:val="auto"/>
              </w:rPr>
              <w:t>By: /s/ Juan Vera</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Juan Vera</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2023110"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11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European Medicines Agency Grants Orphan Drug Designation for MT-401 developed by Marker Therapeutics for the Treatment of AML Patients</w:t>
      </w:r>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Houston, TX – July 10, 2023 </w:t>
      </w:r>
      <w:r>
        <w:rPr>
          <w:rFonts w:ascii="Arial" w:cs="Arial" w:eastAsia="Arial" w:hAnsi="Arial"/>
          <w:sz w:val="17"/>
          <w:szCs w:val="17"/>
          <w:color w:val="auto"/>
        </w:rPr>
        <w:t xml:space="preserve">– Marker Therapeutics, Inc. (Nasdaq: MRKR), a clinical-stage immuno-oncology company focusing on developing next-generation T cell-based immunotherapies for the treatment of hematological malignancies and solid tumor indications, announced that </w:t>
      </w:r>
      <w:r>
        <w:rPr>
          <w:rFonts w:ascii="Arial" w:cs="Arial" w:eastAsia="Arial" w:hAnsi="Arial"/>
          <w:sz w:val="17"/>
          <w:szCs w:val="17"/>
          <w:i w:val="1"/>
          <w:iCs w:val="1"/>
          <w:color w:val="auto"/>
        </w:rPr>
        <w:t>zedenoleucel</w:t>
      </w:r>
      <w:r>
        <w:rPr>
          <w:rFonts w:ascii="Arial" w:cs="Arial" w:eastAsia="Arial" w:hAnsi="Arial"/>
          <w:sz w:val="17"/>
          <w:szCs w:val="17"/>
          <w:color w:val="auto"/>
        </w:rPr>
        <w:t>, its multi-tumor-associated antigen (multiTAA)-specific T cell product candidate, MT-401, was granted Orphan Drug Designation by the Committee for Orphan Medicinal Products of the European Medicines Agency (EMA) for the treatment of patients with acute myeloid leukemia (AML).</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AML is a life-threatening and chronically debilitating disease that is rapidly progressive and fatal if untreated. Relapse rates after initial treatment are high, and the next step for eligible patients is an allogeneic hematopoietic stem cell transplant (HSCT). Unfortunately, AML relapse after HSCT is frequent and outcomes are dismal. Patients who relapse after HSCT have an estimated median survival of less than one year (Estey and Döhner, Lancet, 2006), highlighting the urgent need for new therapies.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MT-401 utilizes a novel non-genetically modified approach that recognizes multiple antigens expressed on tumor cells, thereby designed to minimize tumor escape. MT-401 is currently being studied in a Phase 2 clinical trial for the treatment of relapsed AML following allogeneic HSCT, and was designed to specifically target four different antigens that are upregulated in AML but have limited expression on normal cells.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European Union, orphan drug designation is granted to drugs intended for the treatment of life-threatening or chronically debilitating conditions affecting no more than five in 10,000 individuals in the European Union. Orphan drug designation by the EMA provides crucial support to expedite the development and market readiness of necessary drugs for such rare diseases. This designation will help Marker Therapeutics continue to develop MT-401 to fill a significant void in the treatment of AML and provides Marker Therapeutics with a range of potential benefits, including ten years of market exclusivity following approval, reduced regulatory fees, and invaluable scientific advice from the EMA during the drug development phase.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orphan drug designation for MT-401 by the EMA is a significant regulatory milestone,” said Nadia Agopyan, Ph.D., RAC, Senior Vice President, Regulatory Affairs of Marker Therapeutics. “It acknowledges not just the potential therapeutic impact of MT-401, but also the urgent need to deliver innovative treatment options to patients living with AML. In 2020, MT-401 was also granted orphan designation by the U.S. Food and Drug Administration for the treatment of patients with AML. We are deeply committed to working with regulatory authorities to expedite the drug development and approval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“We are extremely proud to have been granted Orphan Drug Designation by the EMA for MT-401,” said Juan F. Vera, M.D., President and Chief Executive Officer of Marker Therapeutics. “In our Phase 2 clinical trial of patients with post-transplant AML, we have observed promising results from patients with measurable residual disease, suggesting that the unique and differentiated targeting technology of MT-401 can be a potential treatment for patients with AML before relapse.”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is an important milestone for Marker and a significant step forward in our mission to improve the lives of patients with AML, especially of those with relapsed AML where no therapeutic options have been approved. Our team at Marker is committed to accelerating the development of MT-401 and believes that this designation brings us one step closer to offering a new, potentially life-altering therapy for relapsed AML patients after stem cell transplant,” concluded Dr. Vera.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multiTAA-specific T cells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multi-tumor associated antigen (multiTAA)-specific T cell platform is a novel, non-genetically modified cell therapy approach that selectively expands tumor-specific T cells from a patient's/donor’s blood capable of recognizing a broad range of tumor antigens. Clinical trials that enrolled more than 180 patients with various hematological malignancies and solid tumors showed that autologous and allogeneic multiTAA-specific T cell products were well tolerated and demonstrated durable clinical responses, and consistent epitope spreading. The latter is typically not observed with other T cell therapies and enables the potential contribution to a lasting anti-tumor effect. Unlike other cell therapies which require hospitalization and close monitoring, multiTAA-specific T cells are designed to be administered in an outpatient setting.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the T cells, Marker believes that its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including MT-401 for the treatment of patients with AML; and the potential benefits of orphan drug designation to MT401.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7"/>
          <w:szCs w:val="17"/>
          <w:u w:val="single" w:color="auto"/>
          <w:color w:val="auto"/>
        </w:rPr>
        <w:t>WWW.SEC.GOV</w:t>
      </w:r>
      <w:r>
        <w:rPr>
          <w:rFonts w:ascii="Arial" w:cs="Arial" w:eastAsia="Arial" w:hAnsi="Arial"/>
          <w:sz w:val="17"/>
          <w:szCs w:val="17"/>
          <w:color w:val="auto"/>
        </w:rPr>
        <w:t>. The Company assumes no obligation to update its forward-looking statements whether as a result of new information, future events or otherwise, after the date of this press release except as may be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Kontoh-Boateng</w:t>
      </w:r>
    </w:p>
    <w:p>
      <w:pPr>
        <w:spacing w:after="0" w:line="9" w:lineRule="exact"/>
        <w:rPr>
          <w:sz w:val="20"/>
          <w:szCs w:val="20"/>
          <w:color w:val="auto"/>
        </w:rPr>
      </w:pPr>
    </w:p>
    <w:p>
      <w:pPr>
        <w:ind w:right="94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213-1398 </w:t>
      </w:r>
      <w:r>
        <w:rPr>
          <w:rFonts w:ascii="Arial" w:cs="Arial" w:eastAsia="Arial" w:hAnsi="Arial"/>
          <w:sz w:val="16"/>
          <w:szCs w:val="16"/>
          <w:u w:val="single" w:color="auto"/>
          <w:color w:val="auto"/>
        </w:rPr>
        <w:t>dboateng@tiberend.com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Casey McDonald</w:t>
      </w:r>
    </w:p>
    <w:p>
      <w:pPr>
        <w:spacing w:after="0" w:line="9" w:lineRule="exact"/>
        <w:rPr>
          <w:sz w:val="20"/>
          <w:szCs w:val="20"/>
          <w:color w:val="auto"/>
        </w:rPr>
      </w:pPr>
    </w:p>
    <w:p>
      <w:pPr>
        <w:ind w:right="93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577-8520 </w:t>
      </w:r>
      <w:r>
        <w:rPr>
          <w:rFonts w:ascii="Arial" w:cs="Arial" w:eastAsia="Arial" w:hAnsi="Arial"/>
          <w:sz w:val="16"/>
          <w:szCs w:val="16"/>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62"/>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2023-07-10T06:15:59Z</dcterms:created>
  <dcterms:modified xsi:type="dcterms:W3CDTF">2023-07-10T06:15:59Z</dcterms:modified>
</cp:coreProperties>
</file>