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406400</wp:posOffset>
            </wp:positionV>
            <wp:extent cx="725678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37465"/>
                    </a:xfrm>
                    <a:prstGeom prst="rect">
                      <a:avLst/>
                    </a:prstGeom>
                    <a:noFill/>
                  </pic:spPr>
                </pic:pic>
              </a:graphicData>
            </a:graphic>
          </wp:anchor>
        </w:drawing>
        <w:t>As filed with the Securities and Exchange Commission on May 20, 2014</w:t>
      </w:r>
    </w:p>
    <w:p>
      <w:pPr>
        <w:spacing w:after="0" w:line="218" w:lineRule="exact"/>
        <w:rPr>
          <w:sz w:val="24"/>
          <w:szCs w:val="24"/>
          <w:color w:val="auto"/>
        </w:rPr>
      </w:pPr>
    </w:p>
    <w:p>
      <w:pPr>
        <w:ind w:left="9180"/>
        <w:spacing w:after="0"/>
        <w:rPr>
          <w:sz w:val="20"/>
          <w:szCs w:val="20"/>
          <w:color w:val="auto"/>
        </w:rPr>
      </w:pPr>
      <w:r>
        <w:rPr>
          <w:rFonts w:ascii="Arial" w:cs="Arial" w:eastAsia="Arial" w:hAnsi="Arial"/>
          <w:sz w:val="17"/>
          <w:szCs w:val="17"/>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3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S-3</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REGISTRATION STATEMENT</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UNDER</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THE SECURITIES ACT OF 1933</w:t>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TAPIMMUNE INC.</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70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3620" w:type="dxa"/>
            <w:vAlign w:val="bottom"/>
            <w:gridSpan w:val="2"/>
          </w:tcPr>
          <w:p>
            <w:pPr>
              <w:jc w:val="center"/>
              <w:ind w:right="3080"/>
              <w:spacing w:after="0"/>
              <w:rPr>
                <w:sz w:val="20"/>
                <w:szCs w:val="20"/>
                <w:color w:val="auto"/>
              </w:rPr>
            </w:pPr>
            <w:r>
              <w:rPr>
                <w:rFonts w:ascii="Arial" w:cs="Arial" w:eastAsia="Arial" w:hAnsi="Arial"/>
                <w:sz w:val="17"/>
                <w:szCs w:val="17"/>
                <w:b w:val="1"/>
                <w:bCs w:val="1"/>
                <w:color w:val="auto"/>
                <w:w w:val="89"/>
              </w:rPr>
              <w:t>Nevada</w:t>
            </w:r>
          </w:p>
        </w:tc>
        <w:tc>
          <w:tcPr>
            <w:tcW w:w="3680" w:type="dxa"/>
            <w:vAlign w:val="bottom"/>
            <w:gridSpan w:val="3"/>
          </w:tcPr>
          <w:p>
            <w:pPr>
              <w:jc w:val="right"/>
              <w:ind w:right="900"/>
              <w:spacing w:after="0"/>
              <w:rPr>
                <w:sz w:val="20"/>
                <w:szCs w:val="20"/>
                <w:color w:val="auto"/>
              </w:rPr>
            </w:pPr>
            <w:r>
              <w:rPr>
                <w:rFonts w:ascii="Arial" w:cs="Arial" w:eastAsia="Arial" w:hAnsi="Arial"/>
                <w:sz w:val="17"/>
                <w:szCs w:val="17"/>
                <w:b w:val="1"/>
                <w:bCs w:val="1"/>
                <w:color w:val="auto"/>
              </w:rPr>
              <w:t>88-0277072</w:t>
            </w:r>
          </w:p>
        </w:tc>
      </w:tr>
      <w:tr>
        <w:trPr>
          <w:trHeight w:val="20"/>
        </w:trPr>
        <w:tc>
          <w:tcPr>
            <w:tcW w:w="2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6"/>
        </w:trPr>
        <w:tc>
          <w:tcPr>
            <w:tcW w:w="5640" w:type="dxa"/>
            <w:vAlign w:val="bottom"/>
            <w:gridSpan w:val="3"/>
          </w:tcPr>
          <w:p>
            <w:pPr>
              <w:jc w:val="center"/>
              <w:ind w:right="1060"/>
              <w:spacing w:after="0"/>
              <w:rPr>
                <w:sz w:val="20"/>
                <w:szCs w:val="20"/>
                <w:color w:val="auto"/>
              </w:rPr>
            </w:pPr>
            <w:r>
              <w:rPr>
                <w:rFonts w:ascii="Arial" w:cs="Arial" w:eastAsia="Arial" w:hAnsi="Arial"/>
                <w:sz w:val="17"/>
                <w:szCs w:val="17"/>
                <w:b w:val="1"/>
                <w:bCs w:val="1"/>
                <w:color w:val="auto"/>
                <w:w w:val="93"/>
              </w:rPr>
              <w:t>(State or Other Jurisdiction of Incorporation or Organization)</w:t>
            </w:r>
          </w:p>
        </w:tc>
        <w:tc>
          <w:tcPr>
            <w:tcW w:w="3680" w:type="dxa"/>
            <w:vAlign w:val="bottom"/>
            <w:gridSpan w:val="3"/>
          </w:tcPr>
          <w:p>
            <w:pPr>
              <w:jc w:val="center"/>
              <w:ind w:left="954"/>
              <w:spacing w:after="0"/>
              <w:rPr>
                <w:sz w:val="20"/>
                <w:szCs w:val="20"/>
                <w:color w:val="auto"/>
              </w:rPr>
            </w:pPr>
            <w:r>
              <w:rPr>
                <w:rFonts w:ascii="Arial" w:cs="Arial" w:eastAsia="Arial" w:hAnsi="Arial"/>
                <w:sz w:val="17"/>
                <w:szCs w:val="17"/>
                <w:b w:val="1"/>
                <w:bCs w:val="1"/>
                <w:color w:val="auto"/>
                <w:w w:val="94"/>
              </w:rPr>
              <w:t>(I.R.S. Employer Identification No.)</w:t>
            </w:r>
          </w:p>
        </w:tc>
      </w:tr>
    </w:tbl>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1551 Eastlake Avenue East,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Suite 100, Seattle, WA</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(206) 504-7278</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Sierra Corporate Services</w:t>
      </w:r>
    </w:p>
    <w:p>
      <w:pPr>
        <w:jc w:val="center"/>
        <w:ind w:right="-19"/>
        <w:spacing w:after="0" w:line="206" w:lineRule="auto"/>
        <w:rPr>
          <w:sz w:val="20"/>
          <w:szCs w:val="20"/>
          <w:color w:val="auto"/>
        </w:rPr>
      </w:pPr>
      <w:r>
        <w:rPr>
          <w:rFonts w:ascii="Arial" w:cs="Arial" w:eastAsia="Arial" w:hAnsi="Arial"/>
          <w:sz w:val="17"/>
          <w:szCs w:val="17"/>
          <w:b w:val="1"/>
          <w:bCs w:val="1"/>
          <w:color w:val="auto"/>
        </w:rPr>
        <w:t>100 West Liberty Street, 10</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Reno, Nevada 89501</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Commission is requested to send copies of all communications to:</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William S Rosenstadt, Esq.</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Sanders Ortoli Vaughn-Flam Rosenstadt LLP</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501 Madison Ave.</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New York NY 10022</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Telephone: (212) 588-0022</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Facsimile: (212) 826-9307</w:t>
      </w:r>
    </w:p>
    <w:p>
      <w:pPr>
        <w:spacing w:after="0" w:line="199"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2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229" w:lineRule="exact"/>
        <w:rPr>
          <w:sz w:val="24"/>
          <w:szCs w:val="24"/>
          <w:color w:val="auto"/>
        </w:rPr>
      </w:pPr>
    </w:p>
    <w:p>
      <w:pPr>
        <w:ind w:firstLine="465"/>
        <w:spacing w:after="0" w:line="283"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500380</wp:posOffset>
            </wp:positionV>
            <wp:extent cx="725678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232" w:right="239" w:bottom="1440" w:gutter="0" w:footer="0" w:header="0"/>
        </w:sectPr>
      </w:pPr>
    </w:p>
    <w:bookmarkStart w:id="1" w:name="page2"/>
    <w:bookmarkEnd w:id="1"/>
    <w:p>
      <w:pPr>
        <w:ind w:firstLine="465"/>
        <w:spacing w:after="0" w:line="283"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59" w:lineRule="exact"/>
        <w:rPr>
          <w:sz w:val="20"/>
          <w:szCs w:val="20"/>
          <w:color w:val="auto"/>
        </w:rPr>
      </w:pPr>
    </w:p>
    <w:p>
      <w:pPr>
        <w:ind w:firstLine="465"/>
        <w:spacing w:after="0" w:line="283"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59" w:lineRule="exact"/>
        <w:rPr>
          <w:sz w:val="20"/>
          <w:szCs w:val="20"/>
          <w:color w:val="auto"/>
        </w:rPr>
      </w:pPr>
    </w:p>
    <w:p>
      <w:pPr>
        <w:ind w:firstLine="465"/>
        <w:spacing w:after="0" w:line="283" w:lineRule="auto"/>
        <w:rPr>
          <w:sz w:val="20"/>
          <w:szCs w:val="20"/>
          <w:color w:val="auto"/>
        </w:rPr>
      </w:pPr>
      <w:r>
        <w:rPr>
          <w:rFonts w:ascii="Arial" w:cs="Arial" w:eastAsia="Arial" w:hAnsi="Arial"/>
          <w:sz w:val="17"/>
          <w:szCs w:val="17"/>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59" w:lineRule="exact"/>
        <w:rPr>
          <w:sz w:val="20"/>
          <w:szCs w:val="20"/>
          <w:color w:val="auto"/>
        </w:rPr>
      </w:pPr>
    </w:p>
    <w:p>
      <w:pPr>
        <w:ind w:firstLine="465"/>
        <w:spacing w:after="0" w:line="283" w:lineRule="auto"/>
        <w:rPr>
          <w:sz w:val="20"/>
          <w:szCs w:val="20"/>
          <w:color w:val="auto"/>
        </w:rPr>
      </w:pPr>
      <w:r>
        <w:rPr>
          <w:rFonts w:ascii="Arial" w:cs="Arial" w:eastAsia="Arial" w:hAnsi="Arial"/>
          <w:sz w:val="17"/>
          <w:szCs w:val="17"/>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59" w:lineRule="exact"/>
        <w:rPr>
          <w:sz w:val="20"/>
          <w:szCs w:val="20"/>
          <w:color w:val="auto"/>
        </w:rPr>
      </w:pPr>
    </w:p>
    <w:p>
      <w:pPr>
        <w:ind w:firstLine="465"/>
        <w:spacing w:after="0" w:line="28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ind w:left="460"/>
              <w:spacing w:after="0"/>
              <w:rPr>
                <w:sz w:val="20"/>
                <w:szCs w:val="20"/>
                <w:color w:val="auto"/>
              </w:rPr>
            </w:pPr>
            <w:r>
              <w:rPr>
                <w:rFonts w:ascii="Arial" w:cs="Arial" w:eastAsia="Arial" w:hAnsi="Arial"/>
                <w:sz w:val="17"/>
                <w:szCs w:val="17"/>
                <w:color w:val="auto"/>
              </w:rPr>
              <w:t>Large accelerated filer</w:t>
            </w:r>
          </w:p>
        </w:tc>
        <w:tc>
          <w:tcPr>
            <w:tcW w:w="120" w:type="dxa"/>
            <w:vAlign w:val="bottom"/>
          </w:tcPr>
          <w:p>
            <w:pPr>
              <w:spacing w:after="0"/>
              <w:rPr>
                <w:sz w:val="17"/>
                <w:szCs w:val="17"/>
                <w:color w:val="auto"/>
              </w:rPr>
            </w:pPr>
          </w:p>
        </w:tc>
        <w:tc>
          <w:tcPr>
            <w:tcW w:w="1320" w:type="dxa"/>
            <w:vAlign w:val="bottom"/>
          </w:tcPr>
          <w:p>
            <w:pPr>
              <w:ind w:left="920"/>
              <w:spacing w:after="0"/>
              <w:rPr>
                <w:sz w:val="20"/>
                <w:szCs w:val="20"/>
                <w:color w:val="auto"/>
              </w:rPr>
            </w:pPr>
            <w:r>
              <w:rPr>
                <w:rFonts w:ascii="Arial" w:cs="Arial" w:eastAsia="Arial" w:hAnsi="Arial"/>
                <w:sz w:val="17"/>
                <w:szCs w:val="17"/>
                <w:color w:val="auto"/>
              </w:rPr>
              <w:t>o</w:t>
            </w: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120" w:type="dxa"/>
            <w:vAlign w:val="bottom"/>
            <w:gridSpan w:val="3"/>
          </w:tcPr>
          <w:p>
            <w:pPr>
              <w:ind w:left="140"/>
              <w:spacing w:after="0"/>
              <w:rPr>
                <w:sz w:val="20"/>
                <w:szCs w:val="20"/>
                <w:color w:val="auto"/>
              </w:rPr>
            </w:pPr>
            <w:r>
              <w:rPr>
                <w:rFonts w:ascii="Arial" w:cs="Arial" w:eastAsia="Arial" w:hAnsi="Arial"/>
                <w:sz w:val="17"/>
                <w:szCs w:val="17"/>
                <w:color w:val="auto"/>
              </w:rPr>
              <w:t>Accelerated filer</w:t>
            </w:r>
          </w:p>
        </w:tc>
        <w:tc>
          <w:tcPr>
            <w:tcW w:w="1480" w:type="dxa"/>
            <w:vAlign w:val="bottom"/>
          </w:tcPr>
          <w:p>
            <w:pPr>
              <w:jc w:val="right"/>
              <w:ind w:right="1114"/>
              <w:spacing w:after="0"/>
              <w:rPr>
                <w:sz w:val="20"/>
                <w:szCs w:val="20"/>
                <w:color w:val="auto"/>
              </w:rPr>
            </w:pPr>
            <w:r>
              <w:rPr>
                <w:rFonts w:ascii="Arial" w:cs="Arial" w:eastAsia="Arial" w:hAnsi="Arial"/>
                <w:sz w:val="17"/>
                <w:szCs w:val="17"/>
                <w:color w:val="auto"/>
              </w:rPr>
              <w:t>o</w:t>
            </w:r>
          </w:p>
        </w:tc>
      </w:tr>
      <w:tr>
        <w:trPr>
          <w:trHeight w:val="219"/>
        </w:trPr>
        <w:tc>
          <w:tcPr>
            <w:tcW w:w="2820" w:type="dxa"/>
            <w:vAlign w:val="bottom"/>
          </w:tcPr>
          <w:p>
            <w:pPr>
              <w:ind w:left="460"/>
              <w:spacing w:after="0"/>
              <w:rPr>
                <w:sz w:val="20"/>
                <w:szCs w:val="20"/>
                <w:color w:val="auto"/>
              </w:rPr>
            </w:pPr>
            <w:r>
              <w:rPr>
                <w:rFonts w:ascii="Arial" w:cs="Arial" w:eastAsia="Arial" w:hAnsi="Arial"/>
                <w:sz w:val="17"/>
                <w:szCs w:val="17"/>
                <w:color w:val="auto"/>
              </w:rPr>
              <w:t>Non-accelerated filer</w:t>
            </w:r>
          </w:p>
        </w:tc>
        <w:tc>
          <w:tcPr>
            <w:tcW w:w="120" w:type="dxa"/>
            <w:vAlign w:val="bottom"/>
          </w:tcPr>
          <w:p>
            <w:pPr>
              <w:spacing w:after="0"/>
              <w:rPr>
                <w:sz w:val="19"/>
                <w:szCs w:val="19"/>
                <w:color w:val="auto"/>
              </w:rPr>
            </w:pPr>
          </w:p>
        </w:tc>
        <w:tc>
          <w:tcPr>
            <w:tcW w:w="4760" w:type="dxa"/>
            <w:vAlign w:val="bottom"/>
            <w:gridSpan w:val="5"/>
          </w:tcPr>
          <w:p>
            <w:pPr>
              <w:ind w:left="920"/>
              <w:spacing w:after="0"/>
              <w:rPr>
                <w:sz w:val="20"/>
                <w:szCs w:val="20"/>
                <w:color w:val="auto"/>
              </w:rPr>
            </w:pPr>
            <w:r>
              <w:rPr>
                <w:rFonts w:ascii="Arial" w:cs="Arial" w:eastAsia="Arial" w:hAnsi="Arial"/>
                <w:sz w:val="17"/>
                <w:szCs w:val="17"/>
                <w:color w:val="auto"/>
              </w:rPr>
              <w:t>o (Do not check if smaller reporting company)</w:t>
            </w:r>
          </w:p>
        </w:tc>
        <w:tc>
          <w:tcPr>
            <w:tcW w:w="2120" w:type="dxa"/>
            <w:vAlign w:val="bottom"/>
            <w:gridSpan w:val="3"/>
          </w:tcPr>
          <w:p>
            <w:pPr>
              <w:ind w:left="140"/>
              <w:spacing w:after="0"/>
              <w:rPr>
                <w:sz w:val="20"/>
                <w:szCs w:val="20"/>
                <w:color w:val="auto"/>
              </w:rPr>
            </w:pPr>
            <w:r>
              <w:rPr>
                <w:rFonts w:ascii="Arial" w:cs="Arial" w:eastAsia="Arial" w:hAnsi="Arial"/>
                <w:sz w:val="17"/>
                <w:szCs w:val="17"/>
                <w:color w:val="auto"/>
                <w:w w:val="96"/>
              </w:rPr>
              <w:t>Smaller reporting company</w:t>
            </w:r>
          </w:p>
        </w:tc>
        <w:tc>
          <w:tcPr>
            <w:tcW w:w="1480" w:type="dxa"/>
            <w:vAlign w:val="bottom"/>
          </w:tcPr>
          <w:p>
            <w:pPr>
              <w:jc w:val="right"/>
              <w:ind w:right="1194"/>
              <w:spacing w:after="0"/>
              <w:rPr>
                <w:sz w:val="20"/>
                <w:szCs w:val="20"/>
                <w:color w:val="auto"/>
              </w:rPr>
            </w:pPr>
            <w:r>
              <w:rPr>
                <w:rFonts w:ascii="Arial" w:cs="Arial" w:eastAsia="Arial" w:hAnsi="Arial"/>
                <w:sz w:val="17"/>
                <w:szCs w:val="17"/>
                <w:color w:val="auto"/>
              </w:rPr>
              <w:t>x</w:t>
            </w:r>
          </w:p>
        </w:tc>
      </w:tr>
      <w:tr>
        <w:trPr>
          <w:trHeight w:val="43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5"/>
          </w:tcPr>
          <w:p>
            <w:pPr>
              <w:ind w:left="1120"/>
              <w:spacing w:after="0"/>
              <w:rPr>
                <w:sz w:val="20"/>
                <w:szCs w:val="20"/>
                <w:color w:val="auto"/>
              </w:rPr>
            </w:pPr>
            <w:r>
              <w:rPr>
                <w:rFonts w:ascii="Arial" w:cs="Arial" w:eastAsia="Arial" w:hAnsi="Arial"/>
                <w:sz w:val="17"/>
                <w:szCs w:val="17"/>
                <w:b w:val="1"/>
                <w:bCs w:val="1"/>
                <w:color w:val="auto"/>
              </w:rPr>
              <w:t>CALCULATION OF REGISTRATION FEE</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5"/>
        </w:trPr>
        <w:tc>
          <w:tcPr>
            <w:tcW w:w="2820" w:type="dxa"/>
            <w:vAlign w:val="bottom"/>
          </w:tcPr>
          <w:p>
            <w:pPr>
              <w:jc w:val="center"/>
              <w:spacing w:after="0"/>
              <w:rPr>
                <w:sz w:val="20"/>
                <w:szCs w:val="20"/>
                <w:color w:val="auto"/>
              </w:rPr>
            </w:pPr>
            <w:r>
              <w:rPr>
                <w:rFonts w:ascii="Arial" w:cs="Arial" w:eastAsia="Arial" w:hAnsi="Arial"/>
                <w:sz w:val="17"/>
                <w:szCs w:val="17"/>
                <w:b w:val="1"/>
                <w:bCs w:val="1"/>
                <w:color w:val="auto"/>
                <w:w w:val="96"/>
              </w:rPr>
              <w:t>Title of</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7"/>
        </w:trPr>
        <w:tc>
          <w:tcPr>
            <w:tcW w:w="2820" w:type="dxa"/>
            <w:vAlign w:val="bottom"/>
          </w:tcPr>
          <w:p>
            <w:pPr>
              <w:jc w:val="center"/>
              <w:spacing w:after="0"/>
              <w:rPr>
                <w:sz w:val="20"/>
                <w:szCs w:val="20"/>
                <w:color w:val="auto"/>
              </w:rPr>
            </w:pPr>
            <w:r>
              <w:rPr>
                <w:rFonts w:ascii="Arial" w:cs="Arial" w:eastAsia="Arial" w:hAnsi="Arial"/>
                <w:sz w:val="17"/>
                <w:szCs w:val="17"/>
                <w:b w:val="1"/>
                <w:bCs w:val="1"/>
                <w:color w:val="auto"/>
                <w:w w:val="84"/>
              </w:rPr>
              <w:t>each class of</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1"/>
              </w:rPr>
              <w:t>Proposed maximum</w:t>
            </w:r>
          </w:p>
        </w:tc>
        <w:tc>
          <w:tcPr>
            <w:tcW w:w="120" w:type="dxa"/>
            <w:vAlign w:val="bottom"/>
          </w:tcPr>
          <w:p>
            <w:pPr>
              <w:spacing w:after="0"/>
              <w:rPr>
                <w:sz w:val="17"/>
                <w:szCs w:val="17"/>
                <w:color w:val="auto"/>
              </w:rPr>
            </w:pPr>
          </w:p>
        </w:tc>
        <w:tc>
          <w:tcPr>
            <w:tcW w:w="3360" w:type="dxa"/>
            <w:vAlign w:val="bottom"/>
            <w:gridSpan w:val="4"/>
          </w:tcPr>
          <w:p>
            <w:pPr>
              <w:jc w:val="center"/>
              <w:ind w:right="1434"/>
              <w:spacing w:after="0"/>
              <w:rPr>
                <w:sz w:val="20"/>
                <w:szCs w:val="20"/>
                <w:color w:val="auto"/>
              </w:rPr>
            </w:pPr>
            <w:r>
              <w:rPr>
                <w:rFonts w:ascii="Arial" w:cs="Arial" w:eastAsia="Arial" w:hAnsi="Arial"/>
                <w:sz w:val="17"/>
                <w:szCs w:val="17"/>
                <w:b w:val="1"/>
                <w:bCs w:val="1"/>
                <w:color w:val="auto"/>
                <w:w w:val="91"/>
              </w:rPr>
              <w:t>Proposed maximum</w:t>
            </w:r>
          </w:p>
        </w:tc>
        <w:tc>
          <w:tcPr>
            <w:tcW w:w="1480" w:type="dxa"/>
            <w:vAlign w:val="bottom"/>
          </w:tcPr>
          <w:p>
            <w:pPr>
              <w:spacing w:after="0"/>
              <w:rPr>
                <w:sz w:val="17"/>
                <w:szCs w:val="17"/>
                <w:color w:val="auto"/>
              </w:rPr>
            </w:pPr>
          </w:p>
        </w:tc>
      </w:tr>
      <w:tr>
        <w:trPr>
          <w:trHeight w:val="207"/>
        </w:trPr>
        <w:tc>
          <w:tcPr>
            <w:tcW w:w="2820" w:type="dxa"/>
            <w:vAlign w:val="bottom"/>
          </w:tcPr>
          <w:p>
            <w:pPr>
              <w:jc w:val="center"/>
              <w:spacing w:after="0"/>
              <w:rPr>
                <w:sz w:val="20"/>
                <w:szCs w:val="20"/>
                <w:color w:val="auto"/>
              </w:rPr>
            </w:pPr>
            <w:r>
              <w:rPr>
                <w:rFonts w:ascii="Arial" w:cs="Arial" w:eastAsia="Arial" w:hAnsi="Arial"/>
                <w:sz w:val="17"/>
                <w:szCs w:val="17"/>
                <w:b w:val="1"/>
                <w:bCs w:val="1"/>
                <w:color w:val="auto"/>
                <w:w w:val="85"/>
              </w:rPr>
              <w:t>securities to</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1"/>
              </w:rPr>
              <w:t>Amount to be</w:t>
            </w:r>
          </w:p>
        </w:tc>
        <w:tc>
          <w:tcPr>
            <w:tcW w:w="2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89"/>
              </w:rPr>
              <w:t>aggregate offering</w:t>
            </w:r>
          </w:p>
        </w:tc>
        <w:tc>
          <w:tcPr>
            <w:tcW w:w="120" w:type="dxa"/>
            <w:vAlign w:val="bottom"/>
          </w:tcPr>
          <w:p>
            <w:pPr>
              <w:spacing w:after="0"/>
              <w:rPr>
                <w:sz w:val="17"/>
                <w:szCs w:val="17"/>
                <w:color w:val="auto"/>
              </w:rPr>
            </w:pPr>
          </w:p>
        </w:tc>
        <w:tc>
          <w:tcPr>
            <w:tcW w:w="3360" w:type="dxa"/>
            <w:vAlign w:val="bottom"/>
            <w:gridSpan w:val="4"/>
          </w:tcPr>
          <w:p>
            <w:pPr>
              <w:jc w:val="center"/>
              <w:ind w:right="1394"/>
              <w:spacing w:after="0"/>
              <w:rPr>
                <w:sz w:val="20"/>
                <w:szCs w:val="20"/>
                <w:color w:val="auto"/>
              </w:rPr>
            </w:pPr>
            <w:r>
              <w:rPr>
                <w:rFonts w:ascii="Arial" w:cs="Arial" w:eastAsia="Arial" w:hAnsi="Arial"/>
                <w:sz w:val="17"/>
                <w:szCs w:val="17"/>
                <w:b w:val="1"/>
                <w:bCs w:val="1"/>
                <w:color w:val="auto"/>
                <w:w w:val="91"/>
              </w:rPr>
              <w:t>aggregate offering</w:t>
            </w:r>
          </w:p>
        </w:tc>
        <w:tc>
          <w:tcPr>
            <w:tcW w:w="1480" w:type="dxa"/>
            <w:vAlign w:val="bottom"/>
          </w:tcPr>
          <w:p>
            <w:pPr>
              <w:spacing w:after="0"/>
              <w:rPr>
                <w:sz w:val="17"/>
                <w:szCs w:val="17"/>
                <w:color w:val="auto"/>
              </w:rPr>
            </w:pPr>
          </w:p>
        </w:tc>
      </w:tr>
      <w:tr>
        <w:trPr>
          <w:trHeight w:val="23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be registered</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line="225" w:lineRule="exact"/>
              <w:rPr>
                <w:sz w:val="20"/>
                <w:szCs w:val="20"/>
                <w:color w:val="auto"/>
              </w:rPr>
            </w:pPr>
            <w:r>
              <w:rPr>
                <w:rFonts w:ascii="Arial" w:cs="Arial" w:eastAsia="Arial" w:hAnsi="Arial"/>
                <w:sz w:val="17"/>
                <w:szCs w:val="17"/>
                <w:b w:val="1"/>
                <w:bCs w:val="1"/>
                <w:color w:val="auto"/>
                <w:w w:val="86"/>
              </w:rPr>
              <w:t>registered</w:t>
            </w:r>
            <w:r>
              <w:rPr>
                <w:rFonts w:ascii="Arial" w:cs="Arial" w:eastAsia="Arial" w:hAnsi="Arial"/>
                <w:sz w:val="24"/>
                <w:szCs w:val="24"/>
                <w:b w:val="1"/>
                <w:bCs w:val="1"/>
                <w:color w:val="auto"/>
                <w:w w:val="86"/>
                <w:vertAlign w:val="superscript"/>
              </w:rPr>
              <w:t>(1)</w:t>
            </w:r>
          </w:p>
        </w:tc>
        <w:tc>
          <w:tcPr>
            <w:tcW w:w="2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price per unit</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left="554"/>
              <w:spacing w:after="0"/>
              <w:rPr>
                <w:sz w:val="20"/>
                <w:szCs w:val="20"/>
                <w:color w:val="auto"/>
              </w:rPr>
            </w:pPr>
            <w:r>
              <w:rPr>
                <w:rFonts w:ascii="Arial" w:cs="Arial" w:eastAsia="Arial" w:hAnsi="Arial"/>
                <w:sz w:val="17"/>
                <w:szCs w:val="17"/>
                <w:b w:val="1"/>
                <w:bCs w:val="1"/>
                <w:color w:val="auto"/>
                <w:w w:val="88"/>
              </w:rPr>
              <w:t>price</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Borders>
              <w:bottom w:val="single" w:sz="8" w:color="auto"/>
            </w:tcBorders>
            <w:gridSpan w:val="2"/>
          </w:tcPr>
          <w:p>
            <w:pPr>
              <w:jc w:val="right"/>
              <w:ind w:right="214"/>
              <w:spacing w:after="0" w:line="225" w:lineRule="exact"/>
              <w:rPr>
                <w:sz w:val="20"/>
                <w:szCs w:val="20"/>
                <w:color w:val="auto"/>
              </w:rPr>
            </w:pPr>
            <w:r>
              <w:rPr>
                <w:rFonts w:ascii="Arial" w:cs="Arial" w:eastAsia="Arial" w:hAnsi="Arial"/>
                <w:sz w:val="17"/>
                <w:szCs w:val="17"/>
                <w:b w:val="1"/>
                <w:bCs w:val="1"/>
                <w:color w:val="auto"/>
              </w:rPr>
              <w:t>Amount of registration fee</w:t>
            </w:r>
            <w:r>
              <w:rPr>
                <w:rFonts w:ascii="Arial" w:cs="Arial" w:eastAsia="Arial" w:hAnsi="Arial"/>
                <w:sz w:val="24"/>
                <w:szCs w:val="24"/>
                <w:b w:val="1"/>
                <w:bCs w:val="1"/>
                <w:color w:val="auto"/>
                <w:vertAlign w:val="superscript"/>
              </w:rPr>
              <w:t>(2))</w:t>
            </w:r>
          </w:p>
        </w:tc>
      </w:tr>
      <w:tr>
        <w:trPr>
          <w:trHeight w:val="194"/>
        </w:trPr>
        <w:tc>
          <w:tcPr>
            <w:tcW w:w="2820" w:type="dxa"/>
            <w:vAlign w:val="bottom"/>
          </w:tcPr>
          <w:p>
            <w:pPr>
              <w:spacing w:after="0" w:line="194" w:lineRule="exact"/>
              <w:rPr>
                <w:sz w:val="20"/>
                <w:szCs w:val="20"/>
                <w:color w:val="auto"/>
              </w:rPr>
            </w:pPr>
            <w:r>
              <w:rPr>
                <w:rFonts w:ascii="Arial" w:cs="Arial" w:eastAsia="Arial" w:hAnsi="Arial"/>
                <w:sz w:val="17"/>
                <w:szCs w:val="17"/>
                <w:color w:val="auto"/>
              </w:rPr>
              <w:t>Common Stock, $0.001par</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2820" w:type="dxa"/>
            <w:vAlign w:val="bottom"/>
          </w:tcPr>
          <w:p>
            <w:pPr>
              <w:spacing w:after="0"/>
              <w:rPr>
                <w:sz w:val="20"/>
                <w:szCs w:val="20"/>
                <w:color w:val="auto"/>
              </w:rPr>
            </w:pPr>
            <w:r>
              <w:rPr>
                <w:rFonts w:ascii="Arial" w:cs="Arial" w:eastAsia="Arial" w:hAnsi="Arial"/>
                <w:sz w:val="17"/>
                <w:szCs w:val="17"/>
                <w:color w:val="auto"/>
              </w:rPr>
              <w:t>value per share</w:t>
            </w:r>
          </w:p>
        </w:tc>
        <w:tc>
          <w:tcPr>
            <w:tcW w:w="120" w:type="dxa"/>
            <w:vAlign w:val="bottom"/>
          </w:tcPr>
          <w:p>
            <w:pPr>
              <w:spacing w:after="0"/>
              <w:rPr>
                <w:sz w:val="19"/>
                <w:szCs w:val="19"/>
                <w:color w:val="auto"/>
              </w:rPr>
            </w:pPr>
          </w:p>
        </w:tc>
        <w:tc>
          <w:tcPr>
            <w:tcW w:w="1320" w:type="dxa"/>
            <w:vAlign w:val="bottom"/>
          </w:tcPr>
          <w:p>
            <w:pPr>
              <w:ind w:left="1020"/>
              <w:spacing w:after="0"/>
              <w:rPr>
                <w:sz w:val="20"/>
                <w:szCs w:val="20"/>
                <w:color w:val="auto"/>
              </w:rPr>
            </w:pPr>
            <w:r>
              <w:rPr>
                <w:rFonts w:ascii="Arial" w:cs="Arial" w:eastAsia="Arial" w:hAnsi="Arial"/>
                <w:sz w:val="17"/>
                <w:szCs w:val="17"/>
                <w:color w:val="auto"/>
                <w:w w:val="98"/>
              </w:rPr>
              <w:t>N/A</w:t>
            </w:r>
          </w:p>
        </w:tc>
        <w:tc>
          <w:tcPr>
            <w:tcW w:w="220" w:type="dxa"/>
            <w:vAlign w:val="bottom"/>
          </w:tcPr>
          <w:p>
            <w:pPr>
              <w:spacing w:after="0"/>
              <w:rPr>
                <w:sz w:val="19"/>
                <w:szCs w:val="19"/>
                <w:color w:val="auto"/>
              </w:rPr>
            </w:pPr>
          </w:p>
        </w:tc>
        <w:tc>
          <w:tcPr>
            <w:tcW w:w="1860" w:type="dxa"/>
            <w:vAlign w:val="bottom"/>
          </w:tcPr>
          <w:p>
            <w:pPr>
              <w:ind w:left="1580"/>
              <w:spacing w:after="0"/>
              <w:rPr>
                <w:sz w:val="20"/>
                <w:szCs w:val="20"/>
                <w:color w:val="auto"/>
              </w:rPr>
            </w:pPr>
            <w:r>
              <w:rPr>
                <w:rFonts w:ascii="Arial" w:cs="Arial" w:eastAsia="Arial" w:hAnsi="Arial"/>
                <w:sz w:val="17"/>
                <w:szCs w:val="17"/>
                <w:color w:val="auto"/>
                <w:w w:val="91"/>
              </w:rPr>
              <w:t>N/A</w:t>
            </w:r>
          </w:p>
        </w:tc>
        <w:tc>
          <w:tcPr>
            <w:tcW w:w="2220" w:type="dxa"/>
            <w:vAlign w:val="bottom"/>
            <w:gridSpan w:val="4"/>
          </w:tcPr>
          <w:p>
            <w:pPr>
              <w:jc w:val="right"/>
              <w:ind w:right="220"/>
              <w:spacing w:after="0"/>
              <w:rPr>
                <w:sz w:val="20"/>
                <w:szCs w:val="20"/>
                <w:color w:val="auto"/>
              </w:rPr>
            </w:pPr>
            <w:r>
              <w:rPr>
                <w:rFonts w:ascii="Arial" w:cs="Arial" w:eastAsia="Arial" w:hAnsi="Arial"/>
                <w:sz w:val="17"/>
                <w:szCs w:val="17"/>
                <w:color w:val="auto"/>
              </w:rPr>
              <w:t>$20,000,000</w:t>
            </w:r>
          </w:p>
        </w:tc>
        <w:tc>
          <w:tcPr>
            <w:tcW w:w="1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$2,576</w:t>
            </w:r>
          </w:p>
        </w:tc>
      </w:tr>
    </w:tbl>
    <w:p>
      <w:pPr>
        <w:spacing w:after="0" w:line="194" w:lineRule="exact"/>
        <w:rPr>
          <w:sz w:val="20"/>
          <w:szCs w:val="20"/>
          <w:color w:val="auto"/>
        </w:rPr>
      </w:pPr>
    </w:p>
    <w:p>
      <w:pPr>
        <w:jc w:val="both"/>
        <w:ind w:left="500" w:hanging="380"/>
        <w:spacing w:after="0" w:line="292"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Such indeterminate number of shares of Common Stock of TapImmune, Inc. as may from time to time be issued at indeterminate prices. Pursuant to Rule 416 under the Securities Act of 1933, as amended, such number of shares of Common Stock registered hereby shall include an indeterminate number of shares of Common Stock that may be issued in connection with a stock split, stock dividend, recapitalization or similar event.</w:t>
      </w:r>
    </w:p>
    <w:p>
      <w:pPr>
        <w:spacing w:after="0" w:line="155" w:lineRule="exact"/>
        <w:rPr>
          <w:rFonts w:ascii="Arial" w:cs="Arial" w:eastAsia="Arial" w:hAnsi="Arial"/>
          <w:sz w:val="16"/>
          <w:szCs w:val="16"/>
          <w:color w:val="auto"/>
        </w:rPr>
      </w:pPr>
    </w:p>
    <w:p>
      <w:pPr>
        <w:ind w:left="500" w:hanging="380"/>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registration fee has been calculated in accordance with Rule 457(o) under the Securities Act of 1933, as amended.</w:t>
      </w:r>
    </w:p>
    <w:p>
      <w:pPr>
        <w:spacing w:after="0" w:line="212" w:lineRule="exact"/>
        <w:rPr>
          <w:sz w:val="20"/>
          <w:szCs w:val="20"/>
          <w:color w:val="auto"/>
        </w:rPr>
      </w:pPr>
    </w:p>
    <w:p>
      <w:pPr>
        <w:jc w:val="both"/>
        <w:ind w:firstLine="465"/>
        <w:spacing w:after="0" w:line="266"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509270</wp:posOffset>
            </wp:positionV>
            <wp:extent cx="725678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 w:name="page3"/>
    <w:bookmarkEnd w:id="2"/>
    <w:p>
      <w:pPr>
        <w:jc w:val="both"/>
        <w:spacing w:after="0" w:line="272" w:lineRule="auto"/>
        <w:rPr>
          <w:sz w:val="20"/>
          <w:szCs w:val="20"/>
          <w:color w:val="auto"/>
        </w:rPr>
      </w:pPr>
      <w:r>
        <w:rPr>
          <w:rFonts w:ascii="Arial" w:cs="Arial" w:eastAsia="Arial" w:hAnsi="Arial"/>
          <w:sz w:val="17"/>
          <w:szCs w:val="17"/>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Subject to Completion—Dated May 20, 2014</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154305</wp:posOffset>
            </wp:positionV>
            <wp:extent cx="1993900" cy="1017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3900" cy="101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w:t>
      </w:r>
    </w:p>
    <w:p>
      <w:pPr>
        <w:spacing w:after="0" w:line="218"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w:t>
      </w:r>
    </w:p>
    <w:p>
      <w:pPr>
        <w:spacing w:after="0" w:line="200" w:lineRule="exact"/>
        <w:rPr>
          <w:sz w:val="20"/>
          <w:szCs w:val="20"/>
          <w:color w:val="auto"/>
        </w:rPr>
      </w:pPr>
    </w:p>
    <w:p>
      <w:pPr>
        <w:spacing w:after="0" w:line="231"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This prospectus relates to common stock that we may offer and sell from time to time based on terms to be determined at the time of sale. You should read this prospectus and any prospectus supplement carefully before you invest.</w:t>
      </w:r>
    </w:p>
    <w:p>
      <w:pPr>
        <w:spacing w:after="0" w:line="15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carefully read this prospectus and the applicable prospectus supplement carefully before you invest in any securities. This prospectus may not be used to consummate a sale of securities unless accompanied by the applicable prospectus supplement.</w:t>
      </w:r>
    </w:p>
    <w:p>
      <w:pPr>
        <w:spacing w:after="0" w:line="177"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common stock is traded on the OTC Bulletin Board under the symbol “TPIV”. On May 19, 2014 the last reported sale price for our common stock on the OTC Bulletin Board was $2.53 per share and we had 16,058,815 shares of common stock outstanding.</w:t>
      </w:r>
    </w:p>
    <w:p>
      <w:pPr>
        <w:spacing w:after="0" w:line="18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As of March 21, 2014, the aggregate market value of the voting and non-voting common equity held by non-affiliates of the registrant computed by reference to the price at which the registrant’s common equity was last sold was approximately $79,065,000, based on approximately 15,060,000 shares of common stock held by non-affiliates and a closing share price of $5.25.</w:t>
      </w:r>
    </w:p>
    <w:p>
      <w:pPr>
        <w:spacing w:after="0" w:line="192"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7"/>
          <w:szCs w:val="17"/>
          <w:b w:val="1"/>
          <w:bCs w:val="1"/>
          <w:color w:val="auto"/>
        </w:rPr>
        <w:t>Investing in our securities involves risks. You should review carefully the risks and uncertainties described under the heading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on page 5 and contained in any applicable prospectus supplement and under similar headings in the other documents that are incorporated by reference into this prospectus.</w:t>
      </w:r>
    </w:p>
    <w:p>
      <w:pPr>
        <w:spacing w:after="0" w:line="16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may offer our common stock in one or more offerings in amounts, at prices, and on terms determined at the time of the offering. We may sell our common stock through agents we select or through underwriters and dealers we select. If we use agents, underwriters or dealers, we will name them and describe their compensation in a prospectus supplement.</w:t>
      </w:r>
    </w:p>
    <w:p>
      <w:pPr>
        <w:spacing w:after="0" w:line="166" w:lineRule="exact"/>
        <w:rPr>
          <w:sz w:val="20"/>
          <w:szCs w:val="20"/>
          <w:color w:val="auto"/>
        </w:rPr>
      </w:pPr>
    </w:p>
    <w:p>
      <w:pPr>
        <w:jc w:val="both"/>
        <w:ind w:firstLine="310"/>
        <w:spacing w:after="0" w:line="290"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40" w:type="dxa"/>
            <w:vAlign w:val="bottom"/>
          </w:tcPr>
          <w:p>
            <w:pPr>
              <w:ind w:left="4200"/>
              <w:spacing w:after="0"/>
              <w:rPr>
                <w:sz w:val="20"/>
                <w:szCs w:val="20"/>
                <w:color w:val="auto"/>
              </w:rPr>
            </w:pPr>
            <w:r>
              <w:rPr>
                <w:rFonts w:ascii="Arial" w:cs="Arial" w:eastAsia="Arial" w:hAnsi="Arial"/>
                <w:sz w:val="17"/>
                <w:szCs w:val="17"/>
                <w:color w:val="auto"/>
              </w:rPr>
              <w:t>The date of this prospectus is</w:t>
            </w:r>
          </w:p>
        </w:tc>
        <w:tc>
          <w:tcPr>
            <w:tcW w:w="4680" w:type="dxa"/>
            <w:vAlign w:val="bottom"/>
          </w:tcPr>
          <w:p>
            <w:pPr>
              <w:jc w:val="right"/>
              <w:ind w:right="3654"/>
              <w:spacing w:after="0"/>
              <w:rPr>
                <w:sz w:val="20"/>
                <w:szCs w:val="20"/>
                <w:color w:val="auto"/>
              </w:rPr>
            </w:pPr>
            <w:r>
              <w:rPr>
                <w:rFonts w:ascii="Arial" w:cs="Arial" w:eastAsia="Arial" w:hAnsi="Arial"/>
                <w:sz w:val="17"/>
                <w:szCs w:val="17"/>
                <w:color w:val="auto"/>
              </w:rPr>
              <w:t>, 2014</w:t>
            </w:r>
          </w:p>
        </w:tc>
      </w:tr>
      <w:tr>
        <w:trPr>
          <w:trHeight w:val="629"/>
        </w:trPr>
        <w:tc>
          <w:tcPr>
            <w:tcW w:w="674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6360" w:type="dxa"/>
            <w:vAlign w:val="bottom"/>
            <w:gridSpan w:val="3"/>
          </w:tcPr>
          <w:p>
            <w:pPr>
              <w:spacing w:after="0"/>
              <w:rPr>
                <w:sz w:val="20"/>
                <w:szCs w:val="20"/>
                <w:color w:val="auto"/>
              </w:rPr>
            </w:pPr>
            <w:r>
              <w:rPr>
                <w:rFonts w:ascii="Arial" w:cs="Arial" w:eastAsia="Arial" w:hAnsi="Arial"/>
                <w:sz w:val="17"/>
                <w:szCs w:val="17"/>
                <w:b w:val="1"/>
                <w:bCs w:val="1"/>
                <w:color w:val="auto"/>
              </w:rPr>
              <w:t>Table of Contents</w:t>
            </w:r>
          </w:p>
        </w:tc>
      </w:tr>
      <w:tr>
        <w:trPr>
          <w:trHeight w:val="438"/>
        </w:trPr>
        <w:tc>
          <w:tcPr>
            <w:tcW w:w="50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Page</w:t>
            </w:r>
          </w:p>
        </w:tc>
      </w:tr>
      <w:tr>
        <w:trPr>
          <w:trHeight w:val="401"/>
        </w:trPr>
        <w:tc>
          <w:tcPr>
            <w:tcW w:w="5060" w:type="dxa"/>
            <w:vAlign w:val="bottom"/>
          </w:tcPr>
          <w:p>
            <w:pPr>
              <w:spacing w:after="0"/>
              <w:rPr>
                <w:sz w:val="20"/>
                <w:szCs w:val="20"/>
                <w:color w:val="auto"/>
              </w:rPr>
            </w:pPr>
            <w:r>
              <w:rPr>
                <w:rFonts w:ascii="Arial" w:cs="Arial" w:eastAsia="Arial" w:hAnsi="Arial"/>
                <w:sz w:val="17"/>
                <w:szCs w:val="17"/>
                <w:color w:val="auto"/>
              </w:rPr>
              <w:t>About this Prospectus</w:t>
            </w:r>
          </w:p>
        </w:tc>
        <w:tc>
          <w:tcPr>
            <w:tcW w:w="1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i</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Prospectus Summary</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rPr>
              <w:t>1</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Risk Factors</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rPr>
              <w:t>5</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Use of Proceeds</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w w:val="94"/>
              </w:rPr>
              <w:t>20</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Plan of Distribution</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w w:val="94"/>
              </w:rPr>
              <w:t>20</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Description of Common Stock</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w w:val="94"/>
              </w:rPr>
              <w:t>22</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Legal Matters</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w w:val="94"/>
              </w:rPr>
              <w:t>24</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Experts</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w w:val="94"/>
              </w:rPr>
              <w:t>24</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Where You Can Find More Information</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w w:val="94"/>
              </w:rPr>
              <w:t>24</w:t>
            </w:r>
          </w:p>
        </w:tc>
      </w:tr>
      <w:tr>
        <w:trPr>
          <w:trHeight w:val="219"/>
        </w:trPr>
        <w:tc>
          <w:tcPr>
            <w:tcW w:w="5060" w:type="dxa"/>
            <w:vAlign w:val="bottom"/>
          </w:tcPr>
          <w:p>
            <w:pPr>
              <w:spacing w:after="0"/>
              <w:rPr>
                <w:sz w:val="20"/>
                <w:szCs w:val="20"/>
                <w:color w:val="auto"/>
              </w:rPr>
            </w:pPr>
            <w:r>
              <w:rPr>
                <w:rFonts w:ascii="Arial" w:cs="Arial" w:eastAsia="Arial" w:hAnsi="Arial"/>
                <w:sz w:val="17"/>
                <w:szCs w:val="17"/>
                <w:color w:val="auto"/>
              </w:rPr>
              <w:t>Incorporation By Reference</w:t>
            </w:r>
          </w:p>
        </w:tc>
        <w:tc>
          <w:tcPr>
            <w:tcW w:w="6360" w:type="dxa"/>
            <w:vAlign w:val="bottom"/>
            <w:gridSpan w:val="3"/>
          </w:tcPr>
          <w:p>
            <w:pPr>
              <w:jc w:val="center"/>
              <w:ind w:left="5734"/>
              <w:spacing w:after="0"/>
              <w:rPr>
                <w:sz w:val="20"/>
                <w:szCs w:val="20"/>
                <w:color w:val="auto"/>
              </w:rPr>
            </w:pPr>
            <w:r>
              <w:rPr>
                <w:rFonts w:ascii="Arial" w:cs="Arial" w:eastAsia="Arial" w:hAnsi="Arial"/>
                <w:sz w:val="17"/>
                <w:szCs w:val="17"/>
                <w:color w:val="auto"/>
                <w:w w:val="94"/>
              </w:rPr>
              <w:t>24</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ABOUT THIS PROSPECTUS</w:t>
      </w:r>
    </w:p>
    <w:p>
      <w:pPr>
        <w:spacing w:after="0" w:line="224"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or SEC, utilizing a “shelf” registration process. Under this shelf process, we may sell the securities described in this prospectus in one or more offerings.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or in any documents that we have incorporated by reference into this prospectus. You should read this prospectus and any applicable prospectus supplement, together with the information incorporated herein by reference as described under the heading “Where You Can Find More Information.”</w:t>
      </w:r>
    </w:p>
    <w:p>
      <w:pPr>
        <w:spacing w:after="0" w:line="16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You should rely only on the information that we have provided or incorporated by reference in this prospectus and any applicable prospectus supplement. We have not authorized any dealer, salesman or other person to give any information or to make any representation other than those contained or incorporated by reference in this prospectus or any applicable prospectus supplement. You must not rely upon any information or representation not contained or incorporated by reference in this prospectus or the accompanying prospectus supplement. We take no responsibility for, and can provide no assurance as to the reliability of, any other information that others may give you.</w:t>
      </w:r>
    </w:p>
    <w:p>
      <w:pPr>
        <w:spacing w:after="0" w:line="177" w:lineRule="exact"/>
        <w:rPr>
          <w:sz w:val="20"/>
          <w:szCs w:val="20"/>
          <w:color w:val="auto"/>
        </w:rPr>
      </w:pPr>
    </w:p>
    <w:p>
      <w:pPr>
        <w:jc w:val="both"/>
        <w:ind w:firstLine="310"/>
        <w:spacing w:after="0" w:line="300" w:lineRule="auto"/>
        <w:rPr>
          <w:sz w:val="20"/>
          <w:szCs w:val="20"/>
          <w:color w:val="auto"/>
        </w:rPr>
      </w:pPr>
      <w:r>
        <w:rPr>
          <w:rFonts w:ascii="Arial" w:cs="Arial" w:eastAsia="Arial" w:hAnsi="Arial"/>
          <w:sz w:val="15"/>
          <w:szCs w:val="15"/>
          <w:color w:val="auto"/>
        </w:rPr>
        <w:t>This prospectus and any accompanying applicable supplement to this prospectus do not constitute an offer to sell or the solicitation of an offer to buy any securities other than the registered securities to which they relate, nor do this prospectus and any accompanying applicable supplement to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or any applicable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or any applicable prospectus supplement is delivered or securities sold on a later date.</w:t>
      </w:r>
    </w:p>
    <w:p>
      <w:pPr>
        <w:spacing w:after="0" w:line="17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will provide, upon written or oral request, without charge to you, including any beneficial owner to whom this prospectus is delivered, a copy of any or all of the documents incorporated herein by reference other than the exhibits to those documents, unless the exhibits are specifically incorporated by reference into the information that this prospectus incorporates. You should direct a request for copies to us at President Glynn Wilson, TapImmune Inc, 1551 Eastlake Avenue East, Suite 100, Seattle, WA, 98102 or you may call us at (206) 504-7278.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2567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50" w:lineRule="exact"/>
        <w:rPr>
          <w:sz w:val="20"/>
          <w:szCs w:val="20"/>
          <w:color w:val="auto"/>
        </w:rPr>
      </w:pPr>
    </w:p>
    <w:p>
      <w:pPr>
        <w:jc w:val="both"/>
        <w:ind w:firstLine="530"/>
        <w:spacing w:after="0" w:line="273" w:lineRule="auto"/>
        <w:rPr>
          <w:sz w:val="20"/>
          <w:szCs w:val="20"/>
          <w:color w:val="auto"/>
        </w:rPr>
      </w:pPr>
      <w:r>
        <w:rPr>
          <w:rFonts w:ascii="Arial" w:cs="Arial" w:eastAsia="Arial" w:hAnsi="Arial"/>
          <w:sz w:val="16"/>
          <w:szCs w:val="16"/>
          <w:color w:val="auto"/>
        </w:rPr>
        <w:t>Certain information set forth in this prospectus or incorporated by reference in this prospectus may contain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“would,” “could,” “seek,” “intend,” “plan,” “estimate,” “goal,” “anticipate,” “project” or other comparable terms. Forward-looking statements involve inherent risks and uncertainties which could cause actual results to differ materially from those in the forward-looking statements, as a result of various factors including those risks and uncertainties included in this prospectus under the caption “Risk Factors,” and those risks and uncertainties described in the documents incorporated by reference into this prospectus. We urge you to consider those risks and uncertainties in evaluating our forward-looking statements. All subsequent written and oral forward-looking statements attributable to us or to persons acting on our behalf are expressly qualified in their entirety by the applicable cautionary statements. We further caution readers not to place undue reliance upon any such forward-looking statements, which speak only as of the date made. Except as otherwise required by the federal securities laws, we disclaim any obligation or undertaking to publicly release any updates or revisions to any forward-looking statement contained herein or in the accompanying prospectus (or elsewhere)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25678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PROSPECTUS SUMMARY</w:t>
      </w:r>
    </w:p>
    <w:p>
      <w:pPr>
        <w:spacing w:after="0" w:line="224"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6"/>
          <w:szCs w:val="16"/>
          <w:color w:val="auto"/>
        </w:rPr>
        <w:t>This summary highlights selected information from this prospectus and does not contain all of the information that you need to consider in making your investment decision. You should carefully read the entire prospectus, including the risks of investing discussed under “Risk Factors” on page 5, the information incorporated by reference, including our financial statements, and the exhibits to the registration statement of which this prospectus is a part. Unless otherwise stated or the context requires otherwise, references in this prospectus to “TapImmune,” “we,” “us,” or “our” refer to TapImmune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Company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24"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9"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principal product candidates are:</w:t>
      </w:r>
    </w:p>
    <w:p>
      <w:pPr>
        <w:spacing w:after="0" w:line="244" w:lineRule="exact"/>
        <w:rPr>
          <w:sz w:val="20"/>
          <w:szCs w:val="20"/>
          <w:color w:val="auto"/>
        </w:rPr>
      </w:pPr>
    </w:p>
    <w:p>
      <w:pPr>
        <w:ind w:left="320" w:hanging="317"/>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new Her2/neu breast cancer immunotherapeutic vaccine technology in-licensed from the Mayo Clinic, MN,</w:t>
      </w:r>
    </w:p>
    <w:p>
      <w:pPr>
        <w:spacing w:after="0" w:line="243" w:lineRule="exact"/>
        <w:rPr>
          <w:rFonts w:ascii="Arial" w:cs="Arial" w:eastAsia="Arial" w:hAnsi="Arial"/>
          <w:sz w:val="17"/>
          <w:szCs w:val="17"/>
          <w:color w:val="auto"/>
        </w:rPr>
      </w:pPr>
    </w:p>
    <w:p>
      <w:pPr>
        <w:ind w:left="320" w:hanging="317"/>
        <w:spacing w:after="0" w:line="283" w:lineRule="auto"/>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Folate Alpha Receptor immunotherapeutic vaccine comprised of a set of unique peptide epitopes targeting both breast cancer and ovarian cancer that we have an option to in-license from the Mayo Clinic,</w:t>
      </w:r>
    </w:p>
    <w:p>
      <w:pPr>
        <w:spacing w:after="0" w:line="185" w:lineRule="exact"/>
        <w:rPr>
          <w:rFonts w:ascii="Arial" w:cs="Arial" w:eastAsia="Arial" w:hAnsi="Arial"/>
          <w:sz w:val="17"/>
          <w:szCs w:val="17"/>
          <w:color w:val="auto"/>
        </w:rPr>
      </w:pPr>
    </w:p>
    <w:p>
      <w:pPr>
        <w:ind w:left="320" w:hanging="317"/>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Polystart™, our proprietary immunotherapeutic, nucleic acid-based expression technology,</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TAP, a DNA technology expressing Transporter associated with Antigen Processing, and</w:t>
      </w:r>
    </w:p>
    <w:p>
      <w:pPr>
        <w:spacing w:after="0" w:line="243" w:lineRule="exact"/>
        <w:rPr>
          <w:rFonts w:ascii="Arial" w:cs="Arial" w:eastAsia="Arial" w:hAnsi="Arial"/>
          <w:sz w:val="17"/>
          <w:szCs w:val="17"/>
          <w:color w:val="auto"/>
        </w:rPr>
      </w:pPr>
    </w:p>
    <w:p>
      <w:pPr>
        <w:ind w:left="320" w:hanging="317"/>
        <w:spacing w:after="0" w:line="283" w:lineRule="auto"/>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field of infectious diseases, use of our technology platforms to create and improve on therapeutic vaccines for pandemic diseases and national preparedness.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Candidates</w:t>
      </w:r>
    </w:p>
    <w:p>
      <w:pPr>
        <w:spacing w:after="0" w:line="250"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Our current operations are focused on developing four product candidates. Two of these candidates are currently in Phase I clinical trials that we would like to progress to Phase II clinical trials in 2014. The other two product candidates are proprietary immunotherapeutic technologies that are in preclinical trials.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Her2/NEU</w:t>
      </w:r>
    </w:p>
    <w:p>
      <w:pPr>
        <w:spacing w:after="0" w:line="244" w:lineRule="exact"/>
        <w:rPr>
          <w:sz w:val="20"/>
          <w:szCs w:val="20"/>
          <w:color w:val="auto"/>
        </w:rPr>
      </w:pPr>
    </w:p>
    <w:p>
      <w:pPr>
        <w:jc w:val="both"/>
        <w:ind w:firstLine="310"/>
        <w:spacing w:after="0" w:line="296" w:lineRule="auto"/>
        <w:rPr>
          <w:sz w:val="20"/>
          <w:szCs w:val="20"/>
          <w:color w:val="auto"/>
        </w:rPr>
      </w:pPr>
      <w:r>
        <w:rPr>
          <w:rFonts w:ascii="Arial" w:cs="Arial" w:eastAsia="Arial" w:hAnsi="Arial"/>
          <w:sz w:val="15"/>
          <w:szCs w:val="15"/>
          <w:color w:val="auto"/>
        </w:rPr>
        <w:t>In 2010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two-year follow-on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6" w:name="page7"/>
    <w:bookmarkEnd w:id="6"/>
    <w:p>
      <w:pPr>
        <w:jc w:val="both"/>
        <w:ind w:firstLine="310"/>
        <w:spacing w:after="0" w:line="268"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2014 is to progress the Her2/neu vaccine into the above mentioned Phase 1(b)/II Clinical trial.</w:t>
      </w:r>
    </w:p>
    <w:p>
      <w:pPr>
        <w:spacing w:after="0" w:line="19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19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business strategy with respect to the Her2/neu peptide epitopes is to take them through Phase II clinical trials and then partner with pharmaceutical marketing organizations ahead of Phase III trials.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Folate Alpha Receptor</w:t>
      </w:r>
    </w:p>
    <w:p>
      <w:pPr>
        <w:spacing w:after="0" w:line="244"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In March 2014, we acquired the option to in-license the technology being used in a late stage 24 patient, Phase l clinical program in ovarian cancer (Folate Alpha) being conducted by the Mayo Clinic. We will have the exclusive option to in-license the Folate Alpha Receptor upon the completion of Phase I if we exercise our option to acquire that license prior to the completion of Phase I. We intend to use the proceeds from the offering to which this Prospectus relates to exercise the option to acquire the in-license.</w:t>
      </w:r>
    </w:p>
    <w:p>
      <w:pPr>
        <w:spacing w:after="0" w:line="203"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Folate Alpha Receptor is expressed in over 90% of ovarian cancer and in 86% of triple negative breast cancer, for which the only treatment options are surgery and chemotherapy, leaving a very important and urgent clinical need for a new therapeutic. In ovarian cancer, time to recurrence is relatively short for this type of cancer and survival prognosis is extremely poor after recurrence. We intend to exercise this option and to initiate a second Phase II trial in 2014 to include the Folate Alpha Receptor epitopes. This trial will likely focus on ovarian cancer. As ovarian cancer has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19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and triple negative breast cancer.</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Polystart™</w:t>
      </w:r>
    </w:p>
    <w:p>
      <w:pPr>
        <w:spacing w:after="0" w:line="24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7" w:lineRule="exact"/>
        <w:rPr>
          <w:sz w:val="20"/>
          <w:szCs w:val="20"/>
          <w:color w:val="auto"/>
        </w:rPr>
      </w:pPr>
    </w:p>
    <w:p>
      <w:pPr>
        <w:jc w:val="both"/>
        <w:ind w:firstLine="353"/>
        <w:spacing w:after="0" w:line="283" w:lineRule="auto"/>
        <w:rPr>
          <w:sz w:val="20"/>
          <w:szCs w:val="20"/>
          <w:color w:val="auto"/>
        </w:rPr>
      </w:pPr>
      <w:r>
        <w:rPr>
          <w:rFonts w:ascii="Arial" w:cs="Arial" w:eastAsia="Arial" w:hAnsi="Arial"/>
          <w:sz w:val="17"/>
          <w:szCs w:val="17"/>
          <w:color w:val="auto"/>
        </w:rPr>
        <w:t>We have undertaken preclinical studies with our Polystart™/PAA technology in connection with a smallpox vaccine candidate, and we have been encouraged by the results. We expect these studies to begin in 2015.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7" w:name="page8"/>
    <w:bookmarkEnd w:id="7"/>
    <w:p>
      <w:pPr>
        <w:ind w:left="320"/>
        <w:spacing w:after="0"/>
        <w:rPr>
          <w:sz w:val="20"/>
          <w:szCs w:val="20"/>
          <w:color w:val="auto"/>
        </w:rPr>
      </w:pPr>
      <w:r>
        <w:rPr>
          <w:rFonts w:ascii="Arial" w:cs="Arial" w:eastAsia="Arial" w:hAnsi="Arial"/>
          <w:sz w:val="17"/>
          <w:szCs w:val="17"/>
          <w:b w:val="1"/>
          <w:bCs w:val="1"/>
          <w:i w:val="1"/>
          <w:iCs w:val="1"/>
          <w:color w:val="auto"/>
        </w:rPr>
        <w:t>TAP</w:t>
      </w:r>
    </w:p>
    <w:p>
      <w:pPr>
        <w:spacing w:after="0" w:line="238" w:lineRule="exact"/>
        <w:rPr>
          <w:sz w:val="20"/>
          <w:szCs w:val="20"/>
          <w:color w:val="auto"/>
        </w:rPr>
      </w:pPr>
    </w:p>
    <w:p>
      <w:pPr>
        <w:jc w:val="both"/>
        <w:ind w:firstLine="310"/>
        <w:spacing w:after="0" w:line="266"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73"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03"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TAP technology was acquired from the University of British Columbia in full and is therefore not subject to any licensing fees or downstream royalty payments.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Infectious Diseases</w:t>
      </w:r>
    </w:p>
    <w:p>
      <w:pPr>
        <w:spacing w:after="0" w:line="21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In the infectious disease/biodefense area, our business strategy is to seek joint research and development partnerships on our infectious disease platform with companies seeking to expand their product portfolios. We are collaborating with the Mayo Clinic for the development of vaccines using TAP expression vectors aimed at viral pandemics/biodefense. We entered into a research and technology license option agreement with the Mayo Clinic to evaluate novel smallpox peptide antigens. The Agreement grants us an exclusive worldwide option to become the exclusive licensee of the smallpox vaccine technology after research studies have been completed under the terms of the agreement. Scientists at the Mayo Clinic have identified a novel set of peptide antigens which collectively can protect small animals from a lethal dose of vaccinia virus. This could form the basis of the first peptide-based vaccine for potential stockpiling. The subsequent regulatory pathway for this product is to use the FDA’s “Animal Efficacy Rule” for completion of efficacy studies in primates followed by Phase I clinical studies on vaccine safety.</w:t>
      </w:r>
    </w:p>
    <w:p>
      <w:pPr>
        <w:spacing w:after="0" w:line="205"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plan to complete animal efficacy and human safety studies through non-dilutive grant funding in collaboration with Dr. Greg Poland and colleagues at the Mayo Clinic and anticipate that further development will be completed through strategic corporate partnerships. We anticipate that we will complete these studies with a strategic partner involved in the Biodefense space. The use of non-dilutive grant funding to progress this area allows us to focus the majority of our internal resources on our other product candidates.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Corporate Information</w:t>
      </w:r>
    </w:p>
    <w:p>
      <w:pPr>
        <w:spacing w:after="0" w:line="224"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207"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 xml:space="preserve">Our principal executive offices are located at 1551 Eastlake Avenue East, Suite 100, Seattle, WA 98102 and our telephone number is (206) 504-7278. We maintain a website at </w:t>
      </w:r>
      <w:r>
        <w:rPr>
          <w:rFonts w:ascii="Arial" w:cs="Arial" w:eastAsia="Arial" w:hAnsi="Arial"/>
          <w:sz w:val="17"/>
          <w:szCs w:val="17"/>
          <w:u w:val="single" w:color="auto"/>
          <w:color w:val="0000FF"/>
        </w:rPr>
        <w:t>http://www.tapimmune.com</w:t>
      </w:r>
      <w:r>
        <w:rPr>
          <w:rFonts w:ascii="Arial" w:cs="Arial" w:eastAsia="Arial" w:hAnsi="Arial"/>
          <w:sz w:val="17"/>
          <w:szCs w:val="17"/>
          <w:color w:val="auto"/>
        </w:rPr>
        <w:t xml:space="preserve"> which contains descriptions of our technology, our drugs and the trial status of each drug. The information on our website is not incorporated into this prospectus.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The Securities We May Offer</w:t>
      </w:r>
    </w:p>
    <w:p>
      <w:pPr>
        <w:spacing w:after="0" w:line="224"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We may offer shares of our common stock, from time to time under this prospectus, together with any applicable prospectus supplement, at prices and on terms to be determined by market conditions at the time of offering. This prospectus provides you with a general description of the securities we may offer. Holders of our common stock are entitled to one vote for each share held of record on each matter submitted to a vote of stockholders. Each time we offer our common stock, we will provide a prospectus supplement that will describe the specific amounts, prices and other important terms of the securities. A prospectus supplement to be provided to you may also add, update or change information contained in this prospectus or in documents we have incorporated by reference. However, no prospectus supplement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37" w:lineRule="exact"/>
        <w:rPr>
          <w:sz w:val="20"/>
          <w:szCs w:val="20"/>
          <w:color w:val="auto"/>
        </w:rPr>
      </w:pPr>
    </w:p>
    <w:p>
      <w:pPr>
        <w:ind w:left="400" w:hanging="39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names of those underwriters or agents;</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applicable fees, discounts and commissions to be paid to them;</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details regarding over-allotment options, if any; and</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net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RISK FACTORS</w:t>
      </w:r>
    </w:p>
    <w:p>
      <w:pPr>
        <w:spacing w:after="0" w:line="224" w:lineRule="exact"/>
        <w:rPr>
          <w:sz w:val="20"/>
          <w:szCs w:val="20"/>
          <w:color w:val="auto"/>
        </w:rPr>
      </w:pPr>
    </w:p>
    <w:p>
      <w:pPr>
        <w:jc w:val="both"/>
        <w:ind w:firstLine="310"/>
        <w:spacing w:after="0" w:line="300" w:lineRule="auto"/>
        <w:rPr>
          <w:sz w:val="20"/>
          <w:szCs w:val="20"/>
          <w:color w:val="auto"/>
        </w:rPr>
      </w:pPr>
      <w:r>
        <w:rPr>
          <w:rFonts w:ascii="Arial" w:cs="Arial" w:eastAsia="Arial" w:hAnsi="Arial"/>
          <w:sz w:val="15"/>
          <w:szCs w:val="15"/>
          <w:color w:val="auto"/>
        </w:rPr>
        <w:t>Investing in our securities involves a high degree of risk. You should carefully consider and evaluate all of the information included and incorporated by reference or deemed to be incorporated by reference in this prospectus or any applicable prospectus supplement, including the risk factors contained herein and those incorporated by reference herein from our Annual Report on Form 10-K for the fiscal year ended December 31, 2013 and the Quarterly Report on Form 10-Q for the quarter ended March 30, 2014, respectively, as updated by annual, quarterly and other reports and documents we file with the SEC after the date of this prospectus and that are incorporated by reference herein or contained in any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development stage company with a history of operating losses.</w:t>
      </w:r>
    </w:p>
    <w:p>
      <w:pPr>
        <w:spacing w:after="0" w:line="218"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63"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2013, we had an accumulated deficit of $55,427,000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yet sold any products or received regulatory approval to sell our products.</w:t>
      </w:r>
    </w:p>
    <w:p>
      <w:pPr>
        <w:spacing w:after="0" w:line="24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develop products successfully or develop them on a timely basis.</w:t>
      </w:r>
    </w:p>
    <w:p>
      <w:pPr>
        <w:spacing w:after="0" w:line="218"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0" w:name="page11"/>
    <w:bookmarkEnd w:id="10"/>
    <w:p>
      <w:pPr>
        <w:jc w:val="both"/>
        <w:ind w:firstLine="310"/>
        <w:spacing w:after="0" w:line="272" w:lineRule="auto"/>
        <w:rPr>
          <w:sz w:val="20"/>
          <w:szCs w:val="20"/>
          <w:color w:val="auto"/>
        </w:rPr>
      </w:pPr>
      <w:r>
        <w:rPr>
          <w:rFonts w:ascii="Arial" w:cs="Arial" w:eastAsia="Arial" w:hAnsi="Arial"/>
          <w:sz w:val="16"/>
          <w:szCs w:val="16"/>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6"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achieve commercial success even if our product candidates are approved for sale.</w:t>
      </w:r>
    </w:p>
    <w:p>
      <w:pPr>
        <w:spacing w:after="0" w:line="250"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59" w:lineRule="exact"/>
        <w:rPr>
          <w:sz w:val="20"/>
          <w:szCs w:val="20"/>
          <w:color w:val="auto"/>
        </w:rPr>
      </w:pPr>
    </w:p>
    <w:p>
      <w:pPr>
        <w:ind w:left="400" w:hanging="397"/>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acceptance of the formulation of Immunotherapies by health care professionals and patients;</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of third-parties that we may enter into collaboration agreements with for the manufacture, sales, marketing and distribution of our products; and</w:t>
      </w:r>
    </w:p>
    <w:p>
      <w:pPr>
        <w:spacing w:after="0" w:line="229" w:lineRule="exact"/>
        <w:rPr>
          <w:rFonts w:ascii="Arial" w:cs="Arial" w:eastAsia="Arial" w:hAnsi="Arial"/>
          <w:sz w:val="16"/>
          <w:szCs w:val="16"/>
          <w:color w:val="auto"/>
        </w:rPr>
      </w:pPr>
    </w:p>
    <w:p>
      <w:pPr>
        <w:ind w:left="400" w:hanging="397"/>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effectiveness and relative cost of alternative treatments which may be developed by competitors.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legal claims; Litigation is expensive and we may not be able to afford the costs.</w:t>
      </w:r>
    </w:p>
    <w:p>
      <w:pPr>
        <w:spacing w:after="0" w:line="21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77"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Our research and development programs are subject to uncertainty.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Factors affecting our research and development programs include, but are not limited to:</w:t>
      </w:r>
    </w:p>
    <w:p>
      <w:pPr>
        <w:spacing w:after="0" w:line="218" w:lineRule="exact"/>
        <w:rPr>
          <w:sz w:val="20"/>
          <w:szCs w:val="20"/>
          <w:color w:val="auto"/>
        </w:rPr>
      </w:pPr>
    </w:p>
    <w:p>
      <w:pPr>
        <w:ind w:left="400" w:hanging="39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competition from companies that are substantially and financially stronger than we are;</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need for acceptance of our Immunotherapies;</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anticipate and adapt to a competitive market and rapid technological developments;</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and timing of operating costs and capital expenditures relating to expansion of our business, operations and infrastructure;</w:t>
      </w:r>
    </w:p>
    <w:p>
      <w:pPr>
        <w:spacing w:after="0" w:line="217" w:lineRule="exact"/>
        <w:rPr>
          <w:rFonts w:ascii="Arial" w:cs="Arial" w:eastAsia="Arial" w:hAnsi="Arial"/>
          <w:sz w:val="17"/>
          <w:szCs w:val="17"/>
          <w:color w:val="auto"/>
        </w:rPr>
      </w:pPr>
    </w:p>
    <w:p>
      <w:pPr>
        <w:ind w:left="400" w:hanging="397"/>
        <w:spacing w:after="0" w:line="283"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need to rely on multiple levels of outside funding due to the length of drug development cycles and governmental approved protocols associated with the pharmaceutical industry; and</w:t>
      </w:r>
    </w:p>
    <w:p>
      <w:pPr>
        <w:spacing w:after="0" w:line="159" w:lineRule="exact"/>
        <w:rPr>
          <w:rFonts w:ascii="Arial" w:cs="Arial" w:eastAsia="Arial" w:hAnsi="Arial"/>
          <w:sz w:val="17"/>
          <w:szCs w:val="17"/>
          <w:color w:val="auto"/>
        </w:rPr>
      </w:pPr>
    </w:p>
    <w:p>
      <w:pPr>
        <w:ind w:left="400" w:hanging="39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dependence upon key personnel including key independent consultants and advisors.</w:t>
      </w:r>
    </w:p>
    <w:p>
      <w:pPr>
        <w:spacing w:after="0" w:line="244" w:lineRule="exact"/>
        <w:rPr>
          <w:sz w:val="20"/>
          <w:szCs w:val="20"/>
          <w:color w:val="auto"/>
        </w:rPr>
      </w:pPr>
    </w:p>
    <w:p>
      <w:pPr>
        <w:jc w:val="both"/>
        <w:ind w:firstLine="705"/>
        <w:spacing w:after="0" w:line="283" w:lineRule="auto"/>
        <w:rPr>
          <w:sz w:val="20"/>
          <w:szCs w:val="20"/>
          <w:color w:val="auto"/>
        </w:rPr>
      </w:pPr>
      <w:r>
        <w:rPr>
          <w:rFonts w:ascii="Arial" w:cs="Arial" w:eastAsia="Arial" w:hAnsi="Arial"/>
          <w:sz w:val="17"/>
          <w:szCs w:val="17"/>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18" w:lineRule="exact"/>
        <w:rPr>
          <w:sz w:val="20"/>
          <w:szCs w:val="20"/>
          <w:color w:val="auto"/>
        </w:rPr>
      </w:pPr>
    </w:p>
    <w:p>
      <w:pPr>
        <w:jc w:val="both"/>
        <w:ind w:firstLine="620"/>
        <w:spacing w:after="0" w:line="263" w:lineRule="auto"/>
        <w:rPr>
          <w:sz w:val="20"/>
          <w:szCs w:val="20"/>
          <w:color w:val="auto"/>
        </w:rPr>
      </w:pPr>
      <w:r>
        <w:rPr>
          <w:rFonts w:ascii="Arial" w:cs="Arial" w:eastAsia="Arial" w:hAnsi="Arial"/>
          <w:sz w:val="17"/>
          <w:szCs w:val="17"/>
          <w:color w:val="auto"/>
        </w:rPr>
        <w:t>We license technologies from a third party, the Mayo Clinic. We in-license from the Mayo Clinic the technology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03" w:lineRule="exact"/>
        <w:rPr>
          <w:sz w:val="20"/>
          <w:szCs w:val="20"/>
          <w:color w:val="auto"/>
        </w:rPr>
      </w:pPr>
    </w:p>
    <w:p>
      <w:pPr>
        <w:ind w:left="320" w:hanging="317"/>
        <w:spacing w:after="0" w:line="283"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owners of the patent rights underlying the technologies that we license do not properly maintain or enforce the patents and intellectual property underlying those properties,</w:t>
      </w:r>
    </w:p>
    <w:p>
      <w:pPr>
        <w:spacing w:after="0" w:line="185" w:lineRule="exact"/>
        <w:rPr>
          <w:rFonts w:ascii="Arial" w:cs="Arial" w:eastAsia="Arial" w:hAnsi="Arial"/>
          <w:sz w:val="17"/>
          <w:szCs w:val="17"/>
          <w:color w:val="auto"/>
        </w:rPr>
      </w:pPr>
    </w:p>
    <w:p>
      <w:pPr>
        <w:ind w:left="320" w:hanging="317"/>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Mayo Clinic seeks to terminate our license in contravention of the license agreements,</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fail to make all payments due and owing under any of the licenses or</w:t>
      </w:r>
    </w:p>
    <w:p>
      <w:pPr>
        <w:spacing w:after="0" w:line="243" w:lineRule="exact"/>
        <w:rPr>
          <w:rFonts w:ascii="Arial" w:cs="Arial" w:eastAsia="Arial" w:hAnsi="Arial"/>
          <w:sz w:val="17"/>
          <w:szCs w:val="17"/>
          <w:color w:val="auto"/>
        </w:rPr>
      </w:pPr>
    </w:p>
    <w:p>
      <w:pPr>
        <w:ind w:left="320" w:hanging="317"/>
        <w:spacing w:after="0" w:line="283"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fail to obtain on commercially reasonable terms, if at all, in-licenses from the Mayo Clinic or other for other rights that are necessary to develop the technology that we have already in-licensed.</w:t>
      </w:r>
    </w:p>
    <w:p>
      <w:pPr>
        <w:spacing w:after="0" w:line="185" w:lineRule="exact"/>
        <w:rPr>
          <w:sz w:val="20"/>
          <w:szCs w:val="20"/>
          <w:color w:val="auto"/>
        </w:rPr>
      </w:pPr>
    </w:p>
    <w:p>
      <w:pPr>
        <w:jc w:val="both"/>
        <w:ind w:firstLine="620"/>
        <w:spacing w:after="0" w:line="268" w:lineRule="auto"/>
        <w:rPr>
          <w:sz w:val="20"/>
          <w:szCs w:val="20"/>
          <w:color w:val="auto"/>
        </w:rPr>
      </w:pPr>
      <w:r>
        <w:rPr>
          <w:rFonts w:ascii="Arial" w:cs="Arial" w:eastAsia="Arial" w:hAnsi="Arial"/>
          <w:sz w:val="17"/>
          <w:szCs w:val="17"/>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59" w:lineRule="exact"/>
        <w:rPr>
          <w:sz w:val="20"/>
          <w:szCs w:val="20"/>
          <w:color w:val="auto"/>
        </w:rPr>
      </w:pPr>
    </w:p>
    <w:p>
      <w:pPr>
        <w:jc w:val="both"/>
        <w:ind w:firstLine="620"/>
        <w:spacing w:after="0" w:line="261" w:lineRule="auto"/>
        <w:rPr>
          <w:sz w:val="20"/>
          <w:szCs w:val="20"/>
          <w:color w:val="auto"/>
        </w:rPr>
      </w:pPr>
      <w:r>
        <w:rPr>
          <w:rFonts w:ascii="Arial" w:cs="Arial" w:eastAsia="Arial" w:hAnsi="Arial"/>
          <w:sz w:val="17"/>
          <w:szCs w:val="17"/>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2" w:name="page13"/>
    <w:bookmarkEnd w:id="12"/>
    <w:p>
      <w:pPr>
        <w:jc w:val="both"/>
        <w:spacing w:after="0" w:line="283" w:lineRule="auto"/>
        <w:rPr>
          <w:sz w:val="20"/>
          <w:szCs w:val="20"/>
          <w:color w:val="auto"/>
        </w:rPr>
      </w:pPr>
      <w:r>
        <w:rPr>
          <w:rFonts w:ascii="Arial" w:cs="Arial" w:eastAsia="Arial" w:hAnsi="Arial"/>
          <w:sz w:val="17"/>
          <w:szCs w:val="17"/>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59"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73"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77"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72"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adequately prevent disclosure of trade secrets and other proprietary information.</w:t>
      </w:r>
    </w:p>
    <w:p>
      <w:pPr>
        <w:spacing w:after="0" w:line="218"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3" w:name="page14"/>
    <w:bookmarkEnd w:id="13"/>
    <w:p>
      <w:pPr>
        <w:jc w:val="both"/>
        <w:spacing w:after="0" w:line="283"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59"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63"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obtain or maintain the benefits associated with orphan drug designation, including market exclusivity.</w:t>
      </w:r>
    </w:p>
    <w:p>
      <w:pPr>
        <w:spacing w:after="0" w:line="218"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3"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manufacturing, sales, marketing or distribution capability and we must rely upon third parties for such.</w:t>
      </w:r>
    </w:p>
    <w:p>
      <w:pPr>
        <w:spacing w:after="0" w:line="21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We do not intend to create facilities to manufacture our products and therefore will depend upon third parties to do so. We currently have no agreements with any commercial manufacturers.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establish or manage strategic collaborations in the future, our revenue and drug development may be limited.</w:t>
      </w:r>
    </w:p>
    <w:p>
      <w:pPr>
        <w:spacing w:after="0" w:line="218"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4" w:name="page15"/>
    <w:bookmarkEnd w:id="14"/>
    <w:p>
      <w:pPr>
        <w:ind w:left="320"/>
        <w:spacing w:after="0"/>
        <w:rPr>
          <w:sz w:val="20"/>
          <w:szCs w:val="20"/>
          <w:color w:val="auto"/>
        </w:rPr>
      </w:pPr>
      <w:r>
        <w:rPr>
          <w:rFonts w:ascii="Arial" w:cs="Arial" w:eastAsia="Arial" w:hAnsi="Arial"/>
          <w:sz w:val="17"/>
          <w:szCs w:val="17"/>
          <w:color w:val="auto"/>
        </w:rPr>
        <w:t>Management of our relationships with our collaborators will require:</w:t>
      </w:r>
    </w:p>
    <w:p>
      <w:pPr>
        <w:spacing w:after="0" w:line="218" w:lineRule="exact"/>
        <w:rPr>
          <w:sz w:val="20"/>
          <w:szCs w:val="20"/>
          <w:color w:val="auto"/>
        </w:rPr>
      </w:pPr>
    </w:p>
    <w:p>
      <w:pPr>
        <w:ind w:left="400" w:hanging="397"/>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time and effort from our management team;</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coordination of our research and development programs with the research and development priorities of our collaborators; and</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effective allocation of our resources to multiple projects.</w:t>
      </w:r>
    </w:p>
    <w:p>
      <w:pPr>
        <w:spacing w:after="0" w:line="218"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need to attract and retain highly skilled personnel; we may be unable to effectively manage growth with our limited resources.</w:t>
      </w:r>
    </w:p>
    <w:p>
      <w:pPr>
        <w:spacing w:after="0" w:line="21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As of May 19, 2014, we had 2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25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59"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5" w:name="page16"/>
    <w:bookmarkEnd w:id="15"/>
    <w:p>
      <w:pPr>
        <w:jc w:val="both"/>
        <w:ind w:firstLine="310"/>
        <w:spacing w:after="0" w:line="278"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6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In addition, certain of our Immunotherapies may be subject to competition from investigational new drugs and/or products developed using other technologies, some of which have completed numerous clinical trials.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numerous risks inherent in conducting clinical trials.</w:t>
      </w:r>
    </w:p>
    <w:p>
      <w:pPr>
        <w:spacing w:after="0" w:line="218"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194"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60"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81"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The successful development of immunotherapies is highly uncertain.</w:t>
      </w:r>
    </w:p>
    <w:p>
      <w:pPr>
        <w:spacing w:after="0" w:line="218"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159" w:lineRule="exact"/>
        <w:rPr>
          <w:sz w:val="20"/>
          <w:szCs w:val="20"/>
          <w:color w:val="auto"/>
        </w:rPr>
      </w:pPr>
    </w:p>
    <w:p>
      <w:pPr>
        <w:ind w:left="400" w:hanging="397"/>
        <w:spacing w:after="0" w:line="28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preclinical study results that may show the immunotherapy to be less effective than desired (e.g., the study failed to meet its primary objectives) or to have harmful or problematic side effects;</w:t>
      </w:r>
    </w:p>
    <w:p>
      <w:pPr>
        <w:spacing w:after="0" w:line="159" w:lineRule="exact"/>
        <w:rPr>
          <w:rFonts w:ascii="Arial" w:cs="Arial" w:eastAsia="Arial" w:hAnsi="Arial"/>
          <w:sz w:val="17"/>
          <w:szCs w:val="17"/>
          <w:color w:val="auto"/>
        </w:rPr>
      </w:pPr>
    </w:p>
    <w:p>
      <w:pPr>
        <w:ind w:left="400" w:hanging="397"/>
        <w:spacing w:after="0" w:line="28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clinical study results that may show the immunotherapy to be less effective than expected (e.g., the study failed to meet its primary endpoint) or to have unacceptable side effects;</w:t>
      </w:r>
    </w:p>
    <w:p>
      <w:pPr>
        <w:spacing w:after="0" w:line="159" w:lineRule="exact"/>
        <w:rPr>
          <w:rFonts w:ascii="Arial" w:cs="Arial" w:eastAsia="Arial" w:hAnsi="Arial"/>
          <w:sz w:val="17"/>
          <w:szCs w:val="17"/>
          <w:color w:val="auto"/>
        </w:rPr>
      </w:pPr>
    </w:p>
    <w:p>
      <w:pPr>
        <w:jc w:val="both"/>
        <w:ind w:left="400" w:hanging="397"/>
        <w:spacing w:after="0" w:line="292"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55" w:lineRule="exact"/>
        <w:rPr>
          <w:rFonts w:ascii="Arial" w:cs="Arial" w:eastAsia="Arial" w:hAnsi="Arial"/>
          <w:sz w:val="16"/>
          <w:szCs w:val="16"/>
          <w:color w:val="auto"/>
        </w:rPr>
      </w:pPr>
    </w:p>
    <w:p>
      <w:pPr>
        <w:ind w:left="400" w:hanging="397"/>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217" w:lineRule="exact"/>
        <w:rPr>
          <w:rFonts w:ascii="Arial" w:cs="Arial" w:eastAsia="Arial" w:hAnsi="Arial"/>
          <w:sz w:val="17"/>
          <w:szCs w:val="17"/>
          <w:color w:val="auto"/>
        </w:rPr>
      </w:pPr>
    </w:p>
    <w:p>
      <w:pPr>
        <w:ind w:left="400" w:hanging="397"/>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the immunotherapy from being commercialized.</w:t>
      </w:r>
    </w:p>
    <w:p>
      <w:pPr>
        <w:spacing w:after="0" w:line="218" w:lineRule="exact"/>
        <w:rPr>
          <w:sz w:val="20"/>
          <w:szCs w:val="20"/>
          <w:color w:val="auto"/>
        </w:rPr>
      </w:pPr>
    </w:p>
    <w:p>
      <w:pPr>
        <w:jc w:val="both"/>
        <w:ind w:firstLine="310"/>
        <w:spacing w:after="0" w:line="320" w:lineRule="auto"/>
        <w:rPr>
          <w:sz w:val="20"/>
          <w:szCs w:val="20"/>
          <w:color w:val="auto"/>
        </w:rPr>
      </w:pPr>
      <w:r>
        <w:rPr>
          <w:rFonts w:ascii="Arial" w:cs="Arial" w:eastAsia="Arial" w:hAnsi="Arial"/>
          <w:sz w:val="15"/>
          <w:szCs w:val="15"/>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37"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We must comply with significant government regulations.</w:t>
      </w:r>
    </w:p>
    <w:p>
      <w:pPr>
        <w:spacing w:after="0" w:line="218"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73" w:lineRule="exact"/>
        <w:rPr>
          <w:sz w:val="20"/>
          <w:szCs w:val="20"/>
          <w:color w:val="auto"/>
        </w:rPr>
      </w:pPr>
    </w:p>
    <w:p>
      <w:pPr>
        <w:jc w:val="both"/>
        <w:ind w:firstLine="310"/>
        <w:spacing w:after="0" w:line="295" w:lineRule="auto"/>
        <w:rPr>
          <w:sz w:val="20"/>
          <w:szCs w:val="20"/>
          <w:color w:val="auto"/>
        </w:rPr>
      </w:pPr>
      <w:r>
        <w:rPr>
          <w:rFonts w:ascii="Arial" w:cs="Arial" w:eastAsia="Arial" w:hAnsi="Arial"/>
          <w:sz w:val="15"/>
          <w:szCs w:val="15"/>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8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59"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72"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In addition, third parties may challenge or infringe upon our existing or future patents. Proceedings involving our patents or patent applications or those of others could result in adverse decisions regarding:</w:t>
      </w:r>
    </w:p>
    <w:p>
      <w:pPr>
        <w:spacing w:after="0" w:line="159" w:lineRule="exact"/>
        <w:rPr>
          <w:sz w:val="20"/>
          <w:szCs w:val="20"/>
          <w:color w:val="auto"/>
        </w:rPr>
      </w:pPr>
    </w:p>
    <w:p>
      <w:pPr>
        <w:ind w:left="360" w:hanging="357"/>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patentability of our inventions relating to our product candidates; and/or</w:t>
      </w:r>
    </w:p>
    <w:p>
      <w:pPr>
        <w:spacing w:after="0" w:line="217" w:lineRule="exact"/>
        <w:rPr>
          <w:rFonts w:ascii="Arial" w:cs="Arial" w:eastAsia="Arial" w:hAnsi="Arial"/>
          <w:sz w:val="17"/>
          <w:szCs w:val="17"/>
          <w:color w:val="auto"/>
        </w:rPr>
      </w:pPr>
    </w:p>
    <w:p>
      <w:pPr>
        <w:ind w:left="360" w:hanging="357"/>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enforceability, validity or scope of protection offered by our patents relating to our product candidates.</w:t>
      </w:r>
    </w:p>
    <w:p>
      <w:pPr>
        <w:spacing w:after="0" w:line="21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77" w:lineRule="exact"/>
        <w:rPr>
          <w:sz w:val="20"/>
          <w:szCs w:val="20"/>
          <w:color w:val="auto"/>
        </w:rPr>
      </w:pPr>
    </w:p>
    <w:p>
      <w:pPr>
        <w:ind w:left="360" w:hanging="357"/>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incur substantial monetary damages;</w:t>
      </w:r>
    </w:p>
    <w:p>
      <w:pPr>
        <w:spacing w:after="0" w:line="217" w:lineRule="exact"/>
        <w:rPr>
          <w:rFonts w:ascii="Arial" w:cs="Arial" w:eastAsia="Arial" w:hAnsi="Arial"/>
          <w:sz w:val="17"/>
          <w:szCs w:val="17"/>
          <w:color w:val="auto"/>
        </w:rPr>
      </w:pPr>
    </w:p>
    <w:p>
      <w:pPr>
        <w:ind w:left="360" w:hanging="357"/>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encounter significant delays in bringing our product candidates to market; and/or</w:t>
      </w:r>
    </w:p>
    <w:p>
      <w:pPr>
        <w:spacing w:after="0" w:line="217" w:lineRule="exact"/>
        <w:rPr>
          <w:rFonts w:ascii="Arial" w:cs="Arial" w:eastAsia="Arial" w:hAnsi="Arial"/>
          <w:sz w:val="17"/>
          <w:szCs w:val="17"/>
          <w:color w:val="auto"/>
        </w:rPr>
      </w:pPr>
    </w:p>
    <w:p>
      <w:pPr>
        <w:ind w:left="360" w:hanging="357"/>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 precluded from participating in the manufacture, use or sale of our product candidates or methods of treatment requiring licenses.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We may incur substantial liabilities from any product liability claims if our insurance coverage for those claims is inadequate.</w:t>
      </w:r>
    </w:p>
    <w:p>
      <w:pPr>
        <w:spacing w:after="0" w:line="218"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77" w:lineRule="exact"/>
        <w:rPr>
          <w:sz w:val="20"/>
          <w:szCs w:val="20"/>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decreased demand for our Immunotherapies;</w:t>
      </w:r>
    </w:p>
    <w:p>
      <w:pPr>
        <w:spacing w:after="0" w:line="217" w:lineRule="exact"/>
        <w:rPr>
          <w:rFonts w:ascii="Arial" w:cs="Arial" w:eastAsia="Arial" w:hAnsi="Arial"/>
          <w:sz w:val="17"/>
          <w:szCs w:val="17"/>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damage to our reputation;</w:t>
      </w:r>
    </w:p>
    <w:p>
      <w:pPr>
        <w:spacing w:after="0" w:line="217" w:lineRule="exact"/>
        <w:rPr>
          <w:rFonts w:ascii="Arial" w:cs="Arial" w:eastAsia="Arial" w:hAnsi="Arial"/>
          <w:sz w:val="17"/>
          <w:szCs w:val="17"/>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7" w:lineRule="exact"/>
        <w:rPr>
          <w:rFonts w:ascii="Arial" w:cs="Arial" w:eastAsia="Arial" w:hAnsi="Arial"/>
          <w:sz w:val="17"/>
          <w:szCs w:val="17"/>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costs of related litigation;</w:t>
      </w:r>
    </w:p>
    <w:p>
      <w:pPr>
        <w:spacing w:after="0" w:line="217" w:lineRule="exact"/>
        <w:rPr>
          <w:rFonts w:ascii="Arial" w:cs="Arial" w:eastAsia="Arial" w:hAnsi="Arial"/>
          <w:sz w:val="17"/>
          <w:szCs w:val="17"/>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substantial monetary awards to patients or other claimants;</w:t>
      </w:r>
    </w:p>
    <w:p>
      <w:pPr>
        <w:spacing w:after="0" w:line="217" w:lineRule="exact"/>
        <w:rPr>
          <w:rFonts w:ascii="Arial" w:cs="Arial" w:eastAsia="Arial" w:hAnsi="Arial"/>
          <w:sz w:val="17"/>
          <w:szCs w:val="17"/>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 of revenues;</w:t>
      </w:r>
    </w:p>
    <w:p>
      <w:pPr>
        <w:spacing w:after="0" w:line="217" w:lineRule="exact"/>
        <w:rPr>
          <w:rFonts w:ascii="Arial" w:cs="Arial" w:eastAsia="Arial" w:hAnsi="Arial"/>
          <w:sz w:val="17"/>
          <w:szCs w:val="17"/>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to commercialize Immunotherapies; and</w:t>
      </w:r>
    </w:p>
    <w:p>
      <w:pPr>
        <w:spacing w:after="0" w:line="217" w:lineRule="exact"/>
        <w:rPr>
          <w:rFonts w:ascii="Arial" w:cs="Arial" w:eastAsia="Arial" w:hAnsi="Arial"/>
          <w:sz w:val="17"/>
          <w:szCs w:val="17"/>
          <w:color w:val="auto"/>
        </w:rPr>
      </w:pPr>
    </w:p>
    <w:p>
      <w:pPr>
        <w:ind w:left="460" w:hanging="34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difficulty in raising required additional funds in the private and public capital markets.</w:t>
      </w:r>
    </w:p>
    <w:p>
      <w:pPr>
        <w:spacing w:after="0" w:line="244"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Risks Related to our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w:t>
      </w:r>
    </w:p>
    <w:p>
      <w:pPr>
        <w:spacing w:after="0" w:line="218" w:lineRule="exact"/>
        <w:rPr>
          <w:sz w:val="20"/>
          <w:szCs w:val="20"/>
          <w:color w:val="auto"/>
        </w:rPr>
      </w:pPr>
    </w:p>
    <w:p>
      <w:pPr>
        <w:jc w:val="both"/>
        <w:ind w:firstLine="310"/>
        <w:spacing w:after="0" w:line="320" w:lineRule="auto"/>
        <w:rPr>
          <w:sz w:val="20"/>
          <w:szCs w:val="20"/>
          <w:color w:val="auto"/>
        </w:rPr>
      </w:pPr>
      <w:r>
        <w:rPr>
          <w:rFonts w:ascii="Arial" w:cs="Arial" w:eastAsia="Arial" w:hAnsi="Arial"/>
          <w:sz w:val="15"/>
          <w:szCs w:val="15"/>
          <w:color w:val="auto"/>
        </w:rPr>
        <w:t>The trading price of our common stock may fluctuate substantially. The price of our common stock that will prevail in the market may be higher or lower than the price you have paid,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137" w:lineRule="exact"/>
        <w:rPr>
          <w:sz w:val="20"/>
          <w:szCs w:val="20"/>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stock market prices and trading volumes of similar companies;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actual or anticipated changes in our net loss or fluctuations in our operating results or in the expectations of securities analysts;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issuance of new equity securities pursuant to a future offering, including issuances of preferred stock;</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economic conditions and trends;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positive and negative events relating to healthcare and the overall pharmaceutical and biotech sector;</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major catastrophic events;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sales of large blocks of our stock;</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significant dilution caused by the anti-dilutive clauses in our financial agreements;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departures of key personnel;</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the regulatory status of our Immunotherapies, including results of our clinical trials;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events affecting Mayo Clinic, Mayo Foundation for Medical Education and Research or any future collaborators;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announcements of new products or technologies, commercial relationships or other events by us or our competitors;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regulatory developments in the United States and other countries;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of our common stock to be listed or quoted on the OTCBB, the NASDAQ Capital Market, NYSE Amex Equities or other national market system;</w:t>
      </w:r>
    </w:p>
    <w:p>
      <w:pPr>
        <w:spacing w:after="0" w:line="229" w:lineRule="exact"/>
        <w:rPr>
          <w:rFonts w:ascii="Arial" w:cs="Arial" w:eastAsia="Arial" w:hAnsi="Arial"/>
          <w:sz w:val="16"/>
          <w:szCs w:val="16"/>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discussion of us or our stock price by the financial and scientific press and in online investor communities.</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20" w:name="page21"/>
    <w:bookmarkEnd w:id="20"/>
    <w:p>
      <w:pPr>
        <w:jc w:val="both"/>
        <w:ind w:firstLine="310"/>
        <w:spacing w:after="0" w:line="259" w:lineRule="auto"/>
        <w:rPr>
          <w:sz w:val="20"/>
          <w:szCs w:val="20"/>
          <w:color w:val="auto"/>
        </w:rPr>
      </w:pPr>
      <w:r>
        <w:rPr>
          <w:rFonts w:ascii="Arial" w:cs="Arial" w:eastAsia="Arial" w:hAnsi="Arial"/>
          <w:sz w:val="17"/>
          <w:szCs w:val="17"/>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have difficulty selling our shares because they may be deemed “penny stocks.”</w:t>
      </w:r>
    </w:p>
    <w:p>
      <w:pPr>
        <w:spacing w:after="0" w:line="218" w:lineRule="exact"/>
        <w:rPr>
          <w:sz w:val="20"/>
          <w:szCs w:val="20"/>
          <w:color w:val="auto"/>
        </w:rPr>
      </w:pPr>
    </w:p>
    <w:p>
      <w:pPr>
        <w:jc w:val="both"/>
        <w:ind w:firstLine="310"/>
        <w:spacing w:after="0" w:line="352" w:lineRule="auto"/>
        <w:rPr>
          <w:sz w:val="20"/>
          <w:szCs w:val="20"/>
          <w:color w:val="auto"/>
        </w:rPr>
      </w:pPr>
      <w:r>
        <w:rPr>
          <w:rFonts w:ascii="Arial" w:cs="Arial" w:eastAsia="Arial" w:hAnsi="Arial"/>
          <w:sz w:val="15"/>
          <w:szCs w:val="15"/>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14" w:lineRule="exact"/>
        <w:rPr>
          <w:sz w:val="20"/>
          <w:szCs w:val="20"/>
          <w:color w:val="auto"/>
        </w:rPr>
      </w:pPr>
    </w:p>
    <w:p>
      <w:pPr>
        <w:ind w:left="520" w:hanging="400"/>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a price of less than $5.00 per share;</w:t>
      </w:r>
    </w:p>
    <w:p>
      <w:pPr>
        <w:spacing w:after="0" w:line="217" w:lineRule="exact"/>
        <w:rPr>
          <w:rFonts w:ascii="Arial" w:cs="Arial" w:eastAsia="Arial" w:hAnsi="Arial"/>
          <w:sz w:val="17"/>
          <w:szCs w:val="17"/>
          <w:color w:val="auto"/>
        </w:rPr>
      </w:pPr>
    </w:p>
    <w:p>
      <w:pPr>
        <w:ind w:left="520" w:hanging="400"/>
        <w:spacing w:after="0" w:line="283"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are neither traded on a “recognized” national exchange nor listed on an automated quotation system sponsored by a registered national securities association meeting certain minimum initial listing standards; and</w:t>
      </w:r>
    </w:p>
    <w:p>
      <w:pPr>
        <w:spacing w:after="0" w:line="159" w:lineRule="exact"/>
        <w:rPr>
          <w:rFonts w:ascii="Arial" w:cs="Arial" w:eastAsia="Arial" w:hAnsi="Arial"/>
          <w:sz w:val="17"/>
          <w:szCs w:val="17"/>
          <w:color w:val="auto"/>
        </w:rPr>
      </w:pPr>
    </w:p>
    <w:p>
      <w:pPr>
        <w:ind w:left="520" w:hanging="400"/>
        <w:spacing w:after="0" w:line="283"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5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77"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59" w:lineRule="exact"/>
        <w:rPr>
          <w:sz w:val="20"/>
          <w:szCs w:val="20"/>
          <w:color w:val="auto"/>
        </w:rPr>
      </w:pPr>
    </w:p>
    <w:p>
      <w:pPr>
        <w:ind w:left="520" w:hanging="400"/>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 from the investor information about his or her financial situation, investment experience and investment objectives;</w:t>
      </w:r>
    </w:p>
    <w:p>
      <w:pPr>
        <w:spacing w:after="0" w:line="217" w:lineRule="exact"/>
        <w:rPr>
          <w:rFonts w:ascii="Arial" w:cs="Arial" w:eastAsia="Arial" w:hAnsi="Arial"/>
          <w:sz w:val="17"/>
          <w:szCs w:val="17"/>
          <w:color w:val="auto"/>
        </w:rPr>
      </w:pPr>
    </w:p>
    <w:p>
      <w:pPr>
        <w:ind w:left="520" w:hanging="400"/>
        <w:spacing w:after="0" w:line="283"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59" w:lineRule="exact"/>
        <w:rPr>
          <w:rFonts w:ascii="Arial" w:cs="Arial" w:eastAsia="Arial" w:hAnsi="Arial"/>
          <w:sz w:val="17"/>
          <w:szCs w:val="17"/>
          <w:color w:val="auto"/>
        </w:rPr>
      </w:pPr>
    </w:p>
    <w:p>
      <w:pPr>
        <w:ind w:left="520" w:hanging="400"/>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the investor with a written statement setting forth the basis on which the broker-dealer made his or her determination; and</w:t>
      </w:r>
    </w:p>
    <w:p>
      <w:pPr>
        <w:spacing w:after="0" w:line="217" w:lineRule="exact"/>
        <w:rPr>
          <w:rFonts w:ascii="Arial" w:cs="Arial" w:eastAsia="Arial" w:hAnsi="Arial"/>
          <w:sz w:val="17"/>
          <w:szCs w:val="17"/>
          <w:color w:val="auto"/>
        </w:rPr>
      </w:pPr>
    </w:p>
    <w:p>
      <w:pPr>
        <w:ind w:left="520" w:hanging="400"/>
        <w:spacing w:after="0" w:line="283"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receive a signed and dated copy of the statement from the investor, confirming that it accurately reflects the investor’s financial situation, investment experience and investment objectives.</w:t>
      </w:r>
    </w:p>
    <w:p>
      <w:pPr>
        <w:spacing w:after="0" w:line="159"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72"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Although one reason we asked our shareholders to approve a reverse stock split was to increase the price per share of our common stock such that it would not be subject to the “penny stock” rules. Our stock closed at $3.26 per share on April 10, 2014 and no assurance can be given that the per share price of our common stock will maintain such levels such that our stock will not be subject to these rules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A limited public trading market may cause volatility in the price of our common stock and warrants.</w:t>
      </w:r>
    </w:p>
    <w:p>
      <w:pPr>
        <w:spacing w:after="0" w:line="21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The quotation of our common stock on the OTCBB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prices for our common stock may be adversely impacted by future events.</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Our common stock began trades on the over-the-counter-markets and is currently quoted on the OTCBB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72" w:lineRule="exact"/>
        <w:rPr>
          <w:sz w:val="20"/>
          <w:szCs w:val="20"/>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of new equity securities pursuant to a future offering, including issuances of preferred stock;</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significant dilution caused by the anti-dilutive clauses in our financial agreements;</w:t>
      </w:r>
    </w:p>
    <w:p>
      <w:pPr>
        <w:spacing w:after="0" w:line="217" w:lineRule="exact"/>
        <w:rPr>
          <w:rFonts w:ascii="Arial" w:cs="Arial" w:eastAsia="Arial" w:hAnsi="Arial"/>
          <w:sz w:val="17"/>
          <w:szCs w:val="17"/>
          <w:color w:val="auto"/>
        </w:rPr>
      </w:pPr>
    </w:p>
    <w:p>
      <w:pPr>
        <w:ind w:left="520" w:hanging="400"/>
        <w:spacing w:after="0" w:line="283"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competitive developments, including announcements by competitors of new products or services or significant contracts, acquisitions, strategic partnerships, joint ventures or capital commitments;</w:t>
      </w:r>
    </w:p>
    <w:p>
      <w:pPr>
        <w:spacing w:after="0" w:line="159" w:lineRule="exact"/>
        <w:rPr>
          <w:rFonts w:ascii="Arial" w:cs="Arial" w:eastAsia="Arial" w:hAnsi="Arial"/>
          <w:sz w:val="17"/>
          <w:szCs w:val="17"/>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variations in quarterly operating results;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 in financial estimates by securities analysts;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depth and liquidity of the market for our common stock and warrants;</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investor perceptions of our company and the pharmaceutical and biotech industries generally; and</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and other national conditions.</w:t>
      </w:r>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fail to remain current with our listing requirements, we could be removed from the OTCBB which would limit the ability of broker-dealers to sell our securities and the ability of shareholders to sell their securities in the secondary market.</w:t>
      </w:r>
    </w:p>
    <w:p>
      <w:pPr>
        <w:spacing w:after="0" w:line="159"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6"/>
          <w:szCs w:val="16"/>
          <w:color w:val="auto"/>
        </w:rPr>
        <w:t>Companies trading on the OTCBB must be reporting issuers under Section 12 of the Securities Exchange Act, as amended. If we fail to file such reports in a timely manner, the shares of our common stock would eventually cease to be quoted on the OTCBB, and the market liquidity for our securities could be severely adversely affected by limiting the ability of broker-dealers to sell our securities and the ability of shareholders to sell their securities in the secondary market.</w:t>
      </w:r>
    </w:p>
    <w:p>
      <w:pPr>
        <w:spacing w:after="0" w:line="181" w:lineRule="exact"/>
        <w:rPr>
          <w:sz w:val="20"/>
          <w:szCs w:val="20"/>
          <w:color w:val="auto"/>
        </w:rPr>
      </w:pPr>
    </w:p>
    <w:p>
      <w:pPr>
        <w:ind w:right="20" w:firstLine="43"/>
        <w:spacing w:after="0" w:line="29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207" w:lineRule="exact"/>
        <w:rPr>
          <w:sz w:val="20"/>
          <w:szCs w:val="20"/>
          <w:color w:val="auto"/>
        </w:rPr>
      </w:pPr>
    </w:p>
    <w:p>
      <w:pPr>
        <w:ind w:right="300" w:firstLine="413"/>
        <w:spacing w:after="0" w:line="268"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2" w:name="page23"/>
    <w:bookmarkEnd w:id="22"/>
    <w:p>
      <w:pPr>
        <w:ind w:right="40" w:firstLine="344"/>
        <w:spacing w:after="0" w:line="296" w:lineRule="auto"/>
        <w:rPr>
          <w:sz w:val="20"/>
          <w:szCs w:val="20"/>
          <w:color w:val="auto"/>
        </w:rPr>
      </w:pPr>
      <w:r>
        <w:rPr>
          <w:rFonts w:ascii="Arial" w:cs="Arial" w:eastAsia="Arial" w:hAnsi="Arial"/>
          <w:sz w:val="15"/>
          <w:szCs w:val="15"/>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additional equity securities may adversely affect the market price of our common stock and your rights may be reduced.</w:t>
      </w:r>
    </w:p>
    <w:p>
      <w:pPr>
        <w:spacing w:after="0" w:line="218"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authorized shares of common stock available for issuance may adversely affect the market price of our securities.</w:t>
      </w:r>
    </w:p>
    <w:p>
      <w:pPr>
        <w:spacing w:after="0" w:line="244" w:lineRule="exact"/>
        <w:rPr>
          <w:sz w:val="20"/>
          <w:szCs w:val="20"/>
          <w:color w:val="auto"/>
        </w:rPr>
      </w:pPr>
    </w:p>
    <w:p>
      <w:pPr>
        <w:jc w:val="both"/>
        <w:ind w:firstLine="339"/>
        <w:spacing w:after="0" w:line="261" w:lineRule="auto"/>
        <w:rPr>
          <w:sz w:val="20"/>
          <w:szCs w:val="20"/>
          <w:color w:val="auto"/>
        </w:rPr>
      </w:pPr>
      <w:r>
        <w:rPr>
          <w:rFonts w:ascii="Arial" w:cs="Arial" w:eastAsia="Arial" w:hAnsi="Arial"/>
          <w:sz w:val="17"/>
          <w:szCs w:val="17"/>
          <w:color w:val="auto"/>
        </w:rPr>
        <w:t>We are currently authorized to issue 500,000,000 shares of our common stock. As of May 15, 2014, we had 16,058,815 shares of our common stock issued and outstanding, excluding shares issuable upon exercise of our outstanding warrants, options and shares of common stock earned but not yet issued under Omnibus Stock Option Plan. Those outstanding shares represent 3.2% of are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94" w:lineRule="exact"/>
        <w:rPr>
          <w:sz w:val="20"/>
          <w:szCs w:val="20"/>
          <w:color w:val="auto"/>
        </w:rPr>
      </w:pPr>
    </w:p>
    <w:p>
      <w:pPr>
        <w:ind w:right="300"/>
        <w:spacing w:after="0" w:line="242" w:lineRule="auto"/>
        <w:rPr>
          <w:sz w:val="20"/>
          <w:szCs w:val="20"/>
          <w:color w:val="auto"/>
        </w:rPr>
      </w:pPr>
      <w:r>
        <w:rPr>
          <w:rFonts w:ascii="Arial" w:cs="Arial" w:eastAsia="Arial" w:hAnsi="Arial"/>
          <w:sz w:val="21"/>
          <w:szCs w:val="21"/>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209" w:lineRule="exact"/>
        <w:rPr>
          <w:sz w:val="20"/>
          <w:szCs w:val="20"/>
          <w:color w:val="auto"/>
        </w:rPr>
      </w:pPr>
    </w:p>
    <w:p>
      <w:pPr>
        <w:jc w:val="both"/>
        <w:ind w:firstLine="310"/>
        <w:spacing w:after="0" w:line="294" w:lineRule="auto"/>
        <w:rPr>
          <w:sz w:val="20"/>
          <w:szCs w:val="20"/>
          <w:color w:val="auto"/>
        </w:rPr>
      </w:pPr>
      <w:r>
        <w:rPr>
          <w:rFonts w:ascii="Arial" w:cs="Arial" w:eastAsia="Arial" w:hAnsi="Arial"/>
          <w:sz w:val="15"/>
          <w:szCs w:val="15"/>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2014, the fair value of the derivative liability – warrants was $603,893.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cash dividends.</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55"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83"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60"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203"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corporate offices are currently located at 1551 Eastlake Avenue East, Suite 100, Seattle, Washington, 98102.We are on a month to month basis with our landlord for our current facility which is an approximately 2,682 square feet in Seattle, Washington.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4"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On May 8, 2012, we entered into a consulting agreement with Michael Gardner whereby he was issued 56,000 shares of our common stock in exchange for consulting duties, including the raising of capital. We determined that Mr. Gardener had no intent to fulfill his obligations under that agreement and terminated that agreement. The court denied our motion for a TRO and we were unable to raise necessary funds to continue our defense against Mr. Gardner, As a result, we defaulted on a $100,000 bond. In addition, we attempted to restrict Mr. Gardner’s ability to transfer his shares he received pursuant to that agreement. Mr. Gardner sued us in New York Supreme Court attempting to compel us to remove the legend from his shares and we countered a Temporary Restraining Order.</w:t>
      </w:r>
    </w:p>
    <w:p>
      <w:pPr>
        <w:spacing w:after="0" w:line="18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We also brought an action against Mr. Gardner in the American Arbitration Association. That action remains pending. We have claimed losses totaling approximately $800,000. Mr. Gardner has claimed damages totaling $633,000, 82,000 shares of our common stock and legal fees.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4" w:name="page25"/>
    <w:bookmarkEnd w:id="24"/>
    <w:p>
      <w:pPr>
        <w:jc w:val="both"/>
        <w:ind w:firstLine="310"/>
        <w:spacing w:after="0" w:line="268" w:lineRule="auto"/>
        <w:rPr>
          <w:sz w:val="20"/>
          <w:szCs w:val="20"/>
          <w:color w:val="auto"/>
        </w:rPr>
      </w:pPr>
      <w:r>
        <w:rPr>
          <w:rFonts w:ascii="Arial" w:cs="Arial" w:eastAsia="Arial" w:hAnsi="Arial"/>
          <w:sz w:val="17"/>
          <w:szCs w:val="17"/>
          <w:color w:val="auto"/>
        </w:rPr>
        <w:t>The law firm that we used to pursue the Gardner Action was awarded a judgment against us for $210,255 of unpaid legal fees (“G&amp;S Judgment”). Shareholders of the Company acquired the G&amp;S Judgment in full, converted that Judgment into shares of Company common stock and subsequently released the Company from any liability related thereto.</w:t>
      </w:r>
    </w:p>
    <w:p>
      <w:pPr>
        <w:spacing w:after="0" w:line="172"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One of our suppliers, Fischer Scientific was awarded a judgment against us for $51,000 which is equal to the amount owed to them. We intend to settle that matter in the second quarter of 2014.</w:t>
      </w:r>
    </w:p>
    <w:p>
      <w:pPr>
        <w:spacing w:after="0" w:line="18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198" w:lineRule="exact"/>
        <w:rPr>
          <w:sz w:val="20"/>
          <w:szCs w:val="20"/>
          <w:color w:val="auto"/>
        </w:rPr>
      </w:pPr>
    </w:p>
    <w:p>
      <w:pPr>
        <w:jc w:val="both"/>
        <w:ind w:firstLine="310"/>
        <w:spacing w:after="0" w:line="352" w:lineRule="auto"/>
        <w:rPr>
          <w:sz w:val="20"/>
          <w:szCs w:val="20"/>
          <w:color w:val="auto"/>
        </w:rPr>
      </w:pPr>
      <w:r>
        <w:rPr>
          <w:rFonts w:ascii="Arial" w:cs="Arial" w:eastAsia="Arial" w:hAnsi="Arial"/>
          <w:sz w:val="15"/>
          <w:szCs w:val="15"/>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Unless an applicable prospectus supplement states otherwise, we expect to use the proceeds from the sale of the sale of these securities in the following order:</w:t>
      </w:r>
    </w:p>
    <w:p>
      <w:pPr>
        <w:spacing w:after="0" w:line="267" w:lineRule="exact"/>
        <w:rPr>
          <w:sz w:val="20"/>
          <w:szCs w:val="20"/>
          <w:color w:val="auto"/>
        </w:rPr>
      </w:pPr>
    </w:p>
    <w:p>
      <w:pPr>
        <w:ind w:left="460" w:hanging="30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$400,000 of proceeds of the sale of these securities to exercise our option to acquire an exclusive license to the Folate Alpha Receptor technology,</w:t>
      </w:r>
    </w:p>
    <w:p>
      <w:pPr>
        <w:spacing w:after="0" w:line="255" w:lineRule="exact"/>
        <w:rPr>
          <w:rFonts w:ascii="Arial" w:cs="Arial" w:eastAsia="Arial" w:hAnsi="Arial"/>
          <w:sz w:val="16"/>
          <w:szCs w:val="16"/>
          <w:color w:val="auto"/>
        </w:rPr>
      </w:pPr>
    </w:p>
    <w:p>
      <w:pPr>
        <w:ind w:left="460" w:hanging="302"/>
        <w:spacing w:after="0" w:line="28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remainder for general corporate purposes, which may include funding clinical studies, repayment of existing indebtedness, working capital, capital expenditures, acquisitions and joint ventures.</w:t>
      </w:r>
    </w:p>
    <w:p>
      <w:pPr>
        <w:spacing w:after="0" w:line="185" w:lineRule="exact"/>
        <w:rPr>
          <w:sz w:val="20"/>
          <w:szCs w:val="20"/>
          <w:color w:val="auto"/>
        </w:rPr>
      </w:pPr>
    </w:p>
    <w:p>
      <w:pPr>
        <w:jc w:val="both"/>
        <w:ind w:firstLine="310"/>
        <w:spacing w:after="0" w:line="309" w:lineRule="auto"/>
        <w:rPr>
          <w:sz w:val="20"/>
          <w:szCs w:val="20"/>
          <w:color w:val="auto"/>
        </w:rPr>
      </w:pPr>
      <w:r>
        <w:rPr>
          <w:rFonts w:ascii="Arial" w:cs="Arial" w:eastAsia="Arial" w:hAnsi="Arial"/>
          <w:sz w:val="15"/>
          <w:szCs w:val="15"/>
          <w:color w:val="auto"/>
        </w:rPr>
        <w:t>As of the date of this prospectus, we have not identified as probable any specific material proposed uses of these proceeds except as set out above. If, as of the date of any prospectus supplement, we have identified any such uses, we will describe them in the prospectus supplement. The amount of securities offered from time to time pursuant to this prospectus and any prospectus supplement, and the precise amounts and timing of the application of net proceeds from the sale of those securities, depends upon our funding requirements. Pending these uses, we intend to invest the net proceeds in investment-grade, interest-bearing securities.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PLAN OF DISTRIBUTION</w:t>
      </w:r>
    </w:p>
    <w:p>
      <w:pPr>
        <w:spacing w:after="0" w:line="22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may sell securities to one or more underwriters or dealers for public offering and sale by them, or we may sell the securities to investors directly or through agents. An applicable prospectus supplement will set forth the terms of the offering and the method of distribution and will identify any firms acting as underwriters, dealers or agents in connection with the offering, including:</w:t>
      </w:r>
    </w:p>
    <w:p>
      <w:pPr>
        <w:spacing w:after="0" w:line="172" w:lineRule="exact"/>
        <w:rPr>
          <w:sz w:val="20"/>
          <w:szCs w:val="20"/>
          <w:color w:val="auto"/>
        </w:rPr>
      </w:pPr>
    </w:p>
    <w:p>
      <w:pPr>
        <w:ind w:left="580" w:hanging="460"/>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name or names of any underwriters;</w:t>
      </w:r>
    </w:p>
    <w:p>
      <w:pPr>
        <w:spacing w:after="0" w:line="243" w:lineRule="exact"/>
        <w:rPr>
          <w:rFonts w:ascii="Arial" w:cs="Arial" w:eastAsia="Arial" w:hAnsi="Arial"/>
          <w:sz w:val="17"/>
          <w:szCs w:val="17"/>
          <w:color w:val="auto"/>
        </w:rPr>
      </w:pPr>
    </w:p>
    <w:p>
      <w:pPr>
        <w:ind w:left="520" w:hanging="400"/>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purchase price of the securities;</w:t>
      </w:r>
    </w:p>
    <w:p>
      <w:pPr>
        <w:spacing w:after="0" w:line="200" w:lineRule="exact"/>
        <w:rPr>
          <w:rFonts w:ascii="Arial" w:cs="Arial" w:eastAsia="Arial" w:hAnsi="Arial"/>
          <w:sz w:val="17"/>
          <w:szCs w:val="17"/>
          <w:color w:val="auto"/>
        </w:rPr>
      </w:pPr>
    </w:p>
    <w:p>
      <w:pPr>
        <w:spacing w:after="0" w:line="250" w:lineRule="exact"/>
        <w:rPr>
          <w:rFonts w:ascii="Arial" w:cs="Arial" w:eastAsia="Arial" w:hAnsi="Arial"/>
          <w:sz w:val="17"/>
          <w:szCs w:val="17"/>
          <w:color w:val="auto"/>
        </w:rPr>
      </w:pPr>
    </w:p>
    <w:p>
      <w:pPr>
        <w:ind w:left="520" w:hanging="400"/>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underwriting discounts and other items constituting underwriters’ compensation;</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initial public offering price and the net proceeds we will receive from such sale;</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discounts or concessions allowed or reallowed or paid to dealers; and</w:t>
      </w:r>
    </w:p>
    <w:p>
      <w:pPr>
        <w:spacing w:after="0" w:line="217" w:lineRule="exact"/>
        <w:rPr>
          <w:rFonts w:ascii="Arial" w:cs="Arial" w:eastAsia="Arial" w:hAnsi="Arial"/>
          <w:sz w:val="17"/>
          <w:szCs w:val="17"/>
          <w:color w:val="auto"/>
        </w:rPr>
      </w:pPr>
    </w:p>
    <w:p>
      <w:pPr>
        <w:ind w:left="520" w:hanging="400"/>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securities exchange or market on which the securities offered in the prospectus supplement may be listed.</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may distribute our securities from time to time in one or more transactions at a fixed price or prices, which may be changed, or at prices determined as a prospectus supplement specifies, including in “at-the-market” offerings. We may sell our securities through rights offering, forward contracts or similar arrangements.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5" w:name="page26"/>
    <w:bookmarkEnd w:id="25"/>
    <w:p>
      <w:pPr>
        <w:jc w:val="both"/>
        <w:ind w:firstLine="310"/>
        <w:spacing w:after="0" w:line="263"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from us at the public offering price set forth in a prospectus supplement pursuant to delayed delivery contracts providing for payment and delivery on a specified date in the future. The contracts will be subject only to those conditions set forth in an applicable prospectus supplement, and the prospectus supplement will set forth any commissions we pay for solicitation of these contracts.</w:t>
      </w:r>
    </w:p>
    <w:p>
      <w:pPr>
        <w:spacing w:after="0" w:line="203" w:lineRule="exact"/>
        <w:rPr>
          <w:sz w:val="20"/>
          <w:szCs w:val="20"/>
          <w:color w:val="auto"/>
        </w:rPr>
      </w:pPr>
    </w:p>
    <w:p>
      <w:pPr>
        <w:jc w:val="both"/>
        <w:ind w:firstLine="310"/>
        <w:spacing w:after="0" w:line="295" w:lineRule="auto"/>
        <w:rPr>
          <w:sz w:val="20"/>
          <w:szCs w:val="20"/>
          <w:color w:val="auto"/>
        </w:rPr>
      </w:pPr>
      <w:r>
        <w:rPr>
          <w:rFonts w:ascii="Arial" w:cs="Arial" w:eastAsia="Arial" w:hAnsi="Arial"/>
          <w:sz w:val="15"/>
          <w:szCs w:val="15"/>
          <w:color w:val="auto"/>
        </w:rPr>
        <w:t>Any underwriting discounts or other compensation which we pay to underwriters or agents in connection with the offering of our securities, and any discounts, concessions or commissions which underwriters allow to dealers, will be set forth in a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Any common stock sold pursuant to this prospectus and applicable prospectus supplement, will be approved for trading, upon notice of issuance, on the OCTBB market or such other stock exchange that our securities are trading upon.</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w:t>
      </w:r>
    </w:p>
    <w:p>
      <w:pPr>
        <w:spacing w:after="0" w:line="159"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w:t>
      </w:r>
    </w:p>
    <w:p>
      <w:pPr>
        <w:spacing w:after="0" w:line="183"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Certain of the underwriters and their affiliates may be customers of, engage in transactions with, and perform services for, us and our subsidiaries in the ordinary course of business at any time. We may sell the securities covered in this prospectus in any of these ways (or in any combination).</w:t>
      </w:r>
    </w:p>
    <w:p>
      <w:pPr>
        <w:spacing w:after="0" w:line="159"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 compliance with the guidelines of the Financial Services Regulatory Authority, Inc., or FINRA, the maximum compensation to be received by a FINRA member or independent broker-dealer may not exceed 8% of the offering proceeds. It is anticipated that the maximum compensation to be received in any particular offering of securities will be no more than this amount.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DESCRIPTION OF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4"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At the date hereof, we are authorized by our certificate of incorporation to issue an aggregate of 500,000,000 shares of common stock, par value $0.001 per share and 5,000,000 shares as blank check preferred shares, no par value. On Jan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The principal effect of the reverse stock split decreased the number of outstanding shares of common stock. At the time of the approval of the reverse stock split by the shareholders on January 10, 2014, we had approximately 145,000,000 common shares outstanding, which number was reduced to approximately 1,450,000 shares as a result of the reverse stock split.</w:t>
      </w:r>
    </w:p>
    <w:p>
      <w:pPr>
        <w:spacing w:after="0" w:line="205" w:lineRule="exact"/>
        <w:rPr>
          <w:sz w:val="20"/>
          <w:szCs w:val="20"/>
          <w:color w:val="auto"/>
        </w:rPr>
      </w:pPr>
    </w:p>
    <w:p>
      <w:pPr>
        <w:jc w:val="both"/>
        <w:ind w:firstLine="366"/>
        <w:spacing w:after="0" w:line="303" w:lineRule="auto"/>
        <w:rPr>
          <w:sz w:val="20"/>
          <w:szCs w:val="20"/>
          <w:color w:val="auto"/>
        </w:rPr>
      </w:pPr>
      <w:r>
        <w:rPr>
          <w:rFonts w:ascii="Arial" w:cs="Arial" w:eastAsia="Arial" w:hAnsi="Arial"/>
          <w:sz w:val="15"/>
          <w:szCs w:val="15"/>
          <w:color w:val="auto"/>
        </w:rPr>
        <w:t>This prospectus contains only a summary of the common stock we may offer from time to time, in one or more offerings, in a dollar amount that does not exceed, in the aggregate, $20,000,000. The specific terms of any securities actually offered for sale, together with the terms of that offering, the initial price and the net proceeds to us from the sale of these securities, will be set forth in an accompanying prospectus supplement. That prospectus supplement also will contain information, where applicable, about material United States federal income tax considerations relating to the securities, and the securities exchange, if any, on which the securities will be listed. This prospectus may not be used to consummate a sale of securities unless it is accompanied by a prospectus supplement.</w:t>
      </w:r>
    </w:p>
    <w:p>
      <w:pPr>
        <w:spacing w:after="0" w:line="152"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4"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60"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None of our outstanding shares of common stock or shares of common stock issuable upon conversion of our convertible notes and shares of common stock issuable upon exercise of outstanding warrants are subject to demand or piggyback registration rights.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provisions of Nevada law and our bylaws may have the effect of delaying, deferring or preventing another party from acquiring control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may discourage and prevent coercive takeover practices and inadequate takeover bids.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auto"/>
        </w:rPr>
        <w:t>Nevada Law</w:t>
      </w:r>
    </w:p>
    <w:p>
      <w:pPr>
        <w:spacing w:after="0" w:line="244" w:lineRule="exact"/>
        <w:rPr>
          <w:sz w:val="20"/>
          <w:szCs w:val="20"/>
          <w:color w:val="auto"/>
        </w:rPr>
      </w:pPr>
    </w:p>
    <w:p>
      <w:pPr>
        <w:jc w:val="both"/>
        <w:ind w:firstLine="620"/>
        <w:spacing w:after="0" w:line="281"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9" w:lineRule="exact"/>
        <w:rPr>
          <w:sz w:val="20"/>
          <w:szCs w:val="20"/>
          <w:color w:val="auto"/>
        </w:rPr>
      </w:pPr>
    </w:p>
    <w:p>
      <w:pPr>
        <w:jc w:val="both"/>
        <w:ind w:firstLine="620"/>
        <w:spacing w:after="0" w:line="263" w:lineRule="auto"/>
        <w:rPr>
          <w:sz w:val="20"/>
          <w:szCs w:val="20"/>
          <w:color w:val="auto"/>
        </w:rPr>
      </w:pPr>
      <w:r>
        <w:rPr>
          <w:rFonts w:ascii="Arial" w:cs="Arial" w:eastAsia="Arial" w:hAnsi="Arial"/>
          <w:sz w:val="17"/>
          <w:szCs w:val="17"/>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203" w:lineRule="exact"/>
        <w:rPr>
          <w:sz w:val="20"/>
          <w:szCs w:val="20"/>
          <w:color w:val="auto"/>
        </w:rPr>
      </w:pPr>
    </w:p>
    <w:p>
      <w:pPr>
        <w:jc w:val="both"/>
        <w:ind w:firstLine="620"/>
        <w:spacing w:after="0" w:line="268" w:lineRule="auto"/>
        <w:rPr>
          <w:sz w:val="20"/>
          <w:szCs w:val="20"/>
          <w:color w:val="auto"/>
        </w:rPr>
      </w:pPr>
      <w:r>
        <w:rPr>
          <w:rFonts w:ascii="Arial" w:cs="Arial" w:eastAsia="Arial" w:hAnsi="Arial"/>
          <w:sz w:val="17"/>
          <w:szCs w:val="17"/>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198" w:lineRule="exact"/>
        <w:rPr>
          <w:sz w:val="20"/>
          <w:szCs w:val="20"/>
          <w:color w:val="auto"/>
        </w:rPr>
      </w:pPr>
    </w:p>
    <w:p>
      <w:pPr>
        <w:jc w:val="both"/>
        <w:ind w:firstLine="620"/>
        <w:spacing w:after="0" w:line="263" w:lineRule="auto"/>
        <w:rPr>
          <w:sz w:val="20"/>
          <w:szCs w:val="20"/>
          <w:color w:val="auto"/>
        </w:rPr>
      </w:pPr>
      <w:r>
        <w:rPr>
          <w:rFonts w:ascii="Arial" w:cs="Arial" w:eastAsia="Arial" w:hAnsi="Arial"/>
          <w:sz w:val="17"/>
          <w:szCs w:val="17"/>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203"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94" w:lineRule="exact"/>
        <w:rPr>
          <w:sz w:val="20"/>
          <w:szCs w:val="20"/>
          <w:color w:val="auto"/>
        </w:rPr>
      </w:pPr>
    </w:p>
    <w:p>
      <w:pPr>
        <w:jc w:val="both"/>
        <w:ind w:firstLine="620"/>
        <w:spacing w:after="0" w:line="296" w:lineRule="auto"/>
        <w:rPr>
          <w:sz w:val="20"/>
          <w:szCs w:val="20"/>
          <w:color w:val="auto"/>
        </w:rPr>
      </w:pPr>
      <w:r>
        <w:rPr>
          <w:rFonts w:ascii="Arial" w:cs="Arial" w:eastAsia="Arial" w:hAnsi="Arial"/>
          <w:sz w:val="15"/>
          <w:szCs w:val="15"/>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Articles of Incorporation and Bylaws</w:t>
      </w:r>
    </w:p>
    <w:p>
      <w:pPr>
        <w:spacing w:after="0" w:line="244" w:lineRule="exact"/>
        <w:rPr>
          <w:sz w:val="20"/>
          <w:szCs w:val="20"/>
          <w:color w:val="auto"/>
        </w:rPr>
      </w:pPr>
    </w:p>
    <w:p>
      <w:pPr>
        <w:jc w:val="both"/>
        <w:ind w:firstLine="620"/>
        <w:spacing w:after="0" w:line="261" w:lineRule="auto"/>
        <w:rPr>
          <w:sz w:val="20"/>
          <w:szCs w:val="20"/>
          <w:color w:val="auto"/>
        </w:rPr>
      </w:pPr>
      <w:r>
        <w:rPr>
          <w:rFonts w:ascii="Arial" w:cs="Arial" w:eastAsia="Arial" w:hAnsi="Arial"/>
          <w:sz w:val="17"/>
          <w:szCs w:val="17"/>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transfer agent and registrar for our common stock is Island Stock Transfer, 1550 Roosevelt Blvd Suite 301, Clean water FL 33760.</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shares of our common stock are quoted on the OTCBB under the symbol TPIV.OB. On May 19, 2014 the last reported sale price per share for our common stock on the OTCBB as reported was $2.53.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legality and validity of the securities offered from time to time under this prospectus will be passed upon by Sanders Ortoli Vaughn-Flam Rosenstadt LLP.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4"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Our consolidated financial statements as of December 31, 2013 and 2012, and for each of the three years in the period ended December 31, 2013 incorporated herein by reference from our Annual Report in Form 10-K for the year ended December 31, 2013 have been audited by Dale Matheson Carr-Hilton LaBonte LLP, an independent registered public accounting firm, as set forth in their report therein, and are incorporated in reliance upon such report given on the authority of such firm as experts in accounting and auditing.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4"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0000FF"/>
        </w:rPr>
        <w:t>http://www.sec.gov</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INCORPORATION OF CERTAIN INFORMATION BY REFERENCE</w:t>
      </w:r>
    </w:p>
    <w:p>
      <w:pPr>
        <w:spacing w:after="0" w:line="224"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The SEC allows us to “incorporate by reference” into this prospectus the information we file with the SEC. This means that we can disclose important information to you by referring you to those documents without restating that information in this document. The information incorporated by reference into this prospectus is considered to be part of this prospectus, and information we file with the SEC pursuant to Section 13(a), 13(c), 14 or 15(d) of the Securities Exchange Act of 1934, as amended, or the Exchange Act, after the date of this prospectus and prior to the termination of this offering, will automatically update and supersede the information contained in this prospectus and documents listed below. We incorporate by reference into this prospectus the documents listed below, except to the extent information in those documents differs from information contained in this prospectus, and any future filings made by us with the SEC under Sections 13(a), 13(c), 14 or 15(d) of the Exchange Act, including exhibits (other than in each case, documents or information deemed to be furnished and not filed in accordance with SEC rules):</w:t>
      </w:r>
    </w:p>
    <w:p>
      <w:pPr>
        <w:spacing w:after="0" w:line="179" w:lineRule="exact"/>
        <w:rPr>
          <w:sz w:val="20"/>
          <w:szCs w:val="20"/>
          <w:color w:val="auto"/>
        </w:rPr>
      </w:pPr>
    </w:p>
    <w:p>
      <w:pPr>
        <w:ind w:left="520" w:right="260" w:hanging="258"/>
        <w:spacing w:after="0" w:line="283"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2013 as filed with the SEC on April 14, 2014 as amended by Form 10-K/A filed with the SEC on April 17, 2014; and</w:t>
      </w:r>
    </w:p>
    <w:p>
      <w:pPr>
        <w:spacing w:after="0" w:line="159" w:lineRule="exact"/>
        <w:rPr>
          <w:rFonts w:ascii="Arial" w:cs="Arial" w:eastAsia="Arial" w:hAnsi="Arial"/>
          <w:sz w:val="17"/>
          <w:szCs w:val="17"/>
          <w:color w:val="auto"/>
        </w:rPr>
      </w:pPr>
    </w:p>
    <w:p>
      <w:pPr>
        <w:ind w:left="520" w:hanging="258"/>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Periodic Reports on Form 10-Q filed with the SEC on May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29" w:name="page30"/>
    <w:bookmarkEnd w:id="29"/>
    <w:p>
      <w:pPr>
        <w:jc w:val="both"/>
        <w:ind w:firstLine="310"/>
        <w:spacing w:after="0" w:line="275" w:lineRule="auto"/>
        <w:rPr>
          <w:sz w:val="20"/>
          <w:szCs w:val="20"/>
          <w:color w:val="auto"/>
        </w:rPr>
      </w:pPr>
      <w:r>
        <w:rPr>
          <w:rFonts w:ascii="Arial" w:cs="Arial" w:eastAsia="Arial" w:hAnsi="Arial"/>
          <w:sz w:val="16"/>
          <w:szCs w:val="16"/>
          <w:color w:val="auto"/>
        </w:rPr>
        <w:t>In addition, all documents that we file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herein or in a document incorporated or deemed to be incorporated by reference or deemed to be a part of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or deemed to be a part of this Registration Statement modifies or supersedes such statement. Any statement contained in a document that is deemed to be incorporated by reference or deemed to be a part of this Registration Statement after the most recent effective date may modify or replace existing statements contained in this Registration Statement. In either case, any statement so modified or superseded shall not be deemed to constitute a part of this Registration Statement, except as so modified or superseded.</w:t>
      </w:r>
    </w:p>
    <w:p>
      <w:pPr>
        <w:spacing w:after="0" w:line="170"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will provide to each person, including any beneficial owner, to whom a copy of this prospectus is delivered, a copy of any or all of the information that we have incorporated by reference into this prospectus. We will provide this information upon written or oral request at no cost to the requester. You may request this information by contacting our corporate headquarters at the following address: TapImmune, Inc.1551 Eastlake Avenue East, Suite 100, Seattle Washington. Attn: Glynn Wilson or by calling (206) 504-7278.</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30" w:name="page31"/>
    <w:bookmarkEnd w:id="30"/>
    <w:p>
      <w:pPr>
        <w:jc w:val="center"/>
        <w:ind w:right="80"/>
        <w:spacing w:after="0"/>
        <w:rPr>
          <w:sz w:val="20"/>
          <w:szCs w:val="20"/>
          <w:color w:val="auto"/>
        </w:rPr>
      </w:pPr>
      <w:r>
        <w:rPr>
          <w:rFonts w:ascii="Arial" w:cs="Arial" w:eastAsia="Arial" w:hAnsi="Arial"/>
          <w:sz w:val="17"/>
          <w:szCs w:val="1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TAPIMMUNE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 to $20,000,000 of Shares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w:t>
      </w:r>
      <w:r>
        <w:rPr>
          <w:rFonts w:ascii="Arial" w:cs="Arial" w:eastAsia="Arial" w:hAnsi="Arial"/>
          <w:sz w:val="17"/>
          <w:szCs w:val="17"/>
          <w:color w:val="auto"/>
        </w:rPr>
        <w:t>,</w:t>
      </w:r>
      <w:r>
        <w:rPr>
          <w:rFonts w:ascii="Arial" w:cs="Arial" w:eastAsia="Arial" w:hAnsi="Arial"/>
          <w:sz w:val="17"/>
          <w:szCs w:val="17"/>
          <w:b w:val="1"/>
          <w:bCs w:val="1"/>
          <w:color w:val="auto"/>
        </w:rPr>
        <w:t xml:space="preserve"> 2014]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7"/>
          <w:szCs w:val="17"/>
          <w:b w:val="1"/>
          <w:bCs w:val="1"/>
          <w:color w:val="auto"/>
        </w:rPr>
        <w:t>Until [[</w:t>
      </w:r>
      <w:r>
        <w:rPr>
          <w:rFonts w:ascii="Arial" w:cs="Arial" w:eastAsia="Arial" w:hAnsi="Arial"/>
          <w:sz w:val="17"/>
          <w:szCs w:val="17"/>
          <w:color w:val="auto"/>
        </w:rPr>
        <w:t>♦]</w:t>
      </w:r>
      <w:r>
        <w:rPr>
          <w:rFonts w:ascii="Arial" w:cs="Arial" w:eastAsia="Arial" w:hAnsi="Arial"/>
          <w:sz w:val="17"/>
          <w:szCs w:val="17"/>
          <w:b w:val="1"/>
          <w:bCs w:val="1"/>
          <w:color w:val="auto"/>
        </w:rPr>
        <w:t>, 2014]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62" w:lineRule="exact"/>
        <w:rPr>
          <w:sz w:val="20"/>
          <w:szCs w:val="20"/>
          <w:color w:val="auto"/>
        </w:rPr>
      </w:pPr>
    </w:p>
    <w:p>
      <w:pPr>
        <w:ind w:firstLine="465"/>
        <w:spacing w:after="0" w:line="261" w:lineRule="auto"/>
        <w:rPr>
          <w:sz w:val="20"/>
          <w:szCs w:val="20"/>
          <w:color w:val="auto"/>
        </w:rPr>
      </w:pPr>
      <w:r>
        <w:rPr>
          <w:rFonts w:ascii="Arial" w:cs="Arial" w:eastAsia="Arial" w:hAnsi="Arial"/>
          <w:sz w:val="17"/>
          <w:szCs w:val="17"/>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31" w:name="page32"/>
    <w:bookmarkEnd w:id="31"/>
    <w:p>
      <w:pPr>
        <w:jc w:val="center"/>
        <w:ind w:left="460"/>
        <w:spacing w:after="0"/>
        <w:rPr>
          <w:sz w:val="20"/>
          <w:szCs w:val="20"/>
          <w:color w:val="auto"/>
        </w:rPr>
      </w:pPr>
      <w:r>
        <w:rPr>
          <w:rFonts w:ascii="Arial" w:cs="Arial" w:eastAsia="Arial" w:hAnsi="Arial"/>
          <w:sz w:val="17"/>
          <w:szCs w:val="17"/>
          <w:b w:val="1"/>
          <w:bCs w:val="1"/>
          <w:color w:val="auto"/>
        </w:rPr>
        <w:t>PART II</w:t>
      </w:r>
    </w:p>
    <w:p>
      <w:pPr>
        <w:spacing w:after="0" w:line="218"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18"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4" w:lineRule="exact"/>
        <w:rPr>
          <w:sz w:val="20"/>
          <w:szCs w:val="20"/>
          <w:color w:val="auto"/>
        </w:rPr>
      </w:pPr>
    </w:p>
    <w:p>
      <w:pPr>
        <w:ind w:firstLine="310"/>
        <w:spacing w:after="0" w:line="315"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20" w:type="dxa"/>
            <w:vAlign w:val="bottom"/>
          </w:tcPr>
          <w:p>
            <w:pPr>
              <w:spacing w:after="0"/>
              <w:rPr>
                <w:sz w:val="20"/>
                <w:szCs w:val="20"/>
                <w:color w:val="auto"/>
              </w:rPr>
            </w:pPr>
            <w:r>
              <w:rPr>
                <w:rFonts w:ascii="Arial" w:cs="Arial" w:eastAsia="Arial" w:hAnsi="Arial"/>
                <w:sz w:val="17"/>
                <w:szCs w:val="17"/>
                <w:color w:val="auto"/>
              </w:rPr>
              <w:t>Securities and Exchange Commission Registration Fee</w:t>
            </w:r>
          </w:p>
        </w:tc>
        <w:tc>
          <w:tcPr>
            <w:tcW w:w="3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2,576</w:t>
            </w:r>
          </w:p>
        </w:tc>
      </w:tr>
      <w:tr>
        <w:trPr>
          <w:trHeight w:val="413"/>
        </w:trPr>
        <w:tc>
          <w:tcPr>
            <w:tcW w:w="702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3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13"/>
        </w:trPr>
        <w:tc>
          <w:tcPr>
            <w:tcW w:w="7020" w:type="dxa"/>
            <w:vAlign w:val="bottom"/>
          </w:tcPr>
          <w:p>
            <w:pPr>
              <w:spacing w:after="0"/>
              <w:rPr>
                <w:sz w:val="20"/>
                <w:szCs w:val="20"/>
                <w:color w:val="auto"/>
              </w:rPr>
            </w:pPr>
            <w:r>
              <w:rPr>
                <w:rFonts w:ascii="Arial" w:cs="Arial" w:eastAsia="Arial" w:hAnsi="Arial"/>
                <w:sz w:val="17"/>
                <w:szCs w:val="17"/>
                <w:color w:val="auto"/>
              </w:rPr>
              <w:t>Accountants’ Fees and Expenses</w:t>
            </w:r>
          </w:p>
        </w:tc>
        <w:tc>
          <w:tcPr>
            <w:tcW w:w="3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13"/>
        </w:trPr>
        <w:tc>
          <w:tcPr>
            <w:tcW w:w="7020" w:type="dxa"/>
            <w:vAlign w:val="bottom"/>
          </w:tcPr>
          <w:p>
            <w:pPr>
              <w:spacing w:after="0"/>
              <w:rPr>
                <w:sz w:val="20"/>
                <w:szCs w:val="20"/>
                <w:color w:val="auto"/>
              </w:rPr>
            </w:pPr>
            <w:r>
              <w:rPr>
                <w:rFonts w:ascii="Arial" w:cs="Arial" w:eastAsia="Arial" w:hAnsi="Arial"/>
                <w:sz w:val="17"/>
                <w:szCs w:val="17"/>
                <w:color w:val="auto"/>
              </w:rPr>
              <w:t>Transfer agent and registrar’s fees and expenses</w:t>
            </w:r>
          </w:p>
        </w:tc>
        <w:tc>
          <w:tcPr>
            <w:tcW w:w="3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13"/>
        </w:trPr>
        <w:tc>
          <w:tcPr>
            <w:tcW w:w="7020" w:type="dxa"/>
            <w:vAlign w:val="bottom"/>
          </w:tcPr>
          <w:p>
            <w:pPr>
              <w:spacing w:after="0"/>
              <w:rPr>
                <w:sz w:val="20"/>
                <w:szCs w:val="20"/>
                <w:color w:val="auto"/>
              </w:rPr>
            </w:pPr>
            <w:r>
              <w:rPr>
                <w:rFonts w:ascii="Arial" w:cs="Arial" w:eastAsia="Arial" w:hAnsi="Arial"/>
                <w:sz w:val="17"/>
                <w:szCs w:val="17"/>
                <w:color w:val="auto"/>
              </w:rPr>
              <w:t>Printing and Duplicating Expenses</w:t>
            </w:r>
          </w:p>
        </w:tc>
        <w:tc>
          <w:tcPr>
            <w:tcW w:w="3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13"/>
        </w:trPr>
        <w:tc>
          <w:tcPr>
            <w:tcW w:w="7020" w:type="dxa"/>
            <w:vAlign w:val="bottom"/>
          </w:tcPr>
          <w:p>
            <w:pPr>
              <w:spacing w:after="0"/>
              <w:rPr>
                <w:sz w:val="20"/>
                <w:szCs w:val="20"/>
                <w:color w:val="auto"/>
              </w:rPr>
            </w:pPr>
            <w:r>
              <w:rPr>
                <w:rFonts w:ascii="Arial" w:cs="Arial" w:eastAsia="Arial" w:hAnsi="Arial"/>
                <w:sz w:val="17"/>
                <w:szCs w:val="17"/>
                <w:color w:val="auto"/>
              </w:rPr>
              <w:t>Miscellaneous Expenses</w:t>
            </w:r>
          </w:p>
        </w:tc>
        <w:tc>
          <w:tcPr>
            <w:tcW w:w="3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13"/>
        </w:trPr>
        <w:tc>
          <w:tcPr>
            <w:tcW w:w="7020" w:type="dxa"/>
            <w:vAlign w:val="bottom"/>
          </w:tcPr>
          <w:p>
            <w:pPr>
              <w:spacing w:after="0"/>
              <w:rPr>
                <w:sz w:val="20"/>
                <w:szCs w:val="20"/>
                <w:color w:val="auto"/>
              </w:rPr>
            </w:pPr>
            <w:r>
              <w:rPr>
                <w:rFonts w:ascii="Arial" w:cs="Arial" w:eastAsia="Arial" w:hAnsi="Arial"/>
                <w:sz w:val="17"/>
                <w:szCs w:val="17"/>
                <w:color w:val="auto"/>
              </w:rPr>
              <w:t>Total</w:t>
            </w:r>
          </w:p>
        </w:tc>
        <w:tc>
          <w:tcPr>
            <w:tcW w:w="3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4" w:lineRule="exact"/>
        <w:rPr>
          <w:sz w:val="20"/>
          <w:szCs w:val="20"/>
          <w:color w:val="auto"/>
        </w:rPr>
      </w:pPr>
    </w:p>
    <w:p>
      <w:pPr>
        <w:jc w:val="both"/>
        <w:ind w:left="500" w:hanging="380"/>
        <w:spacing w:after="0" w:line="320"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Estimated expenses are not presently known. The foregoing sets forth the general categories of expenses (other than underwriting discounts and commissions) that the Company anticipates it will incur in connection with the offering of securities under the registration statement. An estimate of the aggregate expenses in connection with the issuance and distribution of the securities being offered will be included in the applicable prospectus supplement.</w:t>
      </w:r>
    </w:p>
    <w:p>
      <w:pPr>
        <w:spacing w:after="0" w:line="131"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INDEMNIFICATION OF DIRECTORS AND OFFICERS.</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Our officers and directors are indemnified under Nevada law. Our Amended and Restated Articles of Incorporation and our By-laws are silent as to director and officer indemnification.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Nevada Revised Statute. </w:t>
      </w:r>
      <w:r>
        <w:rPr>
          <w:rFonts w:ascii="Arial" w:cs="Arial" w:eastAsia="Arial" w:hAnsi="Arial"/>
          <w:sz w:val="17"/>
          <w:szCs w:val="17"/>
          <w:color w:val="auto"/>
        </w:rPr>
        <w:t>The registrant is a Nevada corporation.</w:t>
      </w:r>
    </w:p>
    <w:p>
      <w:pPr>
        <w:spacing w:after="0" w:line="218" w:lineRule="exact"/>
        <w:rPr>
          <w:sz w:val="20"/>
          <w:szCs w:val="20"/>
          <w:color w:val="auto"/>
        </w:rPr>
      </w:pPr>
    </w:p>
    <w:p>
      <w:pPr>
        <w:ind w:right="20" w:firstLine="517"/>
        <w:spacing w:after="0" w:line="261" w:lineRule="auto"/>
        <w:rPr>
          <w:sz w:val="20"/>
          <w:szCs w:val="20"/>
          <w:color w:val="auto"/>
        </w:rPr>
      </w:pPr>
      <w:r>
        <w:rPr>
          <w:rFonts w:ascii="Arial" w:cs="Arial" w:eastAsia="Arial" w:hAnsi="Arial"/>
          <w:sz w:val="17"/>
          <w:szCs w:val="17"/>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203" w:lineRule="exact"/>
        <w:rPr>
          <w:sz w:val="20"/>
          <w:szCs w:val="20"/>
          <w:color w:val="auto"/>
        </w:rPr>
      </w:pPr>
    </w:p>
    <w:p>
      <w:pPr>
        <w:jc w:val="both"/>
        <w:ind w:firstLine="465"/>
        <w:spacing w:after="0" w:line="274" w:lineRule="auto"/>
        <w:rPr>
          <w:sz w:val="20"/>
          <w:szCs w:val="20"/>
          <w:color w:val="auto"/>
        </w:rPr>
      </w:pPr>
      <w:r>
        <w:rPr>
          <w:rFonts w:ascii="Arial" w:cs="Arial" w:eastAsia="Arial" w:hAnsi="Arial"/>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32" w:name="page33"/>
    <w:bookmarkEnd w:id="32"/>
    <w:p>
      <w:pPr>
        <w:jc w:val="both"/>
        <w:ind w:firstLine="465"/>
        <w:spacing w:after="0" w:line="258" w:lineRule="auto"/>
        <w:rPr>
          <w:sz w:val="20"/>
          <w:szCs w:val="20"/>
          <w:color w:val="auto"/>
        </w:rPr>
      </w:pPr>
      <w:r>
        <w:rPr>
          <w:rFonts w:ascii="Arial" w:cs="Arial" w:eastAsia="Arial" w:hAnsi="Arial"/>
          <w:sz w:val="17"/>
          <w:szCs w:val="17"/>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4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9980" w:type="dxa"/>
            <w:vAlign w:val="bottom"/>
            <w:gridSpan w:val="3"/>
          </w:tcPr>
          <w:p>
            <w:pPr>
              <w:ind w:left="200"/>
              <w:spacing w:after="0"/>
              <w:rPr>
                <w:sz w:val="20"/>
                <w:szCs w:val="20"/>
                <w:color w:val="auto"/>
              </w:rPr>
            </w:pPr>
            <w:r>
              <w:rPr>
                <w:rFonts w:ascii="Arial" w:cs="Arial" w:eastAsia="Arial" w:hAnsi="Arial"/>
                <w:sz w:val="17"/>
                <w:szCs w:val="17"/>
                <w:b w:val="1"/>
                <w:bCs w:val="1"/>
                <w:color w:val="auto"/>
              </w:rPr>
              <w:t>EXHIBITS.</w:t>
            </w:r>
          </w:p>
        </w:tc>
      </w:tr>
      <w:tr>
        <w:trPr>
          <w:trHeight w:val="395"/>
        </w:trPr>
        <w:tc>
          <w:tcPr>
            <w:tcW w:w="1440" w:type="dxa"/>
            <w:vAlign w:val="bottom"/>
          </w:tcPr>
          <w:p>
            <w:pPr>
              <w:jc w:val="center"/>
              <w:ind w:left="374"/>
              <w:spacing w:after="0"/>
              <w:rPr>
                <w:sz w:val="20"/>
                <w:szCs w:val="20"/>
                <w:color w:val="auto"/>
              </w:rPr>
            </w:pPr>
            <w:r>
              <w:rPr>
                <w:rFonts w:ascii="Arial" w:cs="Arial" w:eastAsia="Arial" w:hAnsi="Arial"/>
                <w:sz w:val="17"/>
                <w:szCs w:val="17"/>
                <w:b w:val="1"/>
                <w:bCs w:val="1"/>
                <w:color w:val="auto"/>
                <w:w w:val="95"/>
              </w:rPr>
              <w:t>Exhibit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225"/>
        </w:trPr>
        <w:tc>
          <w:tcPr>
            <w:tcW w:w="1440" w:type="dxa"/>
            <w:vAlign w:val="bottom"/>
          </w:tcPr>
          <w:p>
            <w:pPr>
              <w:jc w:val="center"/>
              <w:ind w:left="374"/>
              <w:spacing w:after="0"/>
              <w:rPr>
                <w:sz w:val="20"/>
                <w:szCs w:val="20"/>
                <w:color w:val="auto"/>
              </w:rPr>
            </w:pPr>
            <w:r>
              <w:rPr>
                <w:rFonts w:ascii="Arial" w:cs="Arial" w:eastAsia="Arial" w:hAnsi="Arial"/>
                <w:sz w:val="17"/>
                <w:szCs w:val="17"/>
                <w:b w:val="1"/>
                <w:bCs w:val="1"/>
                <w:color w:val="auto"/>
                <w:w w:val="96"/>
              </w:rPr>
              <w:t>Number</w:t>
            </w:r>
          </w:p>
        </w:tc>
        <w:tc>
          <w:tcPr>
            <w:tcW w:w="46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Arial" w:cs="Arial" w:eastAsia="Arial" w:hAnsi="Arial"/>
                <w:sz w:val="17"/>
                <w:szCs w:val="17"/>
                <w:b w:val="1"/>
                <w:bCs w:val="1"/>
                <w:color w:val="auto"/>
              </w:rPr>
              <w:t>Description</w:t>
            </w:r>
          </w:p>
        </w:tc>
      </w:tr>
      <w:tr>
        <w:trPr>
          <w:trHeight w:val="26"/>
        </w:trPr>
        <w:tc>
          <w:tcPr>
            <w:tcW w:w="1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0" w:type="dxa"/>
            <w:vAlign w:val="bottom"/>
            <w:shd w:val="clear" w:color="auto" w:fill="000000"/>
          </w:tcPr>
          <w:p>
            <w:pPr>
              <w:spacing w:after="0"/>
              <w:rPr>
                <w:sz w:val="2"/>
                <w:szCs w:val="2"/>
                <w:color w:val="auto"/>
              </w:rPr>
            </w:pPr>
          </w:p>
        </w:tc>
      </w:tr>
      <w:tr>
        <w:trPr>
          <w:trHeight w:val="414"/>
        </w:trPr>
        <w:tc>
          <w:tcPr>
            <w:tcW w:w="1440" w:type="dxa"/>
            <w:vAlign w:val="bottom"/>
          </w:tcPr>
          <w:p>
            <w:pPr>
              <w:jc w:val="center"/>
              <w:ind w:left="374"/>
              <w:spacing w:after="0"/>
              <w:rPr>
                <w:sz w:val="20"/>
                <w:szCs w:val="20"/>
                <w:color w:val="auto"/>
              </w:rPr>
            </w:pPr>
            <w:r>
              <w:rPr>
                <w:rFonts w:ascii="Arial" w:cs="Arial" w:eastAsia="Arial" w:hAnsi="Arial"/>
                <w:sz w:val="17"/>
                <w:szCs w:val="17"/>
                <w:color w:val="auto"/>
                <w:w w:val="92"/>
              </w:rPr>
              <w:t>1.1</w:t>
            </w:r>
          </w:p>
        </w:tc>
        <w:tc>
          <w:tcPr>
            <w:tcW w:w="460" w:type="dxa"/>
            <w:vAlign w:val="bottom"/>
          </w:tcPr>
          <w:p>
            <w:pPr>
              <w:spacing w:after="0"/>
              <w:rPr>
                <w:sz w:val="24"/>
                <w:szCs w:val="24"/>
                <w:color w:val="auto"/>
              </w:rPr>
            </w:pP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Underwriting Agreement*</w:t>
            </w:r>
          </w:p>
        </w:tc>
      </w:tr>
      <w:tr>
        <w:trPr>
          <w:trHeight w:val="413"/>
        </w:trPr>
        <w:tc>
          <w:tcPr>
            <w:tcW w:w="1440" w:type="dxa"/>
            <w:vAlign w:val="bottom"/>
          </w:tcPr>
          <w:p>
            <w:pPr>
              <w:jc w:val="center"/>
              <w:ind w:left="374"/>
              <w:spacing w:after="0"/>
              <w:rPr>
                <w:sz w:val="20"/>
                <w:szCs w:val="20"/>
                <w:color w:val="auto"/>
              </w:rPr>
            </w:pPr>
            <w:r>
              <w:rPr>
                <w:rFonts w:ascii="Arial" w:cs="Arial" w:eastAsia="Arial" w:hAnsi="Arial"/>
                <w:sz w:val="17"/>
                <w:szCs w:val="17"/>
                <w:color w:val="auto"/>
                <w:w w:val="92"/>
              </w:rPr>
              <w:t>5.1</w:t>
            </w:r>
          </w:p>
        </w:tc>
        <w:tc>
          <w:tcPr>
            <w:tcW w:w="460" w:type="dxa"/>
            <w:vAlign w:val="bottom"/>
          </w:tcPr>
          <w:p>
            <w:pPr>
              <w:spacing w:after="0"/>
              <w:rPr>
                <w:sz w:val="24"/>
                <w:szCs w:val="24"/>
                <w:color w:val="auto"/>
              </w:rPr>
            </w:pP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Opinion of Sanders Ortoli Vaughn-Flam Rosenstadt LLP</w:t>
            </w:r>
          </w:p>
        </w:tc>
      </w:tr>
      <w:tr>
        <w:trPr>
          <w:trHeight w:val="413"/>
        </w:trPr>
        <w:tc>
          <w:tcPr>
            <w:tcW w:w="1440" w:type="dxa"/>
            <w:vAlign w:val="bottom"/>
          </w:tcPr>
          <w:p>
            <w:pPr>
              <w:jc w:val="center"/>
              <w:ind w:left="374"/>
              <w:spacing w:after="0"/>
              <w:rPr>
                <w:sz w:val="20"/>
                <w:szCs w:val="20"/>
                <w:color w:val="auto"/>
              </w:rPr>
            </w:pPr>
            <w:r>
              <w:rPr>
                <w:rFonts w:ascii="Arial" w:cs="Arial" w:eastAsia="Arial" w:hAnsi="Arial"/>
                <w:sz w:val="17"/>
                <w:szCs w:val="17"/>
                <w:color w:val="auto"/>
                <w:w w:val="90"/>
              </w:rPr>
              <w:t>23.1</w:t>
            </w:r>
          </w:p>
        </w:tc>
        <w:tc>
          <w:tcPr>
            <w:tcW w:w="460" w:type="dxa"/>
            <w:vAlign w:val="bottom"/>
          </w:tcPr>
          <w:p>
            <w:pPr>
              <w:spacing w:after="0"/>
              <w:rPr>
                <w:sz w:val="24"/>
                <w:szCs w:val="24"/>
                <w:color w:val="auto"/>
              </w:rPr>
            </w:pP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Consent of Dale Matheson Carr-Hilton LaBonte LLP</w:t>
            </w:r>
          </w:p>
        </w:tc>
      </w:tr>
      <w:tr>
        <w:trPr>
          <w:trHeight w:val="413"/>
        </w:trPr>
        <w:tc>
          <w:tcPr>
            <w:tcW w:w="1440" w:type="dxa"/>
            <w:vAlign w:val="bottom"/>
          </w:tcPr>
          <w:p>
            <w:pPr>
              <w:jc w:val="center"/>
              <w:ind w:left="374"/>
              <w:spacing w:after="0"/>
              <w:rPr>
                <w:sz w:val="20"/>
                <w:szCs w:val="20"/>
                <w:color w:val="auto"/>
              </w:rPr>
            </w:pPr>
            <w:r>
              <w:rPr>
                <w:rFonts w:ascii="Arial" w:cs="Arial" w:eastAsia="Arial" w:hAnsi="Arial"/>
                <w:sz w:val="17"/>
                <w:szCs w:val="17"/>
                <w:color w:val="auto"/>
                <w:w w:val="90"/>
              </w:rPr>
              <w:t>23.2</w:t>
            </w:r>
          </w:p>
        </w:tc>
        <w:tc>
          <w:tcPr>
            <w:tcW w:w="460" w:type="dxa"/>
            <w:vAlign w:val="bottom"/>
          </w:tcPr>
          <w:p>
            <w:pPr>
              <w:spacing w:after="0"/>
              <w:rPr>
                <w:sz w:val="24"/>
                <w:szCs w:val="24"/>
                <w:color w:val="auto"/>
              </w:rPr>
            </w:pP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Consent of Sanders Ortoli Vaughn-Flam Rosenstadt LLP (included in the opinion filed as Exhibit 5.1)</w:t>
            </w:r>
          </w:p>
        </w:tc>
      </w:tr>
      <w:tr>
        <w:trPr>
          <w:trHeight w:val="413"/>
        </w:trPr>
        <w:tc>
          <w:tcPr>
            <w:tcW w:w="1440" w:type="dxa"/>
            <w:vAlign w:val="bottom"/>
          </w:tcPr>
          <w:p>
            <w:pPr>
              <w:jc w:val="center"/>
              <w:ind w:left="374"/>
              <w:spacing w:after="0"/>
              <w:rPr>
                <w:sz w:val="20"/>
                <w:szCs w:val="20"/>
                <w:color w:val="auto"/>
              </w:rPr>
            </w:pPr>
            <w:r>
              <w:rPr>
                <w:rFonts w:ascii="Arial" w:cs="Arial" w:eastAsia="Arial" w:hAnsi="Arial"/>
                <w:sz w:val="17"/>
                <w:szCs w:val="17"/>
                <w:color w:val="auto"/>
                <w:w w:val="90"/>
              </w:rPr>
              <w:t>24.1</w:t>
            </w:r>
          </w:p>
        </w:tc>
        <w:tc>
          <w:tcPr>
            <w:tcW w:w="460" w:type="dxa"/>
            <w:vAlign w:val="bottom"/>
          </w:tcPr>
          <w:p>
            <w:pPr>
              <w:spacing w:after="0"/>
              <w:rPr>
                <w:sz w:val="24"/>
                <w:szCs w:val="24"/>
                <w:color w:val="auto"/>
              </w:rPr>
            </w:pP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Power of Attorney (included on the signature page to this Registration Statement)</w:t>
            </w:r>
          </w:p>
        </w:tc>
      </w:tr>
    </w:tbl>
    <w:p>
      <w:pPr>
        <w:spacing w:after="0" w:line="194" w:lineRule="exact"/>
        <w:rPr>
          <w:sz w:val="20"/>
          <w:szCs w:val="20"/>
          <w:color w:val="auto"/>
        </w:rPr>
      </w:pPr>
    </w:p>
    <w:p>
      <w:pPr>
        <w:ind w:left="2020" w:right="300" w:hanging="1110"/>
        <w:spacing w:after="0" w:line="283" w:lineRule="auto"/>
        <w:tabs>
          <w:tab w:leader="none" w:pos="2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be filed by amendment, if applicable, or as an exhibit to a document to be incorporated by reference herein in connection with an offering of the securities.</w:t>
      </w:r>
    </w:p>
    <w:p>
      <w:pPr>
        <w:spacing w:after="0" w:line="153"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224" w:lineRule="exact"/>
        <w:rPr>
          <w:sz w:val="20"/>
          <w:szCs w:val="20"/>
          <w:color w:val="auto"/>
        </w:rPr>
      </w:pPr>
    </w:p>
    <w:p>
      <w:pPr>
        <w:ind w:left="820" w:hanging="817"/>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RULE 415 OFFERING</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undersigned registrant hereby undertakes:</w:t>
      </w:r>
    </w:p>
    <w:p>
      <w:pPr>
        <w:spacing w:after="0" w:line="218" w:lineRule="exact"/>
        <w:rPr>
          <w:sz w:val="20"/>
          <w:szCs w:val="20"/>
          <w:color w:val="auto"/>
        </w:rPr>
      </w:pPr>
    </w:p>
    <w:p>
      <w:pPr>
        <w:ind w:left="600" w:hanging="28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17" w:lineRule="exact"/>
        <w:rPr>
          <w:rFonts w:ascii="Arial" w:cs="Arial" w:eastAsia="Arial" w:hAnsi="Arial"/>
          <w:sz w:val="17"/>
          <w:szCs w:val="17"/>
          <w:color w:val="auto"/>
        </w:rPr>
      </w:pPr>
    </w:p>
    <w:p>
      <w:pPr>
        <w:ind w:left="720" w:hanging="252"/>
        <w:spacing w:after="0"/>
        <w:tabs>
          <w:tab w:leader="none" w:pos="7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w:t>
      </w:r>
    </w:p>
    <w:p>
      <w:pPr>
        <w:spacing w:after="0" w:line="217" w:lineRule="exact"/>
        <w:rPr>
          <w:rFonts w:ascii="Arial" w:cs="Arial" w:eastAsia="Arial" w:hAnsi="Arial"/>
          <w:sz w:val="17"/>
          <w:szCs w:val="17"/>
          <w:color w:val="auto"/>
        </w:rPr>
      </w:pPr>
    </w:p>
    <w:p>
      <w:pPr>
        <w:jc w:val="both"/>
        <w:ind w:firstLine="468"/>
        <w:spacing w:after="0" w:line="259" w:lineRule="auto"/>
        <w:tabs>
          <w:tab w:leader="none" w:pos="776" w:val="left"/>
        </w:tabs>
        <w:numPr>
          <w:ilvl w:val="1"/>
          <w:numId w:val="2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33" w:name="page34"/>
    <w:bookmarkEnd w:id="33"/>
    <w:p>
      <w:pPr>
        <w:ind w:firstLine="468"/>
        <w:spacing w:after="0" w:line="283" w:lineRule="auto"/>
        <w:tabs>
          <w:tab w:leader="none" w:pos="81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w:t>
      </w:r>
    </w:p>
    <w:p>
      <w:pPr>
        <w:spacing w:after="0" w:line="218" w:lineRule="exact"/>
        <w:rPr>
          <w:sz w:val="20"/>
          <w:szCs w:val="20"/>
          <w:color w:val="auto"/>
        </w:rPr>
      </w:pPr>
    </w:p>
    <w:p>
      <w:pPr>
        <w:jc w:val="both"/>
        <w:ind w:firstLine="934"/>
        <w:spacing w:after="0" w:line="268" w:lineRule="auto"/>
        <w:tabs>
          <w:tab w:leader="none" w:pos="1235" w:val="left"/>
        </w:tabs>
        <w:numPr>
          <w:ilvl w:val="2"/>
          <w:numId w:val="24"/>
        </w:numPr>
        <w:rPr>
          <w:rFonts w:ascii="Arial" w:cs="Arial" w:eastAsia="Arial" w:hAnsi="Arial"/>
          <w:sz w:val="17"/>
          <w:szCs w:val="17"/>
          <w:color w:val="auto"/>
        </w:rPr>
      </w:pPr>
      <w:r>
        <w:rPr>
          <w:rFonts w:ascii="Arial" w:cs="Arial" w:eastAsia="Arial" w:hAnsi="Arial"/>
          <w:sz w:val="17"/>
          <w:szCs w:val="17"/>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72" w:lineRule="exact"/>
        <w:rPr>
          <w:rFonts w:ascii="Arial" w:cs="Arial" w:eastAsia="Arial" w:hAnsi="Arial"/>
          <w:sz w:val="17"/>
          <w:szCs w:val="17"/>
          <w:color w:val="auto"/>
        </w:rPr>
      </w:pPr>
    </w:p>
    <w:p>
      <w:pPr>
        <w:jc w:val="both"/>
        <w:ind w:firstLine="934"/>
        <w:spacing w:after="0" w:line="263" w:lineRule="auto"/>
        <w:tabs>
          <w:tab w:leader="none" w:pos="1236" w:val="left"/>
        </w:tabs>
        <w:numPr>
          <w:ilvl w:val="2"/>
          <w:numId w:val="24"/>
        </w:numPr>
        <w:rPr>
          <w:rFonts w:ascii="Arial" w:cs="Arial" w:eastAsia="Arial" w:hAnsi="Arial"/>
          <w:sz w:val="17"/>
          <w:szCs w:val="17"/>
          <w:color w:val="auto"/>
        </w:rPr>
      </w:pPr>
      <w:r>
        <w:rPr>
          <w:rFonts w:ascii="Arial" w:cs="Arial" w:eastAsia="Arial" w:hAnsi="Arial"/>
          <w:sz w:val="17"/>
          <w:szCs w:val="17"/>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6" w:lineRule="exact"/>
        <w:rPr>
          <w:rFonts w:ascii="Arial" w:cs="Arial" w:eastAsia="Arial" w:hAnsi="Arial"/>
          <w:sz w:val="17"/>
          <w:szCs w:val="17"/>
          <w:color w:val="auto"/>
        </w:rPr>
      </w:pPr>
    </w:p>
    <w:p>
      <w:pPr>
        <w:jc w:val="both"/>
        <w:ind w:firstLine="313"/>
        <w:spacing w:after="0" w:line="268" w:lineRule="auto"/>
        <w:tabs>
          <w:tab w:leader="none" w:pos="6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7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offering.</w:t>
      </w:r>
    </w:p>
    <w:p>
      <w:pPr>
        <w:spacing w:after="0" w:line="205" w:lineRule="exact"/>
        <w:rPr>
          <w:rFonts w:ascii="Arial" w:cs="Arial" w:eastAsia="Arial" w:hAnsi="Arial"/>
          <w:sz w:val="16"/>
          <w:szCs w:val="16"/>
          <w:color w:val="auto"/>
        </w:rPr>
      </w:pPr>
    </w:p>
    <w:p>
      <w:pPr>
        <w:ind w:left="600" w:hanging="28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as amended, to any purchaser:</w:t>
      </w:r>
    </w:p>
    <w:p>
      <w:pPr>
        <w:spacing w:after="0" w:line="217" w:lineRule="exact"/>
        <w:rPr>
          <w:rFonts w:ascii="Arial" w:cs="Arial" w:eastAsia="Arial" w:hAnsi="Arial"/>
          <w:sz w:val="17"/>
          <w:szCs w:val="17"/>
          <w:color w:val="auto"/>
        </w:rPr>
      </w:pPr>
    </w:p>
    <w:p>
      <w:pPr>
        <w:ind w:firstLine="934"/>
        <w:spacing w:after="0" w:line="283" w:lineRule="auto"/>
        <w:tabs>
          <w:tab w:leader="none" w:pos="1220" w:val="left"/>
        </w:tabs>
        <w:numPr>
          <w:ilvl w:val="2"/>
          <w:numId w:val="25"/>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9" w:lineRule="exact"/>
        <w:rPr>
          <w:rFonts w:ascii="Arial" w:cs="Arial" w:eastAsia="Arial" w:hAnsi="Arial"/>
          <w:sz w:val="17"/>
          <w:szCs w:val="17"/>
          <w:color w:val="auto"/>
        </w:rPr>
      </w:pPr>
    </w:p>
    <w:p>
      <w:pPr>
        <w:jc w:val="both"/>
        <w:ind w:firstLine="934"/>
        <w:spacing w:after="0" w:line="274" w:lineRule="auto"/>
        <w:tabs>
          <w:tab w:leader="none" w:pos="1224" w:val="left"/>
        </w:tabs>
        <w:numPr>
          <w:ilvl w:val="2"/>
          <w:numId w:val="2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9" w:lineRule="exact"/>
        <w:rPr>
          <w:rFonts w:ascii="Arial" w:cs="Arial" w:eastAsia="Arial" w:hAnsi="Arial"/>
          <w:sz w:val="16"/>
          <w:szCs w:val="16"/>
          <w:color w:val="auto"/>
        </w:rPr>
      </w:pPr>
    </w:p>
    <w:p>
      <w:pPr>
        <w:jc w:val="both"/>
        <w:ind w:firstLine="313"/>
        <w:spacing w:after="0" w:line="285" w:lineRule="auto"/>
        <w:tabs>
          <w:tab w:leader="none" w:pos="5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9" w:lineRule="exact"/>
        <w:rPr>
          <w:rFonts w:ascii="Arial" w:cs="Arial" w:eastAsia="Arial" w:hAnsi="Arial"/>
          <w:sz w:val="16"/>
          <w:szCs w:val="16"/>
          <w:color w:val="auto"/>
        </w:rPr>
      </w:pPr>
    </w:p>
    <w:p>
      <w:pPr>
        <w:ind w:left="820" w:hanging="196"/>
        <w:spacing w:after="0"/>
        <w:tabs>
          <w:tab w:leader="none" w:pos="8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17" w:lineRule="exact"/>
        <w:rPr>
          <w:rFonts w:ascii="Arial" w:cs="Arial" w:eastAsia="Arial" w:hAnsi="Arial"/>
          <w:sz w:val="17"/>
          <w:szCs w:val="17"/>
          <w:color w:val="auto"/>
        </w:rPr>
      </w:pPr>
    </w:p>
    <w:p>
      <w:pPr>
        <w:ind w:left="900" w:hanging="276"/>
        <w:spacing w:after="0"/>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registrant;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34" w:name="page35"/>
    <w:bookmarkEnd w:id="34"/>
    <w:p>
      <w:pPr>
        <w:ind w:firstLine="624"/>
        <w:spacing w:after="0" w:line="283" w:lineRule="auto"/>
        <w:tabs>
          <w:tab w:leader="none" w:pos="9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portion of any other free writing prospectuses relating to the offering containing material information about the undersigned registrant or its securities provided by or on behalf of the undersigned registrant; and</w:t>
      </w:r>
    </w:p>
    <w:p>
      <w:pPr>
        <w:spacing w:after="0" w:line="159" w:lineRule="exact"/>
        <w:rPr>
          <w:rFonts w:ascii="Arial" w:cs="Arial" w:eastAsia="Arial" w:hAnsi="Arial"/>
          <w:sz w:val="17"/>
          <w:szCs w:val="17"/>
          <w:color w:val="auto"/>
        </w:rPr>
      </w:pPr>
    </w:p>
    <w:p>
      <w:pPr>
        <w:ind w:left="920" w:hanging="296"/>
        <w:spacing w:after="0"/>
        <w:tabs>
          <w:tab w:leader="none" w:pos="9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17" w:lineRule="exact"/>
        <w:rPr>
          <w:rFonts w:ascii="Arial" w:cs="Arial" w:eastAsia="Arial" w:hAnsi="Arial"/>
          <w:sz w:val="17"/>
          <w:szCs w:val="17"/>
          <w:color w:val="auto"/>
        </w:rPr>
      </w:pPr>
    </w:p>
    <w:p>
      <w:pPr>
        <w:jc w:val="both"/>
        <w:ind w:firstLine="3"/>
        <w:spacing w:after="0" w:line="261" w:lineRule="auto"/>
        <w:tabs>
          <w:tab w:leader="none" w:pos="28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7" w:lineRule="exact"/>
        <w:rPr>
          <w:sz w:val="20"/>
          <w:szCs w:val="20"/>
          <w:color w:val="auto"/>
        </w:rPr>
      </w:pPr>
    </w:p>
    <w:p>
      <w:pPr>
        <w:jc w:val="both"/>
        <w:ind w:firstLine="3"/>
        <w:spacing w:after="0" w:line="298" w:lineRule="auto"/>
        <w:tabs>
          <w:tab w:leader="none" w:pos="298"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jc w:val="both"/>
        <w:ind w:firstLine="465"/>
        <w:spacing w:after="0" w:line="268"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Seattle, State of Washington on May 20, 2014.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TapImmune Inc.</w:t>
      </w:r>
    </w:p>
    <w:p>
      <w:pPr>
        <w:spacing w:after="0" w:line="203" w:lineRule="exact"/>
        <w:rPr>
          <w:sz w:val="20"/>
          <w:szCs w:val="20"/>
          <w:color w:val="auto"/>
        </w:rPr>
      </w:pPr>
    </w:p>
    <w:tbl>
      <w:tblPr>
        <w:tblLayout w:type="fixed"/>
        <w:tblInd w:w="5840" w:type="dxa"/>
        <w:tblCellMar>
          <w:top w:w="0" w:type="dxa"/>
          <w:left w:w="0" w:type="dxa"/>
          <w:bottom w:w="0" w:type="dxa"/>
          <w:right w:w="0" w:type="dxa"/>
        </w:tblCellMar>
      </w:tblPr>
      <w:tr>
        <w:trPr>
          <w:trHeight w:val="19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4740" w:type="dxa"/>
            <w:vAlign w:val="bottom"/>
            <w:gridSpan w:val="2"/>
          </w:tcPr>
          <w:p>
            <w:pPr>
              <w:spacing w:after="0"/>
              <w:rPr>
                <w:sz w:val="20"/>
                <w:szCs w:val="20"/>
                <w:color w:val="auto"/>
              </w:rPr>
            </w:pPr>
            <w:r>
              <w:rPr>
                <w:rFonts w:ascii="Arial" w:cs="Arial" w:eastAsia="Arial" w:hAnsi="Arial"/>
                <w:sz w:val="17"/>
                <w:szCs w:val="17"/>
                <w:color w:val="auto"/>
              </w:rPr>
              <w:t>/s/ Glynn Wilson</w:t>
            </w:r>
          </w:p>
        </w:tc>
      </w:tr>
      <w:tr>
        <w:trPr>
          <w:trHeight w:val="213"/>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1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Glynn Wilson</w:t>
            </w:r>
          </w:p>
        </w:tc>
        <w:tc>
          <w:tcPr>
            <w:tcW w:w="3580" w:type="dxa"/>
            <w:vAlign w:val="bottom"/>
          </w:tcPr>
          <w:p>
            <w:pPr>
              <w:spacing w:after="0"/>
              <w:rPr>
                <w:sz w:val="18"/>
                <w:szCs w:val="18"/>
                <w:color w:val="auto"/>
              </w:rPr>
            </w:pPr>
          </w:p>
        </w:tc>
      </w:tr>
      <w:tr>
        <w:trPr>
          <w:trHeight w:val="207"/>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4740" w:type="dxa"/>
            <w:vAlign w:val="bottom"/>
            <w:gridSpan w:val="2"/>
          </w:tcPr>
          <w:p>
            <w:pPr>
              <w:spacing w:after="0"/>
              <w:rPr>
                <w:sz w:val="20"/>
                <w:szCs w:val="20"/>
                <w:color w:val="auto"/>
              </w:rPr>
            </w:pPr>
            <w:r>
              <w:rPr>
                <w:rFonts w:ascii="Arial" w:cs="Arial" w:eastAsia="Arial" w:hAnsi="Arial"/>
                <w:sz w:val="17"/>
                <w:szCs w:val="17"/>
                <w:color w:val="auto"/>
              </w:rPr>
              <w:t>Chairman, Chief Executive Officer,</w:t>
            </w:r>
          </w:p>
        </w:tc>
      </w:tr>
      <w:tr>
        <w:trPr>
          <w:trHeight w:val="219"/>
        </w:trPr>
        <w:tc>
          <w:tcPr>
            <w:tcW w:w="68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w w:val="94"/>
              </w:rPr>
              <w:t>Principal Executive Officer and Acting Principal Accounting Officer</w:t>
            </w:r>
          </w:p>
        </w:tc>
      </w:tr>
    </w:tbl>
    <w:p>
      <w:pPr>
        <w:spacing w:after="0" w:line="194"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 Each person in so signing also makes, constitutes and appoints Glynn Wilson, his or her true and lawful attorney-in-fact, with full power of substitution, in any and all capacities, to execute and cause to be filed with the Securities and Exchange Commission pursuant to the requirements of the Securities Act of 1933, as amended, any and all amendments and post-effective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Signature</w:t>
            </w:r>
          </w:p>
        </w:tc>
        <w:tc>
          <w:tcPr>
            <w:tcW w:w="400" w:type="dxa"/>
            <w:vAlign w:val="bottom"/>
          </w:tcPr>
          <w:p>
            <w:pPr>
              <w:spacing w:after="0"/>
              <w:rPr>
                <w:sz w:val="20"/>
                <w:szCs w:val="20"/>
                <w:color w:val="auto"/>
              </w:rPr>
            </w:pPr>
          </w:p>
        </w:tc>
        <w:tc>
          <w:tcPr>
            <w:tcW w:w="4620" w:type="dxa"/>
            <w:vAlign w:val="bottom"/>
            <w:tcBorders>
              <w:bottom w:val="single" w:sz="8" w:color="auto"/>
            </w:tcBorders>
          </w:tcPr>
          <w:p>
            <w:pPr>
              <w:ind w:left="2140"/>
              <w:spacing w:after="0"/>
              <w:rPr>
                <w:sz w:val="20"/>
                <w:szCs w:val="20"/>
                <w:color w:val="auto"/>
              </w:rPr>
            </w:pPr>
            <w:r>
              <w:rPr>
                <w:rFonts w:ascii="Arial" w:cs="Arial" w:eastAsia="Arial" w:hAnsi="Arial"/>
                <w:sz w:val="17"/>
                <w:szCs w:val="17"/>
                <w:b w:val="1"/>
                <w:bCs w:val="1"/>
                <w:color w:val="auto"/>
              </w:rPr>
              <w:t>Title</w:t>
            </w:r>
          </w:p>
        </w:tc>
        <w:tc>
          <w:tcPr>
            <w:tcW w:w="260" w:type="dxa"/>
            <w:vAlign w:val="bottom"/>
          </w:tcPr>
          <w:p>
            <w:pPr>
              <w:spacing w:after="0"/>
              <w:rPr>
                <w:sz w:val="20"/>
                <w:szCs w:val="20"/>
                <w:color w:val="auto"/>
              </w:rPr>
            </w:pPr>
          </w:p>
        </w:tc>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7"/>
                <w:szCs w:val="17"/>
                <w:b w:val="1"/>
                <w:bCs w:val="1"/>
                <w:color w:val="auto"/>
              </w:rPr>
              <w:t>Date</w:t>
            </w:r>
          </w:p>
        </w:tc>
      </w:tr>
      <w:tr>
        <w:trPr>
          <w:trHeight w:val="375"/>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2"/>
              </w:rPr>
              <w:t>/s/ Mark Reddish</w:t>
            </w:r>
          </w:p>
        </w:tc>
        <w:tc>
          <w:tcPr>
            <w:tcW w:w="2200" w:type="dxa"/>
            <w:vAlign w:val="bottom"/>
            <w:gridSpan w:val="2"/>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Arial" w:cs="Arial" w:eastAsia="Arial" w:hAnsi="Arial"/>
                <w:sz w:val="17"/>
                <w:szCs w:val="17"/>
                <w:color w:val="auto"/>
              </w:rPr>
              <w:t>Director</w:t>
            </w:r>
          </w:p>
        </w:tc>
        <w:tc>
          <w:tcPr>
            <w:tcW w:w="26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May 20, 2014</w:t>
            </w:r>
          </w:p>
        </w:tc>
      </w:tr>
      <w:tr>
        <w:trPr>
          <w:trHeight w:val="226"/>
        </w:trPr>
        <w:tc>
          <w:tcPr>
            <w:tcW w:w="3400" w:type="dxa"/>
            <w:vAlign w:val="bottom"/>
            <w:gridSpan w:val="4"/>
          </w:tcPr>
          <w:p>
            <w:pPr>
              <w:spacing w:after="0"/>
              <w:rPr>
                <w:sz w:val="20"/>
                <w:szCs w:val="20"/>
                <w:color w:val="auto"/>
              </w:rPr>
            </w:pPr>
            <w:r>
              <w:rPr>
                <w:rFonts w:ascii="Arial" w:cs="Arial" w:eastAsia="Arial" w:hAnsi="Arial"/>
                <w:sz w:val="17"/>
                <w:szCs w:val="17"/>
                <w:color w:val="auto"/>
              </w:rPr>
              <w:t>Mark Reddish</w:t>
            </w:r>
          </w:p>
        </w:tc>
        <w:tc>
          <w:tcPr>
            <w:tcW w:w="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74"/>
        </w:trPr>
        <w:tc>
          <w:tcPr>
            <w:tcW w:w="3400" w:type="dxa"/>
            <w:vAlign w:val="bottom"/>
            <w:gridSpan w:val="4"/>
          </w:tcPr>
          <w:p>
            <w:pPr>
              <w:spacing w:after="0"/>
              <w:rPr>
                <w:sz w:val="20"/>
                <w:szCs w:val="20"/>
                <w:color w:val="auto"/>
              </w:rPr>
            </w:pPr>
            <w:r>
              <w:rPr>
                <w:rFonts w:ascii="Arial" w:cs="Arial" w:eastAsia="Arial" w:hAnsi="Arial"/>
                <w:sz w:val="17"/>
                <w:szCs w:val="17"/>
                <w:color w:val="auto"/>
              </w:rPr>
              <w:t>/s/ Sherry Grisewood</w:t>
            </w:r>
          </w:p>
        </w:tc>
        <w:tc>
          <w:tcPr>
            <w:tcW w:w="5020" w:type="dxa"/>
            <w:vAlign w:val="bottom"/>
            <w:gridSpan w:val="2"/>
          </w:tcPr>
          <w:p>
            <w:pPr>
              <w:ind w:left="400"/>
              <w:spacing w:after="0"/>
              <w:rPr>
                <w:sz w:val="20"/>
                <w:szCs w:val="20"/>
                <w:color w:val="auto"/>
              </w:rPr>
            </w:pPr>
            <w:r>
              <w:rPr>
                <w:rFonts w:ascii="Arial" w:cs="Arial" w:eastAsia="Arial" w:hAnsi="Arial"/>
                <w:sz w:val="17"/>
                <w:szCs w:val="17"/>
                <w:color w:val="auto"/>
              </w:rPr>
              <w:t>Director</w:t>
            </w:r>
          </w:p>
        </w:tc>
        <w:tc>
          <w:tcPr>
            <w:tcW w:w="26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May 20, 2014</w:t>
            </w:r>
          </w:p>
        </w:tc>
      </w:tr>
      <w:tr>
        <w:trPr>
          <w:trHeight w:val="226"/>
        </w:trPr>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Sherry Grisewood</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74"/>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Glynn Wilson</w:t>
            </w:r>
          </w:p>
        </w:tc>
        <w:tc>
          <w:tcPr>
            <w:tcW w:w="2220" w:type="dxa"/>
            <w:vAlign w:val="bottom"/>
            <w:gridSpan w:val="3"/>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Arial" w:cs="Arial" w:eastAsia="Arial" w:hAnsi="Arial"/>
                <w:sz w:val="17"/>
                <w:szCs w:val="17"/>
                <w:color w:val="auto"/>
              </w:rPr>
              <w:t>Director</w:t>
            </w:r>
          </w:p>
        </w:tc>
        <w:tc>
          <w:tcPr>
            <w:tcW w:w="26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May 20, 2014</w:t>
            </w:r>
          </w:p>
        </w:tc>
      </w:tr>
      <w:tr>
        <w:trPr>
          <w:trHeight w:val="226"/>
        </w:trPr>
        <w:tc>
          <w:tcPr>
            <w:tcW w:w="3400" w:type="dxa"/>
            <w:vAlign w:val="bottom"/>
            <w:gridSpan w:val="4"/>
          </w:tcPr>
          <w:p>
            <w:pPr>
              <w:spacing w:after="0"/>
              <w:rPr>
                <w:sz w:val="20"/>
                <w:szCs w:val="20"/>
                <w:color w:val="auto"/>
              </w:rPr>
            </w:pPr>
            <w:r>
              <w:rPr>
                <w:rFonts w:ascii="Arial" w:cs="Arial" w:eastAsia="Arial" w:hAnsi="Arial"/>
                <w:sz w:val="17"/>
                <w:szCs w:val="17"/>
                <w:color w:val="auto"/>
              </w:rPr>
              <w:t>Glynn Wilson</w:t>
            </w:r>
          </w:p>
        </w:tc>
        <w:tc>
          <w:tcPr>
            <w:tcW w:w="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678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5"/>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0" w:type="dxa"/>
            <w:vAlign w:val="bottom"/>
          </w:tcPr>
          <w:p>
            <w:pPr>
              <w:ind w:left="3020"/>
              <w:spacing w:after="0"/>
              <w:rPr>
                <w:sz w:val="20"/>
                <w:szCs w:val="20"/>
                <w:color w:val="auto"/>
              </w:rPr>
            </w:pPr>
            <w:r>
              <w:rPr>
                <w:rFonts w:ascii="Arial" w:cs="Arial" w:eastAsia="Arial" w:hAnsi="Arial"/>
                <w:sz w:val="17"/>
                <w:szCs w:val="17"/>
                <w:b w:val="1"/>
                <w:bCs w:val="1"/>
                <w:color w:val="auto"/>
              </w:rPr>
              <w:t>EXHIBIT INDEX</w:t>
            </w:r>
          </w:p>
        </w:tc>
      </w:tr>
      <w:tr>
        <w:trPr>
          <w:trHeight w:val="834"/>
        </w:trPr>
        <w:tc>
          <w:tcPr>
            <w:tcW w:w="1900" w:type="dxa"/>
            <w:vAlign w:val="bottom"/>
          </w:tcPr>
          <w:p>
            <w:pPr>
              <w:jc w:val="center"/>
              <w:spacing w:after="0"/>
              <w:rPr>
                <w:sz w:val="20"/>
                <w:szCs w:val="20"/>
                <w:color w:val="auto"/>
              </w:rPr>
            </w:pPr>
            <w:r>
              <w:rPr>
                <w:rFonts w:ascii="Arial" w:cs="Arial" w:eastAsia="Arial" w:hAnsi="Arial"/>
                <w:sz w:val="17"/>
                <w:szCs w:val="17"/>
                <w:b w:val="1"/>
                <w:bCs w:val="1"/>
                <w:color w:val="auto"/>
                <w:w w:val="95"/>
              </w:rPr>
              <w:t>Exhibit</w:t>
            </w:r>
          </w:p>
        </w:tc>
        <w:tc>
          <w:tcPr>
            <w:tcW w:w="12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225"/>
        </w:trPr>
        <w:tc>
          <w:tcPr>
            <w:tcW w:w="1900" w:type="dxa"/>
            <w:vAlign w:val="bottom"/>
          </w:tcPr>
          <w:p>
            <w:pPr>
              <w:jc w:val="center"/>
              <w:spacing w:after="0"/>
              <w:rPr>
                <w:sz w:val="20"/>
                <w:szCs w:val="20"/>
                <w:color w:val="auto"/>
              </w:rPr>
            </w:pPr>
            <w:r>
              <w:rPr>
                <w:rFonts w:ascii="Arial" w:cs="Arial" w:eastAsia="Arial" w:hAnsi="Arial"/>
                <w:sz w:val="17"/>
                <w:szCs w:val="17"/>
                <w:b w:val="1"/>
                <w:bCs w:val="1"/>
                <w:color w:val="auto"/>
                <w:w w:val="96"/>
              </w:rPr>
              <w:t>Number</w:t>
            </w:r>
          </w:p>
        </w:tc>
        <w:tc>
          <w:tcPr>
            <w:tcW w:w="9520" w:type="dxa"/>
            <w:vAlign w:val="bottom"/>
            <w:gridSpan w:val="2"/>
          </w:tcPr>
          <w:p>
            <w:pPr>
              <w:ind w:left="120"/>
              <w:spacing w:after="0"/>
              <w:rPr>
                <w:sz w:val="20"/>
                <w:szCs w:val="20"/>
                <w:color w:val="auto"/>
              </w:rPr>
            </w:pPr>
            <w:r>
              <w:rPr>
                <w:rFonts w:ascii="Arial" w:cs="Arial" w:eastAsia="Arial" w:hAnsi="Arial"/>
                <w:sz w:val="17"/>
                <w:szCs w:val="17"/>
                <w:b w:val="1"/>
                <w:bCs w:val="1"/>
                <w:color w:val="auto"/>
              </w:rPr>
              <w:t>Description</w:t>
            </w:r>
          </w:p>
        </w:tc>
      </w:tr>
      <w:tr>
        <w:trPr>
          <w:trHeight w:val="26"/>
        </w:trPr>
        <w:tc>
          <w:tcPr>
            <w:tcW w:w="1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0" w:type="dxa"/>
            <w:vAlign w:val="bottom"/>
            <w:shd w:val="clear" w:color="auto" w:fill="000000"/>
          </w:tcPr>
          <w:p>
            <w:pPr>
              <w:spacing w:after="0"/>
              <w:rPr>
                <w:sz w:val="2"/>
                <w:szCs w:val="2"/>
                <w:color w:val="auto"/>
              </w:rPr>
            </w:pPr>
          </w:p>
        </w:tc>
      </w:tr>
      <w:tr>
        <w:trPr>
          <w:trHeight w:val="414"/>
        </w:trPr>
        <w:tc>
          <w:tcPr>
            <w:tcW w:w="1900" w:type="dxa"/>
            <w:vAlign w:val="bottom"/>
          </w:tcPr>
          <w:p>
            <w:pPr>
              <w:jc w:val="right"/>
              <w:ind w:right="714"/>
              <w:spacing w:after="0"/>
              <w:rPr>
                <w:sz w:val="20"/>
                <w:szCs w:val="20"/>
                <w:color w:val="auto"/>
              </w:rPr>
            </w:pPr>
            <w:r>
              <w:rPr>
                <w:rFonts w:ascii="Arial" w:cs="Arial" w:eastAsia="Arial" w:hAnsi="Arial"/>
                <w:sz w:val="17"/>
                <w:szCs w:val="17"/>
                <w:color w:val="auto"/>
              </w:rPr>
              <w:t>1.1</w:t>
            </w: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Underwriting Agreement*</w:t>
            </w:r>
          </w:p>
        </w:tc>
      </w:tr>
      <w:tr>
        <w:trPr>
          <w:trHeight w:val="413"/>
        </w:trPr>
        <w:tc>
          <w:tcPr>
            <w:tcW w:w="1900" w:type="dxa"/>
            <w:vAlign w:val="bottom"/>
          </w:tcPr>
          <w:p>
            <w:pPr>
              <w:jc w:val="center"/>
              <w:spacing w:after="0"/>
              <w:rPr>
                <w:sz w:val="20"/>
                <w:szCs w:val="20"/>
                <w:color w:val="auto"/>
              </w:rPr>
            </w:pPr>
            <w:r>
              <w:rPr>
                <w:rFonts w:ascii="Arial" w:cs="Arial" w:eastAsia="Arial" w:hAnsi="Arial"/>
                <w:sz w:val="17"/>
                <w:szCs w:val="17"/>
                <w:color w:val="auto"/>
                <w:w w:val="92"/>
              </w:rPr>
              <w:t>5.1</w:t>
            </w: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Opinion of Sanders Ortoli Vaughn-Flam Rosenstadt LLP</w:t>
            </w:r>
          </w:p>
        </w:tc>
      </w:tr>
      <w:tr>
        <w:trPr>
          <w:trHeight w:val="413"/>
        </w:trPr>
        <w:tc>
          <w:tcPr>
            <w:tcW w:w="1900" w:type="dxa"/>
            <w:vAlign w:val="bottom"/>
          </w:tcPr>
          <w:p>
            <w:pPr>
              <w:jc w:val="right"/>
              <w:ind w:right="714"/>
              <w:spacing w:after="0"/>
              <w:rPr>
                <w:sz w:val="20"/>
                <w:szCs w:val="20"/>
                <w:color w:val="auto"/>
              </w:rPr>
            </w:pPr>
            <w:r>
              <w:rPr>
                <w:rFonts w:ascii="Arial" w:cs="Arial" w:eastAsia="Arial" w:hAnsi="Arial"/>
                <w:sz w:val="17"/>
                <w:szCs w:val="17"/>
                <w:color w:val="auto"/>
              </w:rPr>
              <w:t>23.1</w:t>
            </w: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Consent of Dale Matheson Carr-Hilton LaBonte LLP</w:t>
            </w:r>
          </w:p>
        </w:tc>
      </w:tr>
      <w:tr>
        <w:trPr>
          <w:trHeight w:val="413"/>
        </w:trPr>
        <w:tc>
          <w:tcPr>
            <w:tcW w:w="1900" w:type="dxa"/>
            <w:vAlign w:val="bottom"/>
          </w:tcPr>
          <w:p>
            <w:pPr>
              <w:jc w:val="right"/>
              <w:ind w:right="714"/>
              <w:spacing w:after="0"/>
              <w:rPr>
                <w:sz w:val="20"/>
                <w:szCs w:val="20"/>
                <w:color w:val="auto"/>
              </w:rPr>
            </w:pPr>
            <w:r>
              <w:rPr>
                <w:rFonts w:ascii="Arial" w:cs="Arial" w:eastAsia="Arial" w:hAnsi="Arial"/>
                <w:sz w:val="17"/>
                <w:szCs w:val="17"/>
                <w:color w:val="auto"/>
              </w:rPr>
              <w:t>23.2</w:t>
            </w: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Consent of Sanders Ortoli Vaughn-Flam Rosenstadt LLP (included in the opinion filed as Exhibit 5.1)</w:t>
            </w:r>
          </w:p>
        </w:tc>
      </w:tr>
      <w:tr>
        <w:trPr>
          <w:trHeight w:val="413"/>
        </w:trPr>
        <w:tc>
          <w:tcPr>
            <w:tcW w:w="1900" w:type="dxa"/>
            <w:vAlign w:val="bottom"/>
          </w:tcPr>
          <w:p>
            <w:pPr>
              <w:jc w:val="right"/>
              <w:ind w:right="714"/>
              <w:spacing w:after="0"/>
              <w:rPr>
                <w:sz w:val="20"/>
                <w:szCs w:val="20"/>
                <w:color w:val="auto"/>
              </w:rPr>
            </w:pPr>
            <w:r>
              <w:rPr>
                <w:rFonts w:ascii="Arial" w:cs="Arial" w:eastAsia="Arial" w:hAnsi="Arial"/>
                <w:sz w:val="17"/>
                <w:szCs w:val="17"/>
                <w:color w:val="auto"/>
              </w:rPr>
              <w:t>24.1</w:t>
            </w:r>
          </w:p>
        </w:tc>
        <w:tc>
          <w:tcPr>
            <w:tcW w:w="9520" w:type="dxa"/>
            <w:vAlign w:val="bottom"/>
            <w:gridSpan w:val="2"/>
          </w:tcPr>
          <w:p>
            <w:pPr>
              <w:ind w:left="120"/>
              <w:spacing w:after="0"/>
              <w:rPr>
                <w:sz w:val="20"/>
                <w:szCs w:val="20"/>
                <w:color w:val="auto"/>
              </w:rPr>
            </w:pPr>
            <w:r>
              <w:rPr>
                <w:rFonts w:ascii="Arial" w:cs="Arial" w:eastAsia="Arial" w:hAnsi="Arial"/>
                <w:sz w:val="17"/>
                <w:szCs w:val="17"/>
                <w:color w:val="auto"/>
              </w:rPr>
              <w:t>Power of Attorney (included on the signature page to this Registration Statement)</w:t>
            </w:r>
          </w:p>
        </w:tc>
      </w:tr>
    </w:tbl>
    <w:p>
      <w:pPr>
        <w:spacing w:after="0" w:line="194" w:lineRule="exact"/>
        <w:rPr>
          <w:sz w:val="20"/>
          <w:szCs w:val="20"/>
          <w:color w:val="auto"/>
        </w:rPr>
      </w:pPr>
    </w:p>
    <w:p>
      <w:pPr>
        <w:ind w:left="2020" w:right="300" w:hanging="1110"/>
        <w:spacing w:after="0" w:line="283" w:lineRule="auto"/>
        <w:tabs>
          <w:tab w:leader="none" w:pos="2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be filed by amendment, if applicable, or as an exhibit to a document to be incorporated by reference herein in connection with an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25678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780" cy="43180"/>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340995</wp:posOffset>
            </wp:positionV>
            <wp:extent cx="725678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780" cy="37465"/>
                    </a:xfrm>
                    <a:prstGeom prst="rect">
                      <a:avLst/>
                    </a:prstGeom>
                    <a:noFill/>
                  </pic:spPr>
                </pic:pic>
              </a:graphicData>
            </a:graphic>
          </wp:anchor>
        </w:drawing>
        <w:t>Exhibit 5.1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May 19, 2014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TapImmune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1551 Eastlake Avenue East, Suite 100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Seattle, Washington</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color w:val="auto"/>
        </w:rPr>
        <w:t>S-3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4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have acted as counsel to TapImmune Inc., a Nevada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Registration Statement on Form S-3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to be filed by the Company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with the Securities and Exchange Commission,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the base prospectus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filed with the Registration Statement. The Base Prospectus provides that it may be supplemented in the future by one or more prospectus supplements (each, a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and any free-writing prospectus(es). The Registration Statement, including the Base Prospectus as supplemented from time to time by one or more Prospectus Supplements and any free-writing prospectus(es), covers the registration of shares of common stock, $0.001 par value per share, of the Company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 Common Stock is being registered for offering and sale from time to time pursuant to Rule 415 under the Securities Act.</w:t>
      </w:r>
    </w:p>
    <w:p>
      <w:pPr>
        <w:spacing w:after="0" w:line="20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In connection with this opinion, we have examined and relied upon the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certificates of the officers of the Company and have not independently sought to verify such matters.</w:t>
      </w:r>
    </w:p>
    <w:p>
      <w:pPr>
        <w:spacing w:after="0" w:line="181"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 We have assumed that, at the time of issuance and sale, a sufficient number of shares of Common Stock is authorized and available for issuance and that the consideration for the issuance and sale of the Common Stock is in an amount that is not less than the par value of the Common Stock.</w:t>
      </w:r>
    </w:p>
    <w:p>
      <w:pPr>
        <w:spacing w:after="0" w:line="177"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Our opinion herein is expressed solely with respect to the federal laws of the United States and the Nevada Revised Statutes. Our opinion is based on these laws as in effect on the date hereof. We express no opinion as to whether the laws of any particular jurisdiction are applicable to the subject matter hereof. We are not rendering any opinion as to compliance with any federal or state law, rule or regulation relating to securities, or to the sale or issuance thereof.</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On the basis of the foregoing and in reliance thereon, and subject to the qualifications herein stated, we are of the opinion that, provided that:</w:t>
      </w:r>
    </w:p>
    <w:p>
      <w:pPr>
        <w:spacing w:after="0" w:line="244" w:lineRule="exact"/>
        <w:rPr>
          <w:sz w:val="20"/>
          <w:szCs w:val="20"/>
          <w:color w:val="auto"/>
        </w:rPr>
      </w:pPr>
    </w:p>
    <w:p>
      <w:pPr>
        <w:ind w:left="320" w:right="220" w:hanging="317"/>
        <w:spacing w:after="0" w:line="283"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Registration Statement and any required post-effective amendment thereto have all become effective under the Securities Act and the Base Prospectus and any and all Prospectus Supplement(s) required by applicable laws have been delivered and filed as required by such laws;</w:t>
      </w:r>
    </w:p>
    <w:p>
      <w:pPr>
        <w:spacing w:after="0" w:line="185" w:lineRule="exact"/>
        <w:rPr>
          <w:rFonts w:ascii="Arial" w:cs="Arial" w:eastAsia="Arial" w:hAnsi="Arial"/>
          <w:sz w:val="17"/>
          <w:szCs w:val="17"/>
          <w:color w:val="auto"/>
        </w:rPr>
      </w:pPr>
    </w:p>
    <w:p>
      <w:pPr>
        <w:ind w:left="940" w:hanging="937"/>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issuance of the Common Stock has been duly authorized by all necessary corporate action on the part of the Company;</w:t>
      </w:r>
    </w:p>
    <w:p>
      <w:pPr>
        <w:spacing w:after="0" w:line="243" w:lineRule="exact"/>
        <w:rPr>
          <w:rFonts w:ascii="Arial" w:cs="Arial" w:eastAsia="Arial" w:hAnsi="Arial"/>
          <w:sz w:val="17"/>
          <w:szCs w:val="17"/>
          <w:color w:val="auto"/>
        </w:rPr>
      </w:pPr>
    </w:p>
    <w:p>
      <w:pPr>
        <w:ind w:left="940" w:right="220" w:hanging="937"/>
        <w:spacing w:after="0" w:line="263"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issuance and sale of the Common Stock do not violate any applicable law, are in conformity with the Company’s then operative certificate of incorporation, as amended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and bylaws, as amended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do not result in a default under or breach of any agreement or instrument binding upon the Company and comply with any applicable requirement or restriction imposed by any court or governmental body having jurisdiction over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25678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8" w:name="page39"/>
    <w:bookmarkEnd w:id="38"/>
    <w:p>
      <w:pPr>
        <w:ind w:left="940" w:right="100" w:hanging="937"/>
        <w:spacing w:after="0" w:line="283"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certificates for the Common Stock have been duly executed by the Company, countersigned by the transfer agent therefor and duly delivered to the purchasers thereof against payment therefor,</w:t>
      </w:r>
    </w:p>
    <w:p>
      <w:pPr>
        <w:spacing w:after="0" w:line="185"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then the Common Stock, when issued and sold as contemplated in the Registration Statement, the Base Prospectus and the related Prospectus Supplement(s) and in accordance with any applicable duly authorized, executed and delivered purchase, underwriting or similar agreement, will be duly authorized, validly issued and the Common Stock will be fully paid and nonassessable.</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our firm under the caption “Legal Matters” in the Base Prospectus that forms part of the Registration Statement. This opinion is expressed as of the date hereof, and we disclaim any undertaking to advise you of any subsequent changes in the facts stated or assumed herein or of any subsequent changes in applicable law.</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Sanders Ortoli Vaughn-Flam Rosenstadt LLP</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440" w:type="dxa"/>
            <w:vAlign w:val="bottom"/>
          </w:tcPr>
          <w:p>
            <w:pPr>
              <w:spacing w:after="0"/>
              <w:rPr>
                <w:sz w:val="16"/>
                <w:szCs w:val="16"/>
                <w:color w:val="auto"/>
              </w:rPr>
            </w:pPr>
          </w:p>
        </w:tc>
        <w:tc>
          <w:tcPr>
            <w:tcW w:w="10300" w:type="dxa"/>
            <w:vAlign w:val="bottom"/>
            <w:gridSpan w:val="2"/>
          </w:tcPr>
          <w:p>
            <w:pPr>
              <w:ind w:left="80"/>
              <w:spacing w:after="0"/>
              <w:rPr>
                <w:sz w:val="20"/>
                <w:szCs w:val="20"/>
                <w:color w:val="auto"/>
              </w:rPr>
            </w:pPr>
            <w:r>
              <w:rPr>
                <w:rFonts w:ascii="Arial" w:cs="Arial" w:eastAsia="Arial" w:hAnsi="Arial"/>
                <w:sz w:val="17"/>
                <w:szCs w:val="17"/>
                <w:color w:val="auto"/>
              </w:rPr>
              <w:t>/s/ William S. Rosenstadt</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52"/>
        </w:trPr>
        <w:tc>
          <w:tcPr>
            <w:tcW w:w="680" w:type="dxa"/>
            <w:vAlign w:val="bottom"/>
          </w:tcPr>
          <w:p>
            <w:pPr>
              <w:spacing w:after="0"/>
              <w:rPr>
                <w:sz w:val="21"/>
                <w:szCs w:val="21"/>
                <w:color w:val="auto"/>
              </w:rPr>
            </w:pPr>
          </w:p>
        </w:tc>
        <w:tc>
          <w:tcPr>
            <w:tcW w:w="10740" w:type="dxa"/>
            <w:vAlign w:val="bottom"/>
            <w:gridSpan w:val="3"/>
          </w:tcPr>
          <w:p>
            <w:pPr>
              <w:ind w:left="440"/>
              <w:spacing w:after="0"/>
              <w:rPr>
                <w:sz w:val="20"/>
                <w:szCs w:val="20"/>
                <w:color w:val="auto"/>
              </w:rPr>
            </w:pPr>
            <w:r>
              <w:rPr>
                <w:rFonts w:ascii="Arial" w:cs="Arial" w:eastAsia="Arial" w:hAnsi="Arial"/>
                <w:sz w:val="17"/>
                <w:szCs w:val="17"/>
                <w:color w:val="auto"/>
              </w:rPr>
              <w:t>William S. Rosenstadt</w:t>
            </w:r>
          </w:p>
        </w:tc>
      </w:tr>
      <w:tr>
        <w:trPr>
          <w:trHeight w:val="569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68"/>
        </w:trPr>
        <w:tc>
          <w:tcPr>
            <w:tcW w:w="6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84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502" w:right="239" w:bottom="1440" w:gutter="0" w:footer="0" w:header="0"/>
        </w:sectPr>
      </w:pPr>
    </w:p>
    <w:bookmarkStart w:id="39" w:name="page40"/>
    <w:bookmarkEnd w:id="39"/>
    <w:p>
      <w:pPr>
        <w:ind w:left="103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152400</wp:posOffset>
            </wp:positionH>
            <wp:positionV relativeFrom="page">
              <wp:posOffset>340995</wp:posOffset>
            </wp:positionV>
            <wp:extent cx="725678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780" cy="37465"/>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313295" cy="1722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3295" cy="172275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consent to the use in this Registration Statement on Form S-3 of our report dated April 14, 2014 relating to the consolidated financial statements of TapImmune Inc. for the fiscal year ended December 31, 2013, and to the reference to our firm under the caption "Experts" in the related Prospectus of TapImmune Inc., for the registration of shares of its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/s/ Dale Matheson Carr-Hilton Labonte LLP</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DALE MATHESON CARR-HILTON LABONTE LLP</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Chartered Accountants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Vancouver, Canada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May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3122295</wp:posOffset>
            </wp:positionV>
            <wp:extent cx="725678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78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1779270</wp:posOffset>
            </wp:positionV>
            <wp:extent cx="7313295" cy="828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3295" cy="828675"/>
                    </a:xfrm>
                    <a:prstGeom prst="rect">
                      <a:avLst/>
                    </a:prstGeom>
                    <a:noFill/>
                  </pic:spPr>
                </pic:pic>
              </a:graphicData>
            </a:graphic>
          </wp:anchor>
        </w:drawing>
      </w:r>
    </w:p>
    <w:sectPr>
      <w:pgSz w:w="11900" w:h="16838" w:orient="portrait"/>
      <w:cols w:equalWidth="0" w:num="1">
        <w:col w:w="11420"/>
      </w:cols>
      <w:pgMar w:left="240" w:top="6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upperLetter"/>
      <w:start w:val="1"/>
    </w:lvl>
  </w:abstractNum>
  <w:abstractNum w:abstractNumId="21">
    <w:nsid w:val="189A769B"/>
    <w:multiLevelType w:val="hybridMultilevel"/>
    <w:lvl w:ilvl="0">
      <w:lvlJc w:val="left"/>
      <w:lvlText w:val="(%1)"/>
      <w:numFmt w:val="decimal"/>
      <w:start w:val="1"/>
    </w:lvl>
    <w:lvl w:ilvl="1">
      <w:lvlJc w:val="left"/>
      <w:lvlText w:val="(%2)"/>
      <w:numFmt w:val="lowerRoman"/>
      <w:start w:val="1"/>
    </w:lvl>
  </w:abstractNum>
  <w:abstractNum w:abstractNumId="22">
    <w:nsid w:val="54E49EB4"/>
    <w:multiLevelType w:val="hybridMultilevel"/>
    <w:lvl w:ilvl="0">
      <w:lvlJc w:val="left"/>
      <w:lvlText w:val="(%1)"/>
      <w:numFmt w:val="lowerRoman"/>
      <w:start w:val="3"/>
    </w:lvl>
  </w:abstractNum>
  <w:abstractNum w:abstractNumId="23">
    <w:nsid w:val="71F3245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4">
    <w:nsid w:val="2CA88611"/>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5">
    <w:nsid w:val="836C40E"/>
    <w:multiLevelType w:val="hybridMultilevel"/>
    <w:lvl w:ilvl="0">
      <w:lvlJc w:val="left"/>
      <w:lvlText w:val="%1"/>
      <w:numFmt w:val="lowerLetter"/>
      <w:start w:val="1"/>
    </w:lvl>
    <w:lvl w:ilvl="1">
      <w:lvlJc w:val="left"/>
      <w:lvlText w:val="(%2)"/>
      <w:numFmt w:val="lowerRoman"/>
      <w:start w:val="3"/>
    </w:lvl>
  </w:abstractNum>
  <w:abstractNum w:abstractNumId="26">
    <w:nsid w:val="2901D82"/>
    <w:multiLevelType w:val="hybridMultilevel"/>
    <w:lvl w:ilvl="0">
      <w:lvlJc w:val="left"/>
      <w:lvlText w:val="(%1)"/>
      <w:numFmt w:val="lowerLetter"/>
      <w:start w:val="5"/>
    </w:lvl>
    <w:lvl w:ilvl="1">
      <w:lvlJc w:val="left"/>
      <w:lvlText w:val="%2"/>
      <w:numFmt w:val="lowerRoman"/>
      <w:start w:val="1"/>
    </w:lvl>
  </w:abstractNum>
  <w:abstractNum w:abstractNumId="27">
    <w:nsid w:val="3A95F874"/>
    <w:multiLevelType w:val="hybridMultilevel"/>
    <w:lvl w:ilvl="0">
      <w:lvlJc w:val="left"/>
      <w:lvlText w:val="(%1)"/>
      <w:numFmt w:val="lowerLetter"/>
      <w:start w:val="8"/>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2020-01-27T12:55:26Z</dcterms:created>
  <dcterms:modified xsi:type="dcterms:W3CDTF">2020-01-27T12:55:26Z</dcterms:modified>
</cp:coreProperties>
</file>