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November 10,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91"/>
              </w:rPr>
              <w:t>Delaware</w:t>
            </w:r>
          </w:p>
        </w:tc>
        <w:tc>
          <w:tcPr>
            <w:tcW w:w="4160" w:type="dxa"/>
            <w:vAlign w:val="bottom"/>
            <w:gridSpan w:val="3"/>
          </w:tcPr>
          <w:p>
            <w:pPr>
              <w:jc w:val="right"/>
              <w:ind w:right="1680"/>
              <w:spacing w:after="0"/>
              <w:rPr>
                <w:sz w:val="20"/>
                <w:szCs w:val="20"/>
                <w:color w:val="auto"/>
              </w:rPr>
            </w:pPr>
            <w:r>
              <w:rPr>
                <w:rFonts w:ascii="Arial" w:cs="Arial" w:eastAsia="Arial" w:hAnsi="Arial"/>
                <w:sz w:val="18"/>
                <w:szCs w:val="18"/>
                <w:b w:val="1"/>
                <w:bCs w:val="1"/>
                <w:color w:val="auto"/>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26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w:t>
            </w:r>
          </w:p>
        </w:tc>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2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3200 Southwest Freeway</w:t>
            </w: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26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89"/>
              </w:rPr>
              <w:t>Suite 2500</w:t>
            </w: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260" w:type="dxa"/>
            <w:vAlign w:val="bottom"/>
            <w:gridSpan w:val="5"/>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26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60" w:type="dxa"/>
            <w:vAlign w:val="bottom"/>
            <w:gridSpan w:val="3"/>
          </w:tcPr>
          <w:p>
            <w:pPr>
              <w:jc w:val="right"/>
              <w:ind w:right="1640"/>
              <w:spacing w:after="0"/>
              <w:rPr>
                <w:sz w:val="20"/>
                <w:szCs w:val="20"/>
                <w:color w:val="auto"/>
              </w:rPr>
            </w:pPr>
            <w:r>
              <w:rPr>
                <w:rFonts w:ascii="Arial" w:cs="Arial" w:eastAsia="Arial" w:hAnsi="Arial"/>
                <w:sz w:val="18"/>
                <w:szCs w:val="18"/>
                <w:b w:val="1"/>
                <w:bCs w:val="1"/>
                <w:color w:val="auto"/>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16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8"/>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Arial" w:cs="Arial" w:eastAsia="Arial" w:hAnsi="Arial"/>
                <w:sz w:val="18"/>
                <w:szCs w:val="18"/>
                <w:color w:val="auto"/>
                <w:w w:val="91"/>
              </w:rPr>
              <w:t>Trading</w:t>
            </w:r>
          </w:p>
        </w:tc>
        <w:tc>
          <w:tcPr>
            <w:tcW w:w="4280" w:type="dxa"/>
            <w:vAlign w:val="bottom"/>
          </w:tcPr>
          <w:p>
            <w:pPr>
              <w:spacing w:after="0"/>
              <w:rPr>
                <w:sz w:val="24"/>
                <w:szCs w:val="24"/>
                <w:color w:val="auto"/>
              </w:rPr>
            </w:pPr>
          </w:p>
        </w:tc>
      </w:tr>
      <w:tr>
        <w:trPr>
          <w:trHeight w:val="230"/>
        </w:trPr>
        <w:tc>
          <w:tcPr>
            <w:tcW w:w="476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Symbol(s)</w:t>
            </w:r>
          </w:p>
        </w:tc>
        <w:tc>
          <w:tcPr>
            <w:tcW w:w="428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60" w:type="dxa"/>
            <w:vAlign w:val="bottom"/>
          </w:tcPr>
          <w:p>
            <w:pPr>
              <w:jc w:val="center"/>
              <w:ind w:right="710"/>
              <w:spacing w:after="0"/>
              <w:rPr>
                <w:sz w:val="20"/>
                <w:szCs w:val="20"/>
                <w:color w:val="auto"/>
              </w:rPr>
            </w:pPr>
            <w:r>
              <w:rPr>
                <w:rFonts w:ascii="Arial" w:cs="Arial" w:eastAsia="Arial" w:hAnsi="Arial"/>
                <w:sz w:val="18"/>
                <w:szCs w:val="18"/>
                <w:color w:val="auto"/>
                <w:w w:val="89"/>
              </w:rPr>
              <w:t>Common Stock, par value $0.001 per share</w:t>
            </w:r>
          </w:p>
        </w:tc>
        <w:tc>
          <w:tcPr>
            <w:tcW w:w="2200" w:type="dxa"/>
            <w:vAlign w:val="bottom"/>
          </w:tcPr>
          <w:p>
            <w:pPr>
              <w:jc w:val="center"/>
              <w:ind w:right="130"/>
              <w:spacing w:after="0"/>
              <w:rPr>
                <w:sz w:val="20"/>
                <w:szCs w:val="20"/>
                <w:color w:val="auto"/>
              </w:rPr>
            </w:pPr>
            <w:r>
              <w:rPr>
                <w:rFonts w:ascii="Arial" w:cs="Arial" w:eastAsia="Arial" w:hAnsi="Arial"/>
                <w:sz w:val="18"/>
                <w:szCs w:val="18"/>
                <w:color w:val="auto"/>
              </w:rPr>
              <w:t>MRKR</w:t>
            </w:r>
          </w:p>
        </w:tc>
        <w:tc>
          <w:tcPr>
            <w:tcW w:w="4280" w:type="dxa"/>
            <w:vAlign w:val="bottom"/>
          </w:tcPr>
          <w:p>
            <w:pPr>
              <w:jc w:val="center"/>
              <w:ind w:left="49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On November 10, 2021, Marker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reported financial results for the quarter ended September 30, 2021 and other recent corporate updates. A copy of the press release is furnished as Exhibit 99.1 to this report and incorporated by reference.</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0" w:type="dxa"/>
            <w:vAlign w:val="bottom"/>
          </w:tcPr>
          <w:p>
            <w:pPr>
              <w:spacing w:after="0"/>
              <w:rPr>
                <w:sz w:val="20"/>
                <w:szCs w:val="20"/>
                <w:color w:val="auto"/>
              </w:rPr>
            </w:pPr>
          </w:p>
        </w:tc>
      </w:tr>
      <w:tr>
        <w:trPr>
          <w:trHeight w:val="432"/>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9880" w:type="dxa"/>
            <w:vAlign w:val="bottom"/>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November 10,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November 10, 2021</w:t>
            </w:r>
          </w:p>
        </w:tc>
        <w:tc>
          <w:tcPr>
            <w:tcW w:w="7440" w:type="dxa"/>
            <w:vAlign w:val="bottom"/>
            <w:gridSpan w:val="2"/>
          </w:tcPr>
          <w:p>
            <w:pPr>
              <w:ind w:left="1840"/>
              <w:spacing w:after="0"/>
              <w:rPr>
                <w:sz w:val="20"/>
                <w:szCs w:val="20"/>
                <w:color w:val="auto"/>
              </w:rPr>
            </w:pPr>
            <w:r>
              <w:rPr>
                <w:rFonts w:ascii="Arial" w:cs="Arial" w:eastAsia="Arial" w:hAnsi="Arial"/>
                <w:sz w:val="18"/>
                <w:szCs w:val="18"/>
                <w:color w:val="auto"/>
              </w:rPr>
              <w:t>By: /s/ Anthony Kim</w:t>
            </w:r>
          </w:p>
        </w:tc>
      </w:tr>
      <w:tr>
        <w:trPr>
          <w:trHeight w:val="195"/>
        </w:trPr>
        <w:tc>
          <w:tcPr>
            <w:tcW w:w="3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697355"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735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Third Quarter 2021 Operating and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Enrollment of first 20 patients of the Company’s Phase 2 AML trial anticipated in Q4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readout of Group 2 active disease anticipated in Q1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year-end conference call and webcast in Q1 2022</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Houston, TX—November 10, 2021—</w:t>
      </w:r>
      <w:r>
        <w:rPr>
          <w:rFonts w:ascii="Arial" w:cs="Arial" w:eastAsia="Arial" w:hAnsi="Arial"/>
          <w:sz w:val="18"/>
          <w:szCs w:val="18"/>
          <w:color w:val="auto"/>
        </w:rPr>
        <w:t>Marker Therapeutics, Inc. (Nasdaq:MRKR), a clinical-stage immuno-oncology company specializing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next-generation T cell-based immunotherapies for the treatment of hematological malignancies and solid tumor indications, today provided a corporate update and reported financial results for the third quarter ended September 30, 2021.</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quarter, we continued our momentum in advancing Marker’s Phase 2 trial of MT-401, Marker’s lead MultiTAA-specific T cell therapy, for the treatment of post-transplant acute myeloid leukemia, or AML,” said Peter L. Hoang, President &amp; CEO of Marker Therapeutics. “We are pleased to announce that the first patients in Marker’s Phase 2 AML trial have been dosed with study drug. Further, we are on track to enroll the first 20 patients of the trial in the fourth quarter, with the first data readout expected in the first quarter of 2022. We look forward to providing year-end updates in a conference call and webcast early next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PROGRAM UPDATES</w:t>
      </w:r>
    </w:p>
    <w:p>
      <w:pPr>
        <w:spacing w:after="0" w:line="229" w:lineRule="exact"/>
        <w:rPr>
          <w:sz w:val="20"/>
          <w:szCs w:val="20"/>
          <w:color w:val="auto"/>
        </w:rPr>
      </w:pPr>
    </w:p>
    <w:p>
      <w:pPr>
        <w:jc w:val="both"/>
        <w:ind w:left="660" w:right="48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continues to enroll patients and activate clinical sites across the U.S. in Marker’s Phase 2 trial of MT-401, its lead MultiTAA-specific T cell product candidate, for the treatment of post-transplant AML. The trial is expected to enroll approximately 120 patients in the adjuvant setting and 40 patients with active disease at approximately 20 clinical sites.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UPDATES</w:t>
      </w:r>
    </w:p>
    <w:p>
      <w:pPr>
        <w:spacing w:after="0" w:line="229" w:lineRule="exact"/>
        <w:rPr>
          <w:sz w:val="20"/>
          <w:szCs w:val="20"/>
          <w:color w:val="auto"/>
        </w:rPr>
      </w:pPr>
    </w:p>
    <w:p>
      <w:pPr>
        <w:ind w:left="660" w:right="22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new cGMP manufacturing facility in Houston, Texas is fully operational and is supporting ongoing operations. The facility will also manufacture Marker’s MultiTAA-specific T cell products for future hematological and solid tumor trials, in addition to producing the potential commercial supply of any products, if approved.</w:t>
      </w:r>
    </w:p>
    <w:p>
      <w:pPr>
        <w:spacing w:after="0" w:line="2" w:lineRule="exact"/>
        <w:rPr>
          <w:rFonts w:ascii="Arial" w:cs="Arial" w:eastAsia="Arial" w:hAnsi="Arial"/>
          <w:sz w:val="18"/>
          <w:szCs w:val="18"/>
          <w:color w:val="auto"/>
        </w:rPr>
      </w:pPr>
    </w:p>
    <w:p>
      <w:pPr>
        <w:ind w:left="660" w:right="18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August, the Company announced that it received notice of a Product Development Research award totaling approximately $13.1 million from the Cancer Prevention and Research Institute of Texas (CPRIT) to support the Company's Phase 2 AML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ANTICIPATED PROGRAM MILESTONES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AML Trial Milestones</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Enrollment of first 20 patients of the Phase 2 AML trial expected in Q4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Topline readout of Group 2 active disease anticipated in Q1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2021 FINANCIAL RESULTS</w:t>
      </w:r>
    </w:p>
    <w:p>
      <w:pPr>
        <w:spacing w:after="0" w:line="225" w:lineRule="exact"/>
        <w:rPr>
          <w:sz w:val="20"/>
          <w:szCs w:val="20"/>
          <w:color w:val="auto"/>
        </w:rPr>
      </w:pPr>
    </w:p>
    <w:p>
      <w:pPr>
        <w:ind w:left="660" w:right="320" w:hanging="328"/>
        <w:spacing w:after="0" w:line="34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Cash Position and Guidance: </w:t>
      </w:r>
      <w:r>
        <w:rPr>
          <w:rFonts w:ascii="Arial" w:cs="Arial" w:eastAsia="Arial" w:hAnsi="Arial"/>
          <w:sz w:val="16"/>
          <w:szCs w:val="16"/>
          <w:color w:val="auto"/>
        </w:rPr>
        <w:t>At September 30, 2021, Marker had cash and cash equivalents of $48.7 million. The Company believes that its</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cash and cash equivalents will fund its operating expenses and capital expenditure requirements into the first quarter of 2023.</w:t>
      </w:r>
    </w:p>
    <w:p>
      <w:pPr>
        <w:spacing w:after="0" w:line="115" w:lineRule="exact"/>
        <w:rPr>
          <w:rFonts w:ascii="Arial" w:cs="Arial" w:eastAsia="Arial" w:hAnsi="Arial"/>
          <w:sz w:val="16"/>
          <w:szCs w:val="16"/>
          <w:color w:val="auto"/>
        </w:rPr>
      </w:pPr>
    </w:p>
    <w:p>
      <w:pPr>
        <w:jc w:val="both"/>
        <w:ind w:left="660" w:right="20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$6.8 million for the quarter ended September 30, 2021 compared to $4.8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quarter ended September 30, 2020. The increase was primarily attributable to increases in clinical trial and sponsored research expenses and headcount-related expenses due to growth of research and development operations.</w:t>
      </w:r>
    </w:p>
    <w:p>
      <w:pPr>
        <w:spacing w:after="0" w:line="175" w:lineRule="exact"/>
        <w:rPr>
          <w:rFonts w:ascii="Arial" w:cs="Arial" w:eastAsia="Arial" w:hAnsi="Arial"/>
          <w:sz w:val="18"/>
          <w:szCs w:val="18"/>
          <w:color w:val="auto"/>
        </w:rPr>
      </w:pPr>
    </w:p>
    <w:p>
      <w:pPr>
        <w:ind w:left="660" w:right="18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$3.2 million for the quarter ended September 30, 2021 compared to $2.6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quarter ended September 30, 2020.</w:t>
      </w:r>
    </w:p>
    <w:p>
      <w:pPr>
        <w:spacing w:after="0" w:line="161" w:lineRule="exact"/>
        <w:rPr>
          <w:rFonts w:ascii="Arial" w:cs="Arial" w:eastAsia="Arial" w:hAnsi="Arial"/>
          <w:sz w:val="18"/>
          <w:szCs w:val="18"/>
          <w:color w:val="auto"/>
        </w:rPr>
      </w:pPr>
    </w:p>
    <w:p>
      <w:pPr>
        <w:ind w:left="660" w:right="34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Marker reported a net loss of $12.4 million for the quarter ended September 30, 2021, compared to a net loss of $7.4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including the Phase 2 trial of MT-401; our ability to use our manufacturing facilities to support clinical and commercial demand; the timing and use of the CPRIT award; and our future operating expenses and capital expenditure requirements.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80" w:type="dxa"/>
            <w:vAlign w:val="bottom"/>
            <w:tcBorders>
              <w:bottom w:val="single" w:sz="8" w:color="CCEEFF"/>
            </w:tcBorders>
          </w:tcPr>
          <w:p>
            <w:pPr>
              <w:spacing w:after="0"/>
              <w:rPr>
                <w:sz w:val="20"/>
                <w:szCs w:val="20"/>
                <w:color w:val="auto"/>
              </w:rPr>
            </w:pPr>
          </w:p>
        </w:tc>
        <w:tc>
          <w:tcPr>
            <w:tcW w:w="28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Current assets:</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3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48,705,297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21,352,382</w:t>
            </w:r>
          </w:p>
        </w:tc>
      </w:tr>
      <w:tr>
        <w:trPr>
          <w:trHeight w:val="216"/>
        </w:trPr>
        <w:tc>
          <w:tcPr>
            <w:tcW w:w="5580" w:type="dxa"/>
            <w:vAlign w:val="bottom"/>
          </w:tcPr>
          <w:p>
            <w:pPr>
              <w:ind w:left="260"/>
              <w:spacing w:after="0"/>
              <w:rPr>
                <w:sz w:val="20"/>
                <w:szCs w:val="20"/>
                <w:color w:val="auto"/>
              </w:rPr>
            </w:pPr>
            <w:r>
              <w:rPr>
                <w:rFonts w:ascii="Arial" w:cs="Arial" w:eastAsia="Arial" w:hAnsi="Arial"/>
                <w:sz w:val="18"/>
                <w:szCs w:val="18"/>
                <w:color w:val="auto"/>
              </w:rPr>
              <w:t>Prepaid expenses and deposits</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2,701,327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2,057,924</w:t>
            </w:r>
          </w:p>
        </w:tc>
      </w:tr>
      <w:tr>
        <w:trPr>
          <w:trHeight w:val="23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receivables</w:t>
            </w:r>
          </w:p>
        </w:tc>
        <w:tc>
          <w:tcPr>
            <w:tcW w:w="2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1,000,559</w:t>
            </w:r>
          </w:p>
        </w:tc>
      </w:tr>
      <w:tr>
        <w:trPr>
          <w:trHeight w:val="210"/>
        </w:trPr>
        <w:tc>
          <w:tcPr>
            <w:tcW w:w="5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current assets</w:t>
            </w:r>
          </w:p>
        </w:tc>
        <w:tc>
          <w:tcPr>
            <w:tcW w:w="28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51,406,867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24,410,865</w:t>
            </w:r>
          </w:p>
        </w:tc>
        <w:tc>
          <w:tcPr>
            <w:tcW w:w="100" w:type="dxa"/>
            <w:vAlign w:val="bottom"/>
            <w:tcBorders>
              <w:bottom w:val="single" w:sz="8" w:color="CCEEFF"/>
            </w:tcBorders>
          </w:tcPr>
          <w:p>
            <w:pPr>
              <w:spacing w:after="0"/>
              <w:rPr>
                <w:sz w:val="18"/>
                <w:szCs w:val="18"/>
                <w:color w:val="auto"/>
              </w:rPr>
            </w:pP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2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260"/>
              <w:spacing w:after="0"/>
              <w:rPr>
                <w:sz w:val="20"/>
                <w:szCs w:val="20"/>
                <w:color w:val="auto"/>
              </w:rPr>
            </w:pPr>
            <w:r>
              <w:rPr>
                <w:rFonts w:ascii="Arial" w:cs="Arial" w:eastAsia="Arial" w:hAnsi="Arial"/>
                <w:sz w:val="18"/>
                <w:szCs w:val="18"/>
                <w:color w:val="auto"/>
              </w:rPr>
              <w:t>Property, plant and equipment, net</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9,846,745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3,570,736</w:t>
            </w:r>
          </w:p>
        </w:tc>
      </w:tr>
      <w:tr>
        <w:trPr>
          <w:trHeight w:val="216"/>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Construction in progress</w:t>
            </w:r>
          </w:p>
        </w:tc>
        <w:tc>
          <w:tcPr>
            <w:tcW w:w="2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6,789,098</w:t>
            </w: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Right-of-use assets, net</w:t>
            </w:r>
          </w:p>
        </w:tc>
        <w:tc>
          <w:tcPr>
            <w:tcW w:w="2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10,086,158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10,844,116</w:t>
            </w:r>
          </w:p>
        </w:tc>
      </w:tr>
      <w:tr>
        <w:trPr>
          <w:trHeight w:val="210"/>
        </w:trPr>
        <w:tc>
          <w:tcPr>
            <w:tcW w:w="55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assets</w:t>
            </w:r>
          </w:p>
        </w:tc>
        <w:tc>
          <w:tcPr>
            <w:tcW w:w="2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20,532,908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21,203,950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5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71,939,775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45,614,815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Accounts payable and accrued liabilities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Lease liability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Lease liability, net of current portion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non-current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7,645,287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6,013,010</w:t>
            </w:r>
          </w:p>
        </w:tc>
      </w:tr>
      <w:tr>
        <w:trPr>
          <w:trHeight w:val="230"/>
        </w:trPr>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581,588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388,792</w:t>
            </w:r>
          </w:p>
        </w:tc>
      </w:tr>
      <w:tr>
        <w:trPr>
          <w:trHeight w:val="210"/>
        </w:trPr>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8,226,875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6,401,802</w:t>
            </w:r>
          </w:p>
        </w:tc>
      </w:tr>
      <w:tr>
        <w:trPr>
          <w:trHeight w:val="439"/>
        </w:trPr>
        <w:tc>
          <w:tcPr>
            <w:tcW w:w="28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11,430,892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11,868,440</w:t>
            </w:r>
          </w:p>
        </w:tc>
      </w:tr>
      <w:tr>
        <w:trPr>
          <w:trHeight w:val="210"/>
        </w:trPr>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11,430,892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11,868,440</w:t>
            </w:r>
          </w:p>
        </w:tc>
      </w:tr>
    </w:tbl>
    <w:p>
      <w:pPr>
        <w:spacing w:after="0" w:line="20" w:lineRule="exact"/>
        <w:rPr>
          <w:sz w:val="20"/>
          <w:szCs w:val="20"/>
          <w:color w:val="auto"/>
        </w:rPr>
      </w:pPr>
    </w:p>
    <w:p>
      <w:pPr>
        <w:sectPr>
          <w:pgSz w:w="11900" w:h="16838" w:orient="portrait"/>
          <w:cols w:equalWidth="0" w:num="2">
            <w:col w:w="7720" w:space="720"/>
            <w:col w:w="280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24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19,657,767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18,270,242</w:t>
            </w:r>
          </w:p>
        </w:tc>
      </w:tr>
      <w:tr>
        <w:trPr>
          <w:trHeight w:val="210"/>
        </w:trPr>
        <w:tc>
          <w:tcPr>
            <w:tcW w:w="8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2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7"/>
              </w:rPr>
              <w:t>Preferred stock - $0.001 par value, 5 million shares authorized and 0 shares issued and outstanding at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September 30, 2021 and December 31, 2020, respectively</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240" w:type="dxa"/>
            <w:vAlign w:val="bottom"/>
          </w:tcPr>
          <w:p>
            <w:pPr>
              <w:ind w:left="260"/>
              <w:spacing w:after="0" w:line="201" w:lineRule="exact"/>
              <w:rPr>
                <w:sz w:val="20"/>
                <w:szCs w:val="20"/>
                <w:color w:val="auto"/>
              </w:rPr>
            </w:pPr>
            <w:r>
              <w:rPr>
                <w:rFonts w:ascii="Arial" w:cs="Arial" w:eastAsia="Arial" w:hAnsi="Arial"/>
                <w:sz w:val="18"/>
                <w:szCs w:val="18"/>
                <w:color w:val="auto"/>
                <w:w w:val="92"/>
              </w:rPr>
              <w:t>Common stock, $0.001 par value, 150 million shares authorized, 83.1 million and 50.7 million shares issued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240" w:type="dxa"/>
            <w:vAlign w:val="bottom"/>
          </w:tcPr>
          <w:p>
            <w:pPr>
              <w:ind w:left="260"/>
              <w:spacing w:after="0"/>
              <w:rPr>
                <w:sz w:val="20"/>
                <w:szCs w:val="20"/>
                <w:color w:val="auto"/>
              </w:rPr>
            </w:pPr>
            <w:r>
              <w:rPr>
                <w:rFonts w:ascii="Arial" w:cs="Arial" w:eastAsia="Arial" w:hAnsi="Arial"/>
                <w:sz w:val="18"/>
                <w:szCs w:val="18"/>
                <w:color w:val="auto"/>
              </w:rPr>
              <w:t>and outstanding as of September 30, 2021 and December 31, 2020, respectively</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83,079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50,731</w:t>
            </w:r>
          </w:p>
        </w:tc>
      </w:tr>
      <w:tr>
        <w:trPr>
          <w:trHeight w:val="216"/>
        </w:trPr>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440,553,968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383,533,326</w:t>
            </w:r>
          </w:p>
        </w:tc>
      </w:tr>
      <w:tr>
        <w:trPr>
          <w:trHeight w:val="230"/>
        </w:trPr>
        <w:tc>
          <w:tcPr>
            <w:tcW w:w="82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(388,355,039)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(356,239,484)</w:t>
            </w: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52,282,008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27,344,573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71,939,775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45,614,815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8"/>
        </w:trPr>
        <w:tc>
          <w:tcPr>
            <w:tcW w:w="8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04"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80" w:type="dxa"/>
            <w:vAlign w:val="bottom"/>
            <w:gridSpan w:val="6"/>
          </w:tcPr>
          <w:p>
            <w:pPr>
              <w:jc w:val="right"/>
              <w:ind w:right="301"/>
              <w:spacing w:after="0"/>
              <w:rPr>
                <w:sz w:val="20"/>
                <w:szCs w:val="20"/>
                <w:color w:val="auto"/>
              </w:rPr>
            </w:pPr>
            <w:r>
              <w:rPr>
                <w:rFonts w:ascii="Arial" w:cs="Arial" w:eastAsia="Arial" w:hAnsi="Arial"/>
                <w:sz w:val="18"/>
                <w:szCs w:val="18"/>
                <w:b w:val="1"/>
                <w:bCs w:val="1"/>
                <w:color w:val="auto"/>
                <w:w w:val="93"/>
              </w:rPr>
              <w:t>For the Three Months Ended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Grant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466,785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6,784,390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4,803,605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19,777,454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12,897,275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3,239,148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w w:val="97"/>
              </w:rPr>
              <w:t>2,572,562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9,936,256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7,946,846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10,023,538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7,376,167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29,713,710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20,844,121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(10,023,538)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(7,376,167)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(29,713,710)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(20,377,336)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Arbitration settlement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(2,406,576)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(2,406,576)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4,667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4,731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147,493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(12,429,323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(7,371,500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(32,115,555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(20,198,843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(0.15)</w:t>
            </w:r>
          </w:p>
        </w:tc>
        <w:tc>
          <w:tcPr>
            <w:tcW w:w="52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(0.16)</w:t>
            </w:r>
          </w:p>
        </w:tc>
        <w:tc>
          <w:tcPr>
            <w:tcW w:w="26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(0.43)</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5"/>
              </w:rPr>
              <w:t>Weighted average number of common shares outstanding, basic and</w:t>
            </w: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83,078,675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w w:val="86"/>
              </w:rPr>
              <w:t>46,867,119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74,290,598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46,509,391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Marker Therapeutics, Inc.</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1"/>
              </w:rPr>
              <w:t>For the Nine Months Ended</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(32,115,555)</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(20,198,843)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1"/>
              </w:rPr>
              <w:t>Reconciliation of net loss to net cash used in operating activities: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1,584,495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272,725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fair value of warrant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4,497,145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3,974,536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on right-of-use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757,958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8"/>
                <w:szCs w:val="18"/>
                <w:b w:val="1"/>
                <w:bCs w:val="1"/>
                <w:color w:val="auto"/>
              </w:rPr>
              <w:t>Changes in operating assets and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deposits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(643,403)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(840,703)</w:t>
            </w:r>
          </w:p>
        </w:tc>
        <w:tc>
          <w:tcPr>
            <w:tcW w:w="0" w:type="dxa"/>
            <w:vAlign w:val="bottom"/>
          </w:tcPr>
          <w:p>
            <w:pPr>
              <w:spacing w:after="0"/>
              <w:rPr>
                <w:sz w:val="1"/>
                <w:szCs w:val="1"/>
                <w:color w:val="auto"/>
              </w:rPr>
            </w:pPr>
          </w:p>
        </w:tc>
      </w:tr>
      <w:tr>
        <w:trPr>
          <w:trHeight w:val="216"/>
        </w:trPr>
        <w:tc>
          <w:tcPr>
            <w:tcW w:w="530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1,000,316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2,742,154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2,065,929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380"/>
              <w:spacing w:after="0"/>
              <w:rPr>
                <w:sz w:val="20"/>
                <w:szCs w:val="20"/>
                <w:color w:val="auto"/>
              </w:rPr>
            </w:pPr>
            <w:r>
              <w:rPr>
                <w:rFonts w:ascii="Arial" w:cs="Arial" w:eastAsia="Arial" w:hAnsi="Arial"/>
                <w:sz w:val="18"/>
                <w:szCs w:val="18"/>
                <w:color w:val="auto"/>
              </w:rPr>
              <w:t>Lease liability</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(244,752)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(166,723)</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(22,421,642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(14,530,495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(1,262,092)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(2,005,160)</w:t>
            </w: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Purchase of construction in progress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(1,519,196)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(3,147,566)</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(2,781,288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(5,152,726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issuance of common stock,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52,552,758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2,186,009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8"/>
                <w:szCs w:val="18"/>
                <w:color w:val="auto"/>
              </w:rPr>
              <w:t>Proceeds from exercise of warrants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3,087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52,555,845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2,736,009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27,352,915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(16,947,212)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21,352,382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43,903,949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48,705,297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26,956,737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Xuan Yang</w:t>
      </w:r>
    </w:p>
    <w:p>
      <w:pPr>
        <w:spacing w:after="0" w:line="9" w:lineRule="exact"/>
        <w:rPr>
          <w:sz w:val="20"/>
          <w:szCs w:val="20"/>
          <w:color w:val="auto"/>
        </w:rPr>
      </w:pPr>
    </w:p>
    <w:p>
      <w:pPr>
        <w:ind w:right="9320" w:firstLine="8"/>
        <w:spacing w:after="0" w:line="323" w:lineRule="auto"/>
        <w:tabs>
          <w:tab w:leader="none" w:pos="435" w:val="left"/>
        </w:tabs>
        <w:numPr>
          <w:ilvl w:val="0"/>
          <w:numId w:val="6"/>
        </w:numPr>
        <w:rPr>
          <w:rFonts w:ascii="Arial" w:cs="Arial" w:eastAsia="Arial" w:hAnsi="Arial"/>
          <w:sz w:val="16"/>
          <w:szCs w:val="16"/>
          <w:color w:val="auto"/>
        </w:rPr>
      </w:pPr>
      <w:r>
        <w:rPr>
          <w:rFonts w:ascii="Arial" w:cs="Arial" w:eastAsia="Arial" w:hAnsi="Arial"/>
          <w:sz w:val="16"/>
          <w:szCs w:val="16"/>
          <w:color w:val="auto"/>
        </w:rPr>
        <w:t>378-2975 xyang@soleburytrout.com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ectPr>
          <w:pgSz w:w="11900" w:h="16838" w:orient="portrait"/>
          <w:cols w:equalWidth="0" w:num="1">
            <w:col w:w="11240"/>
          </w:cols>
          <w:pgMar w:left="320" w:top="904" w:right="339" w:bottom="0" w:gutter="0" w:footer="0" w:header="0"/>
        </w:sectPr>
      </w:pPr>
    </w:p>
    <w:bookmarkStart w:id="7" w:name="page8"/>
    <w:bookmarkEnd w:id="7"/>
    <w:p>
      <w:pPr>
        <w:ind w:right="9060" w:firstLine="8"/>
        <w:spacing w:after="0" w:line="342" w:lineRule="auto"/>
        <w:tabs>
          <w:tab w:leader="none" w:pos="435" w:val="left"/>
        </w:tabs>
        <w:numPr>
          <w:ilvl w:val="0"/>
          <w:numId w:val="7"/>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646"/>
    </w:lvl>
  </w:abstractNum>
  <w:abstractNum w:abstractNumId="6">
    <w:nsid w:val="41B71EFB"/>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2021-11-10T15:55:20Z</dcterms:created>
  <dcterms:modified xsi:type="dcterms:W3CDTF">2021-11-10T15:55:20Z</dcterms:modified>
</cp:coreProperties>
</file>