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311785</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346075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FORM 8-K</w:t>
      </w:r>
    </w:p>
    <w:p>
      <w:pPr>
        <w:spacing w:after="0" w:line="225" w:lineRule="exact"/>
        <w:rPr>
          <w:sz w:val="24"/>
          <w:szCs w:val="24"/>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CURRENT REPORT</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Pursuant to Section 13 or 15(d) of the Securities Exchange Act of 1934</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October 16, 2022</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Date of Report (Date of earliest event reported)</w:t>
      </w:r>
    </w:p>
    <w:p>
      <w:pPr>
        <w:spacing w:after="0" w:line="202" w:lineRule="exact"/>
        <w:rPr>
          <w:sz w:val="24"/>
          <w:szCs w:val="24"/>
          <w:color w:val="auto"/>
        </w:rPr>
      </w:pPr>
    </w:p>
    <w:p>
      <w:pPr>
        <w:jc w:val="center"/>
        <w:spacing w:after="0"/>
        <w:rPr>
          <w:sz w:val="20"/>
          <w:szCs w:val="20"/>
          <w:color w:val="auto"/>
        </w:rPr>
      </w:pPr>
      <w:r>
        <w:rPr>
          <w:rFonts w:ascii="Arial" w:cs="Arial" w:eastAsia="Arial" w:hAnsi="Arial"/>
          <w:sz w:val="25"/>
          <w:szCs w:val="25"/>
          <w:b w:val="1"/>
          <w:bCs w:val="1"/>
          <w:u w:val="single" w:color="auto"/>
          <w:color w:val="auto"/>
        </w:rPr>
        <w:t>MARKER THERAPEUTICS, INC.</w:t>
      </w:r>
    </w:p>
    <w:p>
      <w:pPr>
        <w:spacing w:after="0" w:line="34"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192" w:lineRule="exact"/>
        <w:rPr>
          <w:sz w:val="24"/>
          <w:szCs w:val="24"/>
          <w:color w:val="auto"/>
        </w:rPr>
      </w:pPr>
    </w:p>
    <w:tbl>
      <w:tblPr>
        <w:tblLayout w:type="fixed"/>
        <w:tblInd w:w="280" w:type="dxa"/>
        <w:tblCellMar>
          <w:top w:w="0" w:type="dxa"/>
          <w:left w:w="0" w:type="dxa"/>
          <w:bottom w:w="0" w:type="dxa"/>
          <w:right w:w="0" w:type="dxa"/>
        </w:tblCellMar>
      </w:tblPr>
      <w:tr>
        <w:trPr>
          <w:trHeight w:val="207"/>
        </w:trPr>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120" w:type="dxa"/>
            <w:vAlign w:val="bottom"/>
            <w:gridSpan w:val="3"/>
          </w:tcPr>
          <w:p>
            <w:pPr>
              <w:jc w:val="center"/>
              <w:ind w:right="1400"/>
              <w:spacing w:after="0"/>
              <w:rPr>
                <w:sz w:val="20"/>
                <w:szCs w:val="20"/>
                <w:color w:val="auto"/>
              </w:rPr>
            </w:pPr>
            <w:r>
              <w:rPr>
                <w:rFonts w:ascii="Arial" w:cs="Arial" w:eastAsia="Arial" w:hAnsi="Arial"/>
                <w:sz w:val="18"/>
                <w:szCs w:val="18"/>
                <w:b w:val="1"/>
                <w:bCs w:val="1"/>
                <w:color w:val="auto"/>
                <w:w w:val="91"/>
              </w:rPr>
              <w:t>Delaware</w:t>
            </w:r>
          </w:p>
        </w:tc>
        <w:tc>
          <w:tcPr>
            <w:tcW w:w="4200" w:type="dxa"/>
            <w:vAlign w:val="bottom"/>
            <w:gridSpan w:val="3"/>
          </w:tcPr>
          <w:p>
            <w:pPr>
              <w:jc w:val="center"/>
              <w:ind w:right="180"/>
              <w:spacing w:after="0"/>
              <w:rPr>
                <w:sz w:val="20"/>
                <w:szCs w:val="20"/>
                <w:color w:val="auto"/>
              </w:rPr>
            </w:pPr>
            <w:r>
              <w:rPr>
                <w:rFonts w:ascii="Arial" w:cs="Arial" w:eastAsia="Arial" w:hAnsi="Arial"/>
                <w:sz w:val="18"/>
                <w:szCs w:val="18"/>
                <w:b w:val="1"/>
                <w:bCs w:val="1"/>
                <w:color w:val="auto"/>
                <w:w w:val="90"/>
              </w:rPr>
              <w:t>001-37939</w:t>
            </w:r>
          </w:p>
        </w:tc>
        <w:tc>
          <w:tcPr>
            <w:tcW w:w="2800" w:type="dxa"/>
            <w:vAlign w:val="bottom"/>
            <w:gridSpan w:val="5"/>
          </w:tcPr>
          <w:p>
            <w:pPr>
              <w:jc w:val="right"/>
              <w:ind w:right="800"/>
              <w:spacing w:after="0"/>
              <w:rPr>
                <w:sz w:val="20"/>
                <w:szCs w:val="20"/>
                <w:color w:val="auto"/>
              </w:rPr>
            </w:pPr>
            <w:r>
              <w:rPr>
                <w:rFonts w:ascii="Arial" w:cs="Arial" w:eastAsia="Arial" w:hAnsi="Arial"/>
                <w:sz w:val="18"/>
                <w:szCs w:val="18"/>
                <w:b w:val="1"/>
                <w:bCs w:val="1"/>
                <w:color w:val="auto"/>
              </w:rPr>
              <w:t>45-4497941</w:t>
            </w:r>
          </w:p>
        </w:tc>
      </w:tr>
      <w:tr>
        <w:trPr>
          <w:trHeight w:val="20"/>
        </w:trPr>
        <w:tc>
          <w:tcPr>
            <w:tcW w:w="10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r>
      <w:tr>
        <w:trPr>
          <w:trHeight w:val="237"/>
        </w:trPr>
        <w:tc>
          <w:tcPr>
            <w:tcW w:w="3340" w:type="dxa"/>
            <w:vAlign w:val="bottom"/>
            <w:gridSpan w:val="5"/>
          </w:tcPr>
          <w:p>
            <w:pPr>
              <w:jc w:val="center"/>
              <w:ind w:right="180"/>
              <w:spacing w:after="0"/>
              <w:rPr>
                <w:sz w:val="20"/>
                <w:szCs w:val="20"/>
                <w:color w:val="auto"/>
              </w:rPr>
            </w:pPr>
            <w:r>
              <w:rPr>
                <w:rFonts w:ascii="Arial" w:cs="Arial" w:eastAsia="Arial" w:hAnsi="Arial"/>
                <w:sz w:val="18"/>
                <w:szCs w:val="18"/>
                <w:color w:val="auto"/>
                <w:w w:val="92"/>
              </w:rPr>
              <w:t>(State or other jurisdiction of incorporation)</w:t>
            </w:r>
          </w:p>
        </w:tc>
        <w:tc>
          <w:tcPr>
            <w:tcW w:w="4200" w:type="dxa"/>
            <w:vAlign w:val="bottom"/>
            <w:gridSpan w:val="3"/>
          </w:tcPr>
          <w:p>
            <w:pPr>
              <w:jc w:val="center"/>
              <w:ind w:right="180"/>
              <w:spacing w:after="0"/>
              <w:rPr>
                <w:sz w:val="20"/>
                <w:szCs w:val="20"/>
                <w:color w:val="auto"/>
              </w:rPr>
            </w:pPr>
            <w:r>
              <w:rPr>
                <w:rFonts w:ascii="Arial" w:cs="Arial" w:eastAsia="Arial" w:hAnsi="Arial"/>
                <w:sz w:val="18"/>
                <w:szCs w:val="18"/>
                <w:color w:val="auto"/>
                <w:w w:val="92"/>
              </w:rPr>
              <w:t>(Commission File Number)</w:t>
            </w:r>
          </w:p>
        </w:tc>
        <w:tc>
          <w:tcPr>
            <w:tcW w:w="2800" w:type="dxa"/>
            <w:vAlign w:val="bottom"/>
            <w:gridSpan w:val="5"/>
          </w:tcPr>
          <w:p>
            <w:pPr>
              <w:jc w:val="center"/>
              <w:ind w:left="250"/>
              <w:spacing w:after="0"/>
              <w:rPr>
                <w:sz w:val="20"/>
                <w:szCs w:val="20"/>
                <w:color w:val="auto"/>
              </w:rPr>
            </w:pPr>
            <w:r>
              <w:rPr>
                <w:rFonts w:ascii="Arial" w:cs="Arial" w:eastAsia="Arial" w:hAnsi="Arial"/>
                <w:sz w:val="18"/>
                <w:szCs w:val="18"/>
                <w:color w:val="auto"/>
                <w:w w:val="93"/>
              </w:rPr>
              <w:t>(IRS Employer Identification No.)</w:t>
            </w:r>
          </w:p>
        </w:tc>
      </w:tr>
      <w:tr>
        <w:trPr>
          <w:trHeight w:val="414"/>
        </w:trPr>
        <w:tc>
          <w:tcPr>
            <w:tcW w:w="3340" w:type="dxa"/>
            <w:vAlign w:val="bottom"/>
            <w:gridSpan w:val="5"/>
          </w:tcPr>
          <w:p>
            <w:pPr>
              <w:jc w:val="center"/>
              <w:ind w:right="160"/>
              <w:spacing w:after="0"/>
              <w:rPr>
                <w:sz w:val="20"/>
                <w:szCs w:val="20"/>
                <w:color w:val="auto"/>
              </w:rPr>
            </w:pPr>
            <w:r>
              <w:rPr>
                <w:rFonts w:ascii="Arial" w:cs="Arial" w:eastAsia="Arial" w:hAnsi="Arial"/>
                <w:sz w:val="18"/>
                <w:szCs w:val="18"/>
                <w:b w:val="1"/>
                <w:bCs w:val="1"/>
                <w:color w:val="auto"/>
                <w:w w:val="90"/>
              </w:rPr>
              <w:t>4551 Kennedy Commerce Dr.</w:t>
            </w:r>
          </w:p>
        </w:tc>
        <w:tc>
          <w:tcPr>
            <w:tcW w:w="16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194"/>
        </w:trPr>
        <w:tc>
          <w:tcPr>
            <w:tcW w:w="1000" w:type="dxa"/>
            <w:vAlign w:val="bottom"/>
          </w:tcPr>
          <w:p>
            <w:pPr>
              <w:spacing w:after="0"/>
              <w:rPr>
                <w:sz w:val="16"/>
                <w:szCs w:val="16"/>
                <w:color w:val="auto"/>
              </w:rPr>
            </w:pPr>
          </w:p>
        </w:tc>
        <w:tc>
          <w:tcPr>
            <w:tcW w:w="1180" w:type="dxa"/>
            <w:vAlign w:val="bottom"/>
            <w:tcBorders>
              <w:bottom w:val="single" w:sz="8" w:color="auto"/>
            </w:tcBorders>
            <w:gridSpan w:val="3"/>
          </w:tcPr>
          <w:p>
            <w:pPr>
              <w:jc w:val="center"/>
              <w:spacing w:after="0" w:line="174" w:lineRule="exact"/>
              <w:rPr>
                <w:sz w:val="20"/>
                <w:szCs w:val="20"/>
                <w:color w:val="auto"/>
              </w:rPr>
            </w:pPr>
            <w:r>
              <w:rPr>
                <w:rFonts w:ascii="Arial" w:cs="Arial" w:eastAsia="Arial" w:hAnsi="Arial"/>
                <w:sz w:val="18"/>
                <w:szCs w:val="18"/>
                <w:b w:val="1"/>
                <w:bCs w:val="1"/>
                <w:color w:val="auto"/>
                <w:w w:val="88"/>
              </w:rPr>
              <w:t>Houston, Texas</w:t>
            </w:r>
          </w:p>
        </w:tc>
        <w:tc>
          <w:tcPr>
            <w:tcW w:w="1160" w:type="dxa"/>
            <w:vAlign w:val="bottom"/>
          </w:tcPr>
          <w:p>
            <w:pPr>
              <w:spacing w:after="0"/>
              <w:rPr>
                <w:sz w:val="16"/>
                <w:szCs w:val="16"/>
                <w:color w:val="auto"/>
              </w:rPr>
            </w:pPr>
          </w:p>
        </w:tc>
        <w:tc>
          <w:tcPr>
            <w:tcW w:w="16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800" w:type="dxa"/>
            <w:vAlign w:val="bottom"/>
          </w:tcPr>
          <w:p>
            <w:pPr>
              <w:spacing w:after="0"/>
              <w:rPr>
                <w:sz w:val="16"/>
                <w:szCs w:val="16"/>
                <w:color w:val="auto"/>
              </w:rPr>
            </w:pPr>
          </w:p>
        </w:tc>
        <w:tc>
          <w:tcPr>
            <w:tcW w:w="2000" w:type="dxa"/>
            <w:vAlign w:val="bottom"/>
            <w:gridSpan w:val="4"/>
          </w:tcPr>
          <w:p>
            <w:pPr>
              <w:jc w:val="right"/>
              <w:ind w:right="200"/>
              <w:spacing w:after="0" w:line="188" w:lineRule="exact"/>
              <w:rPr>
                <w:sz w:val="20"/>
                <w:szCs w:val="20"/>
                <w:color w:val="auto"/>
              </w:rPr>
            </w:pPr>
            <w:r>
              <w:rPr>
                <w:rFonts w:ascii="Arial" w:cs="Arial" w:eastAsia="Arial" w:hAnsi="Arial"/>
                <w:sz w:val="18"/>
                <w:szCs w:val="18"/>
                <w:b w:val="1"/>
                <w:bCs w:val="1"/>
                <w:color w:val="auto"/>
              </w:rPr>
              <w:t>77027</w:t>
            </w:r>
          </w:p>
        </w:tc>
        <w:tc>
          <w:tcPr>
            <w:tcW w:w="800" w:type="dxa"/>
            <w:vAlign w:val="bottom"/>
          </w:tcPr>
          <w:p>
            <w:pPr>
              <w:spacing w:after="0"/>
              <w:rPr>
                <w:sz w:val="16"/>
                <w:szCs w:val="16"/>
                <w:color w:val="auto"/>
              </w:rPr>
            </w:pPr>
          </w:p>
        </w:tc>
      </w:tr>
      <w:tr>
        <w:trPr>
          <w:trHeight w:val="20"/>
        </w:trPr>
        <w:tc>
          <w:tcPr>
            <w:tcW w:w="3340" w:type="dxa"/>
            <w:vAlign w:val="bottom"/>
            <w:gridSpan w:val="5"/>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r>
      <w:tr>
        <w:trPr>
          <w:trHeight w:val="224"/>
        </w:trPr>
        <w:tc>
          <w:tcPr>
            <w:tcW w:w="3340" w:type="dxa"/>
            <w:vAlign w:val="bottom"/>
            <w:gridSpan w:val="5"/>
          </w:tcPr>
          <w:p>
            <w:pPr>
              <w:jc w:val="center"/>
              <w:ind w:right="160"/>
              <w:spacing w:after="0"/>
              <w:rPr>
                <w:sz w:val="20"/>
                <w:szCs w:val="20"/>
                <w:color w:val="auto"/>
              </w:rPr>
            </w:pPr>
            <w:r>
              <w:rPr>
                <w:rFonts w:ascii="Arial" w:cs="Arial" w:eastAsia="Arial" w:hAnsi="Arial"/>
                <w:sz w:val="18"/>
                <w:szCs w:val="18"/>
                <w:color w:val="auto"/>
                <w:w w:val="92"/>
              </w:rPr>
              <w:t>(Address of principal executive offices)</w:t>
            </w:r>
          </w:p>
        </w:tc>
        <w:tc>
          <w:tcPr>
            <w:tcW w:w="16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8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660" w:type="dxa"/>
            <w:vAlign w:val="bottom"/>
            <w:gridSpan w:val="4"/>
          </w:tcPr>
          <w:p>
            <w:pPr>
              <w:jc w:val="center"/>
              <w:ind w:right="800"/>
              <w:spacing w:after="0"/>
              <w:rPr>
                <w:sz w:val="20"/>
                <w:szCs w:val="20"/>
                <w:color w:val="auto"/>
              </w:rPr>
            </w:pPr>
            <w:r>
              <w:rPr>
                <w:rFonts w:ascii="Arial" w:cs="Arial" w:eastAsia="Arial" w:hAnsi="Arial"/>
                <w:sz w:val="18"/>
                <w:szCs w:val="18"/>
                <w:color w:val="auto"/>
                <w:w w:val="91"/>
              </w:rPr>
              <w:t>(Zip Code)</w:t>
            </w:r>
          </w:p>
        </w:tc>
      </w:tr>
      <w:tr>
        <w:trPr>
          <w:trHeight w:val="418"/>
        </w:trPr>
        <w:tc>
          <w:tcPr>
            <w:tcW w:w="1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4200" w:type="dxa"/>
            <w:vAlign w:val="bottom"/>
            <w:gridSpan w:val="3"/>
          </w:tcPr>
          <w:p>
            <w:pPr>
              <w:jc w:val="center"/>
              <w:ind w:right="200"/>
              <w:spacing w:after="0"/>
              <w:rPr>
                <w:sz w:val="20"/>
                <w:szCs w:val="20"/>
                <w:color w:val="auto"/>
              </w:rPr>
            </w:pPr>
            <w:r>
              <w:rPr>
                <w:rFonts w:ascii="Arial" w:cs="Arial" w:eastAsia="Arial" w:hAnsi="Arial"/>
                <w:sz w:val="18"/>
                <w:szCs w:val="18"/>
                <w:b w:val="1"/>
                <w:bCs w:val="1"/>
                <w:color w:val="auto"/>
                <w:w w:val="90"/>
              </w:rPr>
              <w:t>(713) 400-6400</w:t>
            </w:r>
          </w:p>
        </w:tc>
        <w:tc>
          <w:tcPr>
            <w:tcW w:w="1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230"/>
        </w:trPr>
        <w:tc>
          <w:tcPr>
            <w:tcW w:w="10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4200" w:type="dxa"/>
            <w:vAlign w:val="bottom"/>
            <w:gridSpan w:val="3"/>
          </w:tcPr>
          <w:p>
            <w:pPr>
              <w:jc w:val="center"/>
              <w:ind w:right="200"/>
              <w:spacing w:after="0"/>
              <w:rPr>
                <w:sz w:val="20"/>
                <w:szCs w:val="20"/>
                <w:color w:val="auto"/>
              </w:rPr>
            </w:pPr>
            <w:r>
              <w:rPr>
                <w:rFonts w:ascii="Arial" w:cs="Arial" w:eastAsia="Arial" w:hAnsi="Arial"/>
                <w:sz w:val="18"/>
                <w:szCs w:val="18"/>
                <w:color w:val="auto"/>
                <w:w w:val="89"/>
              </w:rPr>
              <w:t>Registrant’s telephone number, including area code</w:t>
            </w:r>
          </w:p>
        </w:tc>
        <w:tc>
          <w:tcPr>
            <w:tcW w:w="1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0" w:type="dxa"/>
            <w:vAlign w:val="bottom"/>
          </w:tcPr>
          <w:p>
            <w:pPr>
              <w:spacing w:after="0"/>
              <w:rPr>
                <w:sz w:val="20"/>
                <w:szCs w:val="20"/>
                <w:color w:val="auto"/>
              </w:rPr>
            </w:pPr>
          </w:p>
        </w:tc>
      </w:tr>
    </w:tbl>
    <w:p>
      <w:pPr>
        <w:spacing w:after="0" w:line="198" w:lineRule="exact"/>
        <w:rPr>
          <w:sz w:val="24"/>
          <w:szCs w:val="24"/>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N/A</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11" w:lineRule="exact"/>
        <w:rPr>
          <w:sz w:val="24"/>
          <w:szCs w:val="24"/>
          <w:color w:val="auto"/>
        </w:rPr>
      </w:pPr>
    </w:p>
    <w:p>
      <w:pPr>
        <w:ind w:right="380"/>
        <w:spacing w:after="0" w:line="277" w:lineRule="auto"/>
        <w:rPr>
          <w:sz w:val="20"/>
          <w:szCs w:val="20"/>
          <w:color w:val="auto"/>
        </w:rPr>
      </w:pPr>
      <w:r>
        <w:rPr>
          <w:rFonts w:ascii="Arial" w:cs="Arial" w:eastAsia="Arial" w:hAnsi="Arial"/>
          <w:sz w:val="18"/>
          <w:szCs w:val="18"/>
          <w:color w:val="auto"/>
        </w:rPr>
        <w:t>Check the appropriate box below if the Form 8-K is intended to simultaneously satisfy the filing obligation of the registrant under any of the following provisions:</w:t>
      </w:r>
    </w:p>
    <w:p>
      <w:pPr>
        <w:spacing w:after="0" w:line="170" w:lineRule="exact"/>
        <w:rPr>
          <w:sz w:val="24"/>
          <w:szCs w:val="24"/>
          <w:color w:val="auto"/>
        </w:rPr>
      </w:pPr>
    </w:p>
    <w:p>
      <w:pPr>
        <w:ind w:left="660" w:hanging="652"/>
        <w:spacing w:after="0"/>
        <w:tabs>
          <w:tab w:leader="none" w:pos="6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5" w:lineRule="exact"/>
        <w:rPr>
          <w:rFonts w:ascii="MS PGothic" w:cs="MS PGothic" w:eastAsia="MS PGothic" w:hAnsi="MS PGothic"/>
          <w:sz w:val="18"/>
          <w:szCs w:val="18"/>
          <w:color w:val="auto"/>
        </w:rPr>
      </w:pPr>
    </w:p>
    <w:p>
      <w:pPr>
        <w:ind w:left="660" w:hanging="652"/>
        <w:spacing w:after="0"/>
        <w:tabs>
          <w:tab w:leader="none" w:pos="6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9" w:lineRule="exact"/>
        <w:rPr>
          <w:rFonts w:ascii="MS PGothic" w:cs="MS PGothic" w:eastAsia="MS PGothic" w:hAnsi="MS PGothic"/>
          <w:sz w:val="18"/>
          <w:szCs w:val="18"/>
          <w:color w:val="auto"/>
        </w:rPr>
      </w:pPr>
    </w:p>
    <w:p>
      <w:pPr>
        <w:ind w:left="660" w:hanging="652"/>
        <w:spacing w:after="0"/>
        <w:tabs>
          <w:tab w:leader="none" w:pos="6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9" w:lineRule="exact"/>
        <w:rPr>
          <w:rFonts w:ascii="MS PGothic" w:cs="MS PGothic" w:eastAsia="MS PGothic" w:hAnsi="MS PGothic"/>
          <w:sz w:val="18"/>
          <w:szCs w:val="18"/>
          <w:color w:val="auto"/>
        </w:rPr>
      </w:pPr>
    </w:p>
    <w:p>
      <w:pPr>
        <w:ind w:left="660" w:hanging="652"/>
        <w:spacing w:after="0"/>
        <w:tabs>
          <w:tab w:leader="none" w:pos="6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9" w:lineRule="exact"/>
        <w:rPr>
          <w:sz w:val="24"/>
          <w:szCs w:val="24"/>
          <w:color w:val="auto"/>
        </w:rPr>
      </w:pPr>
    </w:p>
    <w:tbl>
      <w:tblPr>
        <w:tblLayout w:type="fixed"/>
        <w:tblInd w:w="0" w:type="dxa"/>
        <w:tblCellMar>
          <w:top w:w="0" w:type="dxa"/>
          <w:left w:w="0" w:type="dxa"/>
          <w:bottom w:w="0" w:type="dxa"/>
          <w:right w:w="0" w:type="dxa"/>
        </w:tblCellMar>
      </w:tblPr>
      <w:tr>
        <w:trPr>
          <w:trHeight w:val="230"/>
        </w:trPr>
        <w:tc>
          <w:tcPr>
            <w:tcW w:w="4700" w:type="dxa"/>
            <w:vAlign w:val="bottom"/>
          </w:tcPr>
          <w:p>
            <w:pPr>
              <w:spacing w:after="0"/>
              <w:rPr>
                <w:sz w:val="20"/>
                <w:szCs w:val="20"/>
                <w:color w:val="auto"/>
              </w:rPr>
            </w:pPr>
            <w:r>
              <w:rPr>
                <w:rFonts w:ascii="Arial" w:cs="Arial" w:eastAsia="Arial" w:hAnsi="Arial"/>
                <w:sz w:val="18"/>
                <w:szCs w:val="18"/>
                <w:color w:val="auto"/>
              </w:rPr>
              <w:t>Securities registered pursuant to Section 12(b) of the Act:</w:t>
            </w:r>
          </w:p>
        </w:tc>
        <w:tc>
          <w:tcPr>
            <w:tcW w:w="2240" w:type="dxa"/>
            <w:vAlign w:val="bottom"/>
          </w:tcPr>
          <w:p>
            <w:pPr>
              <w:spacing w:after="0"/>
              <w:rPr>
                <w:sz w:val="20"/>
                <w:szCs w:val="20"/>
                <w:color w:val="auto"/>
              </w:rPr>
            </w:pPr>
          </w:p>
        </w:tc>
        <w:tc>
          <w:tcPr>
            <w:tcW w:w="4300" w:type="dxa"/>
            <w:vAlign w:val="bottom"/>
          </w:tcPr>
          <w:p>
            <w:pPr>
              <w:spacing w:after="0"/>
              <w:rPr>
                <w:sz w:val="20"/>
                <w:szCs w:val="20"/>
                <w:color w:val="auto"/>
              </w:rPr>
            </w:pPr>
          </w:p>
        </w:tc>
      </w:tr>
      <w:tr>
        <w:trPr>
          <w:trHeight w:val="418"/>
        </w:trPr>
        <w:tc>
          <w:tcPr>
            <w:tcW w:w="4700" w:type="dxa"/>
            <w:vAlign w:val="bottom"/>
          </w:tcPr>
          <w:p>
            <w:pPr>
              <w:spacing w:after="0"/>
              <w:rPr>
                <w:sz w:val="24"/>
                <w:szCs w:val="24"/>
                <w:color w:val="auto"/>
              </w:rPr>
            </w:pPr>
          </w:p>
        </w:tc>
        <w:tc>
          <w:tcPr>
            <w:tcW w:w="2240" w:type="dxa"/>
            <w:vAlign w:val="bottom"/>
          </w:tcPr>
          <w:p>
            <w:pPr>
              <w:jc w:val="center"/>
              <w:ind w:right="270"/>
              <w:spacing w:after="0"/>
              <w:rPr>
                <w:sz w:val="20"/>
                <w:szCs w:val="20"/>
                <w:color w:val="auto"/>
              </w:rPr>
            </w:pPr>
            <w:r>
              <w:rPr>
                <w:rFonts w:ascii="Arial" w:cs="Arial" w:eastAsia="Arial" w:hAnsi="Arial"/>
                <w:sz w:val="18"/>
                <w:szCs w:val="18"/>
                <w:color w:val="auto"/>
                <w:w w:val="91"/>
              </w:rPr>
              <w:t>Trading</w:t>
            </w:r>
          </w:p>
        </w:tc>
        <w:tc>
          <w:tcPr>
            <w:tcW w:w="4300" w:type="dxa"/>
            <w:vAlign w:val="bottom"/>
          </w:tcPr>
          <w:p>
            <w:pPr>
              <w:spacing w:after="0"/>
              <w:rPr>
                <w:sz w:val="24"/>
                <w:szCs w:val="24"/>
                <w:color w:val="auto"/>
              </w:rPr>
            </w:pPr>
          </w:p>
        </w:tc>
      </w:tr>
      <w:tr>
        <w:trPr>
          <w:trHeight w:val="230"/>
        </w:trPr>
        <w:tc>
          <w:tcPr>
            <w:tcW w:w="4700" w:type="dxa"/>
            <w:vAlign w:val="bottom"/>
            <w:tcBorders>
              <w:bottom w:val="single" w:sz="8" w:color="auto"/>
            </w:tcBorders>
          </w:tcPr>
          <w:p>
            <w:pPr>
              <w:jc w:val="center"/>
              <w:ind w:right="990"/>
              <w:spacing w:after="0"/>
              <w:rPr>
                <w:sz w:val="20"/>
                <w:szCs w:val="20"/>
                <w:color w:val="auto"/>
              </w:rPr>
            </w:pPr>
            <w:r>
              <w:rPr>
                <w:rFonts w:ascii="Arial" w:cs="Arial" w:eastAsia="Arial" w:hAnsi="Arial"/>
                <w:sz w:val="18"/>
                <w:szCs w:val="18"/>
                <w:color w:val="auto"/>
                <w:w w:val="90"/>
              </w:rPr>
              <w:t>Title of each class</w:t>
            </w:r>
          </w:p>
        </w:tc>
        <w:tc>
          <w:tcPr>
            <w:tcW w:w="2240" w:type="dxa"/>
            <w:vAlign w:val="bottom"/>
            <w:tcBorders>
              <w:bottom w:val="single" w:sz="8" w:color="auto"/>
            </w:tcBorders>
          </w:tcPr>
          <w:p>
            <w:pPr>
              <w:jc w:val="center"/>
              <w:ind w:right="270"/>
              <w:spacing w:after="0"/>
              <w:rPr>
                <w:sz w:val="20"/>
                <w:szCs w:val="20"/>
                <w:color w:val="auto"/>
              </w:rPr>
            </w:pPr>
            <w:r>
              <w:rPr>
                <w:rFonts w:ascii="Arial" w:cs="Arial" w:eastAsia="Arial" w:hAnsi="Arial"/>
                <w:sz w:val="18"/>
                <w:szCs w:val="18"/>
                <w:color w:val="auto"/>
                <w:w w:val="93"/>
              </w:rPr>
              <w:t>Symbol(s)</w:t>
            </w:r>
          </w:p>
        </w:tc>
        <w:tc>
          <w:tcPr>
            <w:tcW w:w="4300" w:type="dxa"/>
            <w:vAlign w:val="bottom"/>
            <w:tcBorders>
              <w:bottom w:val="single" w:sz="8" w:color="auto"/>
            </w:tcBorders>
          </w:tcPr>
          <w:p>
            <w:pPr>
              <w:jc w:val="center"/>
              <w:ind w:left="630"/>
              <w:spacing w:after="0"/>
              <w:rPr>
                <w:sz w:val="20"/>
                <w:szCs w:val="20"/>
                <w:color w:val="auto"/>
              </w:rPr>
            </w:pPr>
            <w:r>
              <w:rPr>
                <w:rFonts w:ascii="Arial" w:cs="Arial" w:eastAsia="Arial" w:hAnsi="Arial"/>
                <w:sz w:val="18"/>
                <w:szCs w:val="18"/>
                <w:color w:val="auto"/>
                <w:w w:val="89"/>
              </w:rPr>
              <w:t>Name of each exchange on which registered</w:t>
            </w:r>
          </w:p>
        </w:tc>
      </w:tr>
      <w:tr>
        <w:trPr>
          <w:trHeight w:val="224"/>
        </w:trPr>
        <w:tc>
          <w:tcPr>
            <w:tcW w:w="4700" w:type="dxa"/>
            <w:vAlign w:val="bottom"/>
          </w:tcPr>
          <w:p>
            <w:pPr>
              <w:jc w:val="center"/>
              <w:ind w:right="990"/>
              <w:spacing w:after="0"/>
              <w:rPr>
                <w:sz w:val="20"/>
                <w:szCs w:val="20"/>
                <w:color w:val="auto"/>
              </w:rPr>
            </w:pPr>
            <w:r>
              <w:rPr>
                <w:rFonts w:ascii="Arial" w:cs="Arial" w:eastAsia="Arial" w:hAnsi="Arial"/>
                <w:sz w:val="18"/>
                <w:szCs w:val="18"/>
                <w:color w:val="auto"/>
                <w:w w:val="89"/>
              </w:rPr>
              <w:t>Common Stock, par value $0.001 per share</w:t>
            </w:r>
          </w:p>
        </w:tc>
        <w:tc>
          <w:tcPr>
            <w:tcW w:w="2240" w:type="dxa"/>
            <w:vAlign w:val="bottom"/>
          </w:tcPr>
          <w:p>
            <w:pPr>
              <w:jc w:val="center"/>
              <w:ind w:right="270"/>
              <w:spacing w:after="0"/>
              <w:rPr>
                <w:sz w:val="20"/>
                <w:szCs w:val="20"/>
                <w:color w:val="auto"/>
              </w:rPr>
            </w:pPr>
            <w:r>
              <w:rPr>
                <w:rFonts w:ascii="Arial" w:cs="Arial" w:eastAsia="Arial" w:hAnsi="Arial"/>
                <w:sz w:val="18"/>
                <w:szCs w:val="18"/>
                <w:color w:val="auto"/>
                <w:w w:val="98"/>
              </w:rPr>
              <w:t>MRKR</w:t>
            </w:r>
          </w:p>
        </w:tc>
        <w:tc>
          <w:tcPr>
            <w:tcW w:w="4300" w:type="dxa"/>
            <w:vAlign w:val="bottom"/>
          </w:tcPr>
          <w:p>
            <w:pPr>
              <w:jc w:val="center"/>
              <w:ind w:left="630"/>
              <w:spacing w:after="0"/>
              <w:rPr>
                <w:sz w:val="20"/>
                <w:szCs w:val="20"/>
                <w:color w:val="auto"/>
              </w:rPr>
            </w:pPr>
            <w:r>
              <w:rPr>
                <w:rFonts w:ascii="Arial" w:cs="Arial" w:eastAsia="Arial" w:hAnsi="Arial"/>
                <w:sz w:val="18"/>
                <w:szCs w:val="18"/>
                <w:color w:val="auto"/>
                <w:w w:val="91"/>
              </w:rPr>
              <w:t>The Nasdaq Stock Market LLC</w:t>
            </w:r>
          </w:p>
        </w:tc>
      </w:tr>
    </w:tbl>
    <w:p>
      <w:pPr>
        <w:spacing w:after="0" w:line="187" w:lineRule="exact"/>
        <w:rPr>
          <w:sz w:val="24"/>
          <w:szCs w:val="24"/>
          <w:color w:val="auto"/>
        </w:rPr>
      </w:pPr>
    </w:p>
    <w:p>
      <w:pPr>
        <w:ind w:right="520"/>
        <w:spacing w:after="0" w:line="255"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2" w:lineRule="exact"/>
        <w:rPr>
          <w:sz w:val="24"/>
          <w:szCs w:val="24"/>
          <w:color w:val="auto"/>
        </w:rPr>
      </w:pPr>
    </w:p>
    <w:p>
      <w:pPr>
        <w:ind w:left="8420"/>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216" w:lineRule="exact"/>
        <w:rPr>
          <w:sz w:val="24"/>
          <w:szCs w:val="24"/>
          <w:color w:val="auto"/>
        </w:rPr>
      </w:pPr>
    </w:p>
    <w:p>
      <w:pPr>
        <w:ind w:right="16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125095</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150495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596265</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83" w:right="339" w:bottom="1440" w:gutter="0" w:footer="0" w:header="0"/>
        </w:sectPr>
      </w:pPr>
    </w:p>
    <w:bookmarkStart w:id="1" w:name="page2"/>
    <w:bookmarkEnd w:id="1"/>
    <w:p>
      <w:pPr>
        <w:spacing w:after="0"/>
        <w:tabs>
          <w:tab w:leader="none" w:pos="960" w:val="left"/>
        </w:tabs>
        <w:rPr>
          <w:sz w:val="20"/>
          <w:szCs w:val="20"/>
          <w:color w:val="auto"/>
        </w:rPr>
      </w:pPr>
      <w:r>
        <w:rPr>
          <w:rFonts w:ascii="Arial" w:cs="Arial" w:eastAsia="Arial" w:hAnsi="Arial"/>
          <w:sz w:val="18"/>
          <w:szCs w:val="18"/>
          <w:b w:val="1"/>
          <w:bCs w:val="1"/>
          <w:color w:val="auto"/>
        </w:rPr>
        <w:t>Item 1.02</w:t>
      </w:r>
      <w:r>
        <w:rPr>
          <w:sz w:val="20"/>
          <w:szCs w:val="20"/>
          <w:color w:val="auto"/>
        </w:rPr>
        <w:tab/>
      </w:r>
      <w:r>
        <w:rPr>
          <w:rFonts w:ascii="Arial" w:cs="Arial" w:eastAsia="Arial" w:hAnsi="Arial"/>
          <w:sz w:val="16"/>
          <w:szCs w:val="16"/>
          <w:b w:val="1"/>
          <w:bCs w:val="1"/>
          <w:color w:val="auto"/>
        </w:rPr>
        <w:t>Termination of a Material Definitive Agreement</w:t>
      </w:r>
    </w:p>
    <w:p>
      <w:pPr>
        <w:spacing w:after="0" w:line="229" w:lineRule="exact"/>
        <w:rPr>
          <w:sz w:val="20"/>
          <w:szCs w:val="20"/>
          <w:color w:val="auto"/>
        </w:rPr>
      </w:pPr>
    </w:p>
    <w:p>
      <w:pPr>
        <w:ind w:right="60" w:firstLine="648"/>
        <w:spacing w:after="0" w:line="290" w:lineRule="auto"/>
        <w:rPr>
          <w:sz w:val="20"/>
          <w:szCs w:val="20"/>
          <w:color w:val="auto"/>
        </w:rPr>
      </w:pPr>
      <w:r>
        <w:rPr>
          <w:rFonts w:ascii="Arial" w:cs="Arial" w:eastAsia="Arial" w:hAnsi="Arial"/>
          <w:sz w:val="16"/>
          <w:szCs w:val="16"/>
          <w:color w:val="auto"/>
        </w:rPr>
        <w:t>As previously disclosed, Marker Therapeutics, Inc. (the “</w:t>
      </w:r>
      <w:r>
        <w:rPr>
          <w:rFonts w:ascii="Arial" w:cs="Arial" w:eastAsia="Arial" w:hAnsi="Arial"/>
          <w:sz w:val="16"/>
          <w:szCs w:val="16"/>
          <w:b w:val="1"/>
          <w:bCs w:val="1"/>
          <w:i w:val="1"/>
          <w:iCs w:val="1"/>
          <w:color w:val="auto"/>
        </w:rPr>
        <w:t>Company</w:t>
      </w:r>
      <w:r>
        <w:rPr>
          <w:rFonts w:ascii="Arial" w:cs="Arial" w:eastAsia="Arial" w:hAnsi="Arial"/>
          <w:sz w:val="16"/>
          <w:szCs w:val="16"/>
          <w:color w:val="auto"/>
        </w:rPr>
        <w:t>”) has undertaken a review of its peptide-based immunotherapeutic vaccine programs to determine the future strategy of the programs and the proper allocation of the Company’s resources to best maximize stockholder value. As a result of that review, on October 16, 2022, the Company and Mayo Foundation for Medical Education and Research (“</w:t>
      </w:r>
      <w:r>
        <w:rPr>
          <w:rFonts w:ascii="Arial" w:cs="Arial" w:eastAsia="Arial" w:hAnsi="Arial"/>
          <w:sz w:val="16"/>
          <w:szCs w:val="16"/>
          <w:b w:val="1"/>
          <w:bCs w:val="1"/>
          <w:i w:val="1"/>
          <w:iCs w:val="1"/>
          <w:color w:val="auto"/>
        </w:rPr>
        <w:t>Mayo</w:t>
      </w:r>
      <w:r>
        <w:rPr>
          <w:rFonts w:ascii="Arial" w:cs="Arial" w:eastAsia="Arial" w:hAnsi="Arial"/>
          <w:sz w:val="16"/>
          <w:szCs w:val="16"/>
          <w:color w:val="auto"/>
        </w:rPr>
        <w:t>”, together with the Company, the “</w:t>
      </w:r>
      <w:r>
        <w:rPr>
          <w:rFonts w:ascii="Arial" w:cs="Arial" w:eastAsia="Arial" w:hAnsi="Arial"/>
          <w:sz w:val="16"/>
          <w:szCs w:val="16"/>
          <w:b w:val="1"/>
          <w:bCs w:val="1"/>
          <w:i w:val="1"/>
          <w:iCs w:val="1"/>
          <w:color w:val="auto"/>
        </w:rPr>
        <w:t>Parties</w:t>
      </w:r>
      <w:r>
        <w:rPr>
          <w:rFonts w:ascii="Arial" w:cs="Arial" w:eastAsia="Arial" w:hAnsi="Arial"/>
          <w:sz w:val="16"/>
          <w:szCs w:val="16"/>
          <w:color w:val="auto"/>
        </w:rPr>
        <w:t>”) mutually agreed to terminate the (i) Patent and Know-How License Agreement dated March 25, 2012, the (ii) License and Assignment Agreement dated July 21, 2015, and the (iii) License and Assignment Agreement effective May 4, 2016 (collectively, the “</w:t>
      </w:r>
      <w:r>
        <w:rPr>
          <w:rFonts w:ascii="Arial" w:cs="Arial" w:eastAsia="Arial" w:hAnsi="Arial"/>
          <w:sz w:val="16"/>
          <w:szCs w:val="16"/>
          <w:b w:val="1"/>
          <w:bCs w:val="1"/>
          <w:i w:val="1"/>
          <w:iCs w:val="1"/>
          <w:color w:val="auto"/>
        </w:rPr>
        <w:t>License Agreements</w:t>
      </w:r>
      <w:r>
        <w:rPr>
          <w:rFonts w:ascii="Arial" w:cs="Arial" w:eastAsia="Arial" w:hAnsi="Arial"/>
          <w:sz w:val="16"/>
          <w:szCs w:val="16"/>
          <w:color w:val="auto"/>
        </w:rPr>
        <w:t>”) in accordance with and subject to the terms of those agreements, pursuant to which Mayo granted the Company license grants to patent rights, know-how and materials in each of the License Agreements (as defined therein) that were directed to the peptide-based immunotherapeutic vaccine programs. The termination of the License Agreements (the “</w:t>
      </w:r>
      <w:r>
        <w:rPr>
          <w:rFonts w:ascii="Arial" w:cs="Arial" w:eastAsia="Arial" w:hAnsi="Arial"/>
          <w:sz w:val="16"/>
          <w:szCs w:val="16"/>
          <w:b w:val="1"/>
          <w:bCs w:val="1"/>
          <w:i w:val="1"/>
          <w:iCs w:val="1"/>
          <w:color w:val="auto"/>
        </w:rPr>
        <w:t>License Termination Agreement</w:t>
      </w:r>
      <w:r>
        <w:rPr>
          <w:rFonts w:ascii="Arial" w:cs="Arial" w:eastAsia="Arial" w:hAnsi="Arial"/>
          <w:sz w:val="16"/>
          <w:szCs w:val="16"/>
          <w:color w:val="auto"/>
        </w:rPr>
        <w:t>”) is effective as of October 16, 2022 (the “</w:t>
      </w:r>
      <w:r>
        <w:rPr>
          <w:rFonts w:ascii="Arial" w:cs="Arial" w:eastAsia="Arial" w:hAnsi="Arial"/>
          <w:sz w:val="16"/>
          <w:szCs w:val="16"/>
          <w:b w:val="1"/>
          <w:bCs w:val="1"/>
          <w:i w:val="1"/>
          <w:iCs w:val="1"/>
          <w:color w:val="auto"/>
        </w:rPr>
        <w:t>Termination Date</w:t>
      </w:r>
      <w:r>
        <w:rPr>
          <w:rFonts w:ascii="Arial" w:cs="Arial" w:eastAsia="Arial" w:hAnsi="Arial"/>
          <w:sz w:val="16"/>
          <w:szCs w:val="16"/>
          <w:color w:val="auto"/>
        </w:rPr>
        <w:t>”).</w:t>
      </w:r>
    </w:p>
    <w:p>
      <w:pPr>
        <w:spacing w:after="0" w:line="165" w:lineRule="exact"/>
        <w:rPr>
          <w:sz w:val="20"/>
          <w:szCs w:val="20"/>
          <w:color w:val="auto"/>
        </w:rPr>
      </w:pPr>
    </w:p>
    <w:p>
      <w:pPr>
        <w:ind w:right="60" w:firstLine="648"/>
        <w:spacing w:after="0" w:line="259" w:lineRule="auto"/>
        <w:rPr>
          <w:sz w:val="20"/>
          <w:szCs w:val="20"/>
          <w:color w:val="auto"/>
        </w:rPr>
      </w:pPr>
      <w:r>
        <w:rPr>
          <w:rFonts w:ascii="Arial" w:cs="Arial" w:eastAsia="Arial" w:hAnsi="Arial"/>
          <w:sz w:val="18"/>
          <w:szCs w:val="18"/>
          <w:color w:val="auto"/>
        </w:rPr>
        <w:t>Under the terms of the License Termination Agreement, the License Agreements are of no further force or effect. All license grants under the License Agreements are terminated and all rights therein revert to Mayo. The Parties further agreed that the Company will assign Mayo all of the Investigational New Drug Applications (each, an “</w:t>
      </w:r>
      <w:r>
        <w:rPr>
          <w:rFonts w:ascii="Arial" w:cs="Arial" w:eastAsia="Arial" w:hAnsi="Arial"/>
          <w:sz w:val="18"/>
          <w:szCs w:val="18"/>
          <w:b w:val="1"/>
          <w:bCs w:val="1"/>
          <w:i w:val="1"/>
          <w:iCs w:val="1"/>
          <w:color w:val="auto"/>
        </w:rPr>
        <w:t>IND</w:t>
      </w:r>
      <w:r>
        <w:rPr>
          <w:rFonts w:ascii="Arial" w:cs="Arial" w:eastAsia="Arial" w:hAnsi="Arial"/>
          <w:sz w:val="18"/>
          <w:szCs w:val="18"/>
          <w:color w:val="auto"/>
        </w:rPr>
        <w:t>”) covered under the License Agreements, including any interest in any clinical trials relating to any IND.</w:t>
      </w:r>
    </w:p>
    <w:p>
      <w:pPr>
        <w:spacing w:after="0" w:line="187" w:lineRule="exact"/>
        <w:rPr>
          <w:sz w:val="20"/>
          <w:szCs w:val="20"/>
          <w:color w:val="auto"/>
        </w:rPr>
      </w:pPr>
    </w:p>
    <w:p>
      <w:pPr>
        <w:ind w:right="240" w:firstLine="648"/>
        <w:spacing w:after="0" w:line="277" w:lineRule="auto"/>
        <w:rPr>
          <w:sz w:val="20"/>
          <w:szCs w:val="20"/>
          <w:color w:val="auto"/>
        </w:rPr>
      </w:pPr>
      <w:r>
        <w:rPr>
          <w:rFonts w:ascii="Arial" w:cs="Arial" w:eastAsia="Arial" w:hAnsi="Arial"/>
          <w:sz w:val="18"/>
          <w:szCs w:val="18"/>
          <w:color w:val="auto"/>
        </w:rPr>
        <w:t>The foregoing summary is qualified in its entirety by reference to the License Agreements. The License Agreements were filed as Exhibits 10.5 and 10.6 to the Company’s Annual Report on Form 10-K for the year ended December 31, 2021.</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Pursuant to the requirements of the Securities Exchange Act of 1934, as amended, the Registrant has duly caused this report to be signed on its behalf by the undersigned hereunto duly authorized.</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840" w:type="dxa"/>
            <w:vAlign w:val="bottom"/>
          </w:tcPr>
          <w:p>
            <w:pPr>
              <w:spacing w:after="0"/>
              <w:rPr>
                <w:sz w:val="20"/>
                <w:szCs w:val="20"/>
                <w:color w:val="auto"/>
              </w:rPr>
            </w:pPr>
          </w:p>
        </w:tc>
        <w:tc>
          <w:tcPr>
            <w:tcW w:w="7400" w:type="dxa"/>
            <w:vAlign w:val="bottom"/>
            <w:gridSpan w:val="2"/>
          </w:tcPr>
          <w:p>
            <w:pPr>
              <w:ind w:left="2000"/>
              <w:spacing w:after="0"/>
              <w:rPr>
                <w:sz w:val="20"/>
                <w:szCs w:val="20"/>
                <w:color w:val="auto"/>
              </w:rPr>
            </w:pPr>
            <w:r>
              <w:rPr>
                <w:rFonts w:ascii="Arial" w:cs="Arial" w:eastAsia="Arial" w:hAnsi="Arial"/>
                <w:sz w:val="18"/>
                <w:szCs w:val="18"/>
                <w:b w:val="1"/>
                <w:bCs w:val="1"/>
                <w:color w:val="auto"/>
              </w:rPr>
              <w:t>Marker Therapeutics, Inc.</w:t>
            </w:r>
          </w:p>
        </w:tc>
      </w:tr>
      <w:tr>
        <w:trPr>
          <w:trHeight w:val="432"/>
        </w:trPr>
        <w:tc>
          <w:tcPr>
            <w:tcW w:w="3840" w:type="dxa"/>
            <w:vAlign w:val="bottom"/>
          </w:tcPr>
          <w:p>
            <w:pPr>
              <w:ind w:left="60"/>
              <w:spacing w:after="0"/>
              <w:rPr>
                <w:sz w:val="20"/>
                <w:szCs w:val="20"/>
                <w:color w:val="auto"/>
              </w:rPr>
            </w:pPr>
            <w:r>
              <w:rPr>
                <w:rFonts w:ascii="Arial" w:cs="Arial" w:eastAsia="Arial" w:hAnsi="Arial"/>
                <w:sz w:val="18"/>
                <w:szCs w:val="18"/>
                <w:color w:val="auto"/>
              </w:rPr>
              <w:t>Dated: October 20, 2022</w:t>
            </w:r>
          </w:p>
        </w:tc>
        <w:tc>
          <w:tcPr>
            <w:tcW w:w="7400" w:type="dxa"/>
            <w:vAlign w:val="bottom"/>
            <w:gridSpan w:val="2"/>
          </w:tcPr>
          <w:p>
            <w:pPr>
              <w:ind w:left="2000"/>
              <w:spacing w:after="0"/>
              <w:rPr>
                <w:sz w:val="20"/>
                <w:szCs w:val="20"/>
                <w:color w:val="auto"/>
              </w:rPr>
            </w:pPr>
            <w:r>
              <w:rPr>
                <w:rFonts w:ascii="Arial" w:cs="Arial" w:eastAsia="Arial" w:hAnsi="Arial"/>
                <w:sz w:val="18"/>
                <w:szCs w:val="18"/>
                <w:color w:val="auto"/>
              </w:rPr>
              <w:t>By:   /s/ Peter Hoang</w:t>
            </w:r>
          </w:p>
        </w:tc>
      </w:tr>
      <w:tr>
        <w:trPr>
          <w:trHeight w:val="195"/>
        </w:trPr>
        <w:tc>
          <w:tcPr>
            <w:tcW w:w="3840" w:type="dxa"/>
            <w:vAlign w:val="bottom"/>
          </w:tcPr>
          <w:p>
            <w:pPr>
              <w:spacing w:after="0"/>
              <w:rPr>
                <w:sz w:val="16"/>
                <w:szCs w:val="16"/>
                <w:color w:val="auto"/>
              </w:rPr>
            </w:pPr>
          </w:p>
        </w:tc>
        <w:tc>
          <w:tcPr>
            <w:tcW w:w="2320" w:type="dxa"/>
            <w:vAlign w:val="bottom"/>
          </w:tcPr>
          <w:p>
            <w:pPr>
              <w:spacing w:after="0"/>
              <w:rPr>
                <w:sz w:val="16"/>
                <w:szCs w:val="16"/>
                <w:color w:val="auto"/>
              </w:rPr>
            </w:pPr>
          </w:p>
        </w:tc>
        <w:tc>
          <w:tcPr>
            <w:tcW w:w="5080" w:type="dxa"/>
            <w:vAlign w:val="bottom"/>
            <w:tcBorders>
              <w:top w:val="single" w:sz="8" w:color="auto"/>
            </w:tcBorders>
          </w:tcPr>
          <w:p>
            <w:pPr>
              <w:ind w:left="220"/>
              <w:spacing w:after="0" w:line="195" w:lineRule="exact"/>
              <w:rPr>
                <w:sz w:val="20"/>
                <w:szCs w:val="20"/>
                <w:color w:val="auto"/>
              </w:rPr>
            </w:pPr>
            <w:r>
              <w:rPr>
                <w:rFonts w:ascii="Arial" w:cs="Arial" w:eastAsia="Arial" w:hAnsi="Arial"/>
                <w:sz w:val="18"/>
                <w:szCs w:val="18"/>
                <w:color w:val="auto"/>
              </w:rPr>
              <w:t>Peter Hoang</w:t>
            </w:r>
          </w:p>
        </w:tc>
      </w:tr>
      <w:tr>
        <w:trPr>
          <w:trHeight w:val="230"/>
        </w:trPr>
        <w:tc>
          <w:tcPr>
            <w:tcW w:w="3840" w:type="dxa"/>
            <w:vAlign w:val="bottom"/>
          </w:tcPr>
          <w:p>
            <w:pPr>
              <w:spacing w:after="0"/>
              <w:rPr>
                <w:sz w:val="20"/>
                <w:szCs w:val="20"/>
                <w:color w:val="auto"/>
              </w:rPr>
            </w:pPr>
          </w:p>
        </w:tc>
        <w:tc>
          <w:tcPr>
            <w:tcW w:w="2320" w:type="dxa"/>
            <w:vAlign w:val="bottom"/>
          </w:tcPr>
          <w:p>
            <w:pPr>
              <w:spacing w:after="0"/>
              <w:rPr>
                <w:sz w:val="20"/>
                <w:szCs w:val="20"/>
                <w:color w:val="auto"/>
              </w:rPr>
            </w:pPr>
          </w:p>
        </w:tc>
        <w:tc>
          <w:tcPr>
            <w:tcW w:w="5080" w:type="dxa"/>
            <w:vAlign w:val="bottom"/>
          </w:tcPr>
          <w:p>
            <w:pPr>
              <w:ind w:left="220"/>
              <w:spacing w:after="0"/>
              <w:rPr>
                <w:sz w:val="20"/>
                <w:szCs w:val="20"/>
                <w:color w:val="auto"/>
              </w:rPr>
            </w:pPr>
            <w:r>
              <w:rPr>
                <w:rFonts w:ascii="Arial" w:cs="Arial" w:eastAsia="Arial" w:hAnsi="Arial"/>
                <w:sz w:val="18"/>
                <w:szCs w:val="18"/>
                <w:i w:val="1"/>
                <w:iCs w:val="1"/>
                <w:color w:val="auto"/>
              </w:rPr>
              <w:t>President and Chief Executive Officer</w:t>
            </w:r>
          </w:p>
        </w:tc>
      </w:tr>
      <w:tr>
        <w:trPr>
          <w:trHeight w:val="675"/>
        </w:trPr>
        <w:tc>
          <w:tcPr>
            <w:tcW w:w="3840" w:type="dxa"/>
            <w:vAlign w:val="bottom"/>
            <w:tcBorders>
              <w:bottom w:val="single" w:sz="8" w:color="auto"/>
            </w:tcBorders>
          </w:tcPr>
          <w:p>
            <w:pPr>
              <w:spacing w:after="0"/>
              <w:rPr>
                <w:sz w:val="24"/>
                <w:szCs w:val="24"/>
                <w:color w:val="auto"/>
              </w:rPr>
            </w:pPr>
          </w:p>
        </w:tc>
        <w:tc>
          <w:tcPr>
            <w:tcW w:w="2320" w:type="dxa"/>
            <w:vAlign w:val="bottom"/>
            <w:tcBorders>
              <w:bottom w:val="single" w:sz="8" w:color="auto"/>
            </w:tcBorders>
          </w:tcPr>
          <w:p>
            <w:pPr>
              <w:spacing w:after="0"/>
              <w:rPr>
                <w:sz w:val="24"/>
                <w:szCs w:val="24"/>
                <w:color w:val="auto"/>
              </w:rPr>
            </w:pPr>
          </w:p>
        </w:tc>
        <w:tc>
          <w:tcPr>
            <w:tcW w:w="5080" w:type="dxa"/>
            <w:vAlign w:val="bottom"/>
            <w:tcBorders>
              <w:bottom w:val="single" w:sz="8" w:color="auto"/>
            </w:tcBorders>
          </w:tcPr>
          <w:p>
            <w:pPr>
              <w:spacing w:after="0"/>
              <w:rPr>
                <w:sz w:val="24"/>
                <w:szCs w:val="24"/>
                <w:color w:val="auto"/>
              </w:rPr>
            </w:pPr>
          </w:p>
        </w:tc>
      </w:tr>
    </w:tbl>
    <w:p>
      <w:pPr>
        <w:spacing w:after="0" w:line="1" w:lineRule="exact"/>
        <w:rPr>
          <w:sz w:val="20"/>
          <w:szCs w:val="20"/>
          <w:color w:val="auto"/>
        </w:rPr>
      </w:pPr>
    </w:p>
    <w:sectPr>
      <w:pgSz w:w="11900" w:h="16838" w:orient="portrait"/>
      <w:cols w:equalWidth="0" w:num="1">
        <w:col w:w="11240"/>
      </w:cols>
      <w:pgMar w:left="320" w:top="904"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2022-10-20T15:44:54Z</dcterms:created>
  <dcterms:modified xsi:type="dcterms:W3CDTF">2022-10-20T15:44:54Z</dcterms:modified>
</cp:coreProperties>
</file>