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13D/A</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12)*</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November 09,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8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134" w:lineRule="exact"/>
        <w:rPr>
          <w:sz w:val="24"/>
          <w:szCs w:val="24"/>
          <w:color w:val="auto"/>
        </w:rPr>
      </w:pPr>
    </w:p>
    <w:p>
      <w:pPr>
        <w:ind w:right="480" w:firstLine="8"/>
        <w:spacing w:after="0" w:line="184"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0"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320" w:top="1062" w:right="399" w:bottom="1440" w:gutter="0" w:footer="0" w:header="0"/>
        </w:sectPr>
      </w:pPr>
    </w:p>
    <w:bookmarkStart w:id="1" w:name="page2"/>
    <w:bookmarkEnd w:id="1"/>
    <w:p>
      <w:pPr>
        <w:spacing w:after="0"/>
        <w:tabs>
          <w:tab w:leader="none" w:pos="4620" w:val="left"/>
          <w:tab w:leader="none" w:pos="1028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44" w:lineRule="exact"/>
        <w:rPr>
          <w:rFonts w:ascii="Arial" w:cs="Arial" w:eastAsia="Arial" w:hAnsi="Arial"/>
          <w:sz w:val="18"/>
          <w:szCs w:val="18"/>
          <w:color w:val="auto"/>
        </w:rPr>
      </w:pPr>
    </w:p>
    <w:p>
      <w:pPr>
        <w:ind w:left="380" w:right="5680" w:hanging="265"/>
        <w:spacing w:after="0" w:line="23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00" w:hanging="428"/>
        <w:spacing w:after="0" w:line="202" w:lineRule="exact"/>
        <w:tabs>
          <w:tab w:leader="none" w:pos="8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800" w:hanging="428"/>
        <w:spacing w:after="0" w:line="207" w:lineRule="exact"/>
        <w:tabs>
          <w:tab w:leader="none" w:pos="8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80" w:hanging="265"/>
        <w:spacing w:after="0" w:line="23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740" w:hanging="248"/>
        <w:spacing w:after="0"/>
        <w:tabs>
          <w:tab w:leader="none" w:pos="174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38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5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3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8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5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320" w:type="dxa"/>
            <w:vAlign w:val="bottom"/>
          </w:tcPr>
          <w:p>
            <w:pPr>
              <w:spacing w:after="0"/>
              <w:rPr>
                <w:sz w:val="17"/>
                <w:szCs w:val="17"/>
                <w:color w:val="auto"/>
              </w:rPr>
            </w:pPr>
          </w:p>
        </w:tc>
        <w:tc>
          <w:tcPr>
            <w:tcW w:w="95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PERSON WITH</w:t>
            </w:r>
          </w:p>
        </w:tc>
        <w:tc>
          <w:tcPr>
            <w:tcW w:w="320" w:type="dxa"/>
            <w:vAlign w:val="bottom"/>
            <w:tcBorders>
              <w:bottom w:val="single" w:sz="8" w:color="auto"/>
            </w:tcBorders>
          </w:tcPr>
          <w:p>
            <w:pPr>
              <w:spacing w:after="0"/>
              <w:rPr>
                <w:sz w:val="9"/>
                <w:szCs w:val="9"/>
                <w:color w:val="auto"/>
              </w:rPr>
            </w:pPr>
          </w:p>
        </w:tc>
        <w:tc>
          <w:tcPr>
            <w:tcW w:w="9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AGGREGATE AMOUNT BENEFICIALLY OWNED BY EACH REPORTING PERSON</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380" w:right="3460" w:hanging="359"/>
        <w:spacing w:after="0" w:line="220" w:lineRule="exact"/>
        <w:tabs>
          <w:tab w:leader="none" w:pos="360" w:val="left"/>
        </w:tabs>
        <w:rPr>
          <w:sz w:val="20"/>
          <w:szCs w:val="20"/>
          <w:color w:val="auto"/>
        </w:rPr>
      </w:pPr>
      <w:r>
        <w:rPr>
          <w:rFonts w:ascii="Arial" w:cs="Arial" w:eastAsia="Arial" w:hAnsi="Arial"/>
          <w:sz w:val="18"/>
          <w:szCs w:val="18"/>
          <w:color w:val="auto"/>
        </w:rPr>
        <w:t>12.</w:t>
        <w:tab/>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 PERCENT OF CLASS REPRESENTED BY AMOUNT IN ROW (11)</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TYPE OF REPORTING PERSON (see instructions)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w:t>
      </w:r>
    </w:p>
    <w:p>
      <w:pPr>
        <w:spacing w:after="0" w:line="32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 As of the filing date and as described in Items 4, 5(a) and 5(b), Eastern Capital Limited beneficially owns 4,050,001 shares of Common Stock and 416,667 shares of Common Stock issuable upon exercise of the Series F-1 Warrant.</w:t>
      </w:r>
    </w:p>
    <w:p>
      <w:pPr>
        <w:sectPr>
          <w:pgSz w:w="11900" w:h="16838" w:orient="portrait"/>
          <w:cols w:equalWidth="0" w:num="1">
            <w:col w:w="11240"/>
          </w:cols>
          <w:pgMar w:left="320" w:top="819" w:right="339" w:bottom="1440" w:gutter="0" w:footer="0" w:header="0"/>
        </w:sectPr>
      </w:pPr>
    </w:p>
    <w:bookmarkStart w:id="2" w:name="page3"/>
    <w:bookmarkEnd w:id="2"/>
    <w:p>
      <w:pPr>
        <w:spacing w:after="0"/>
        <w:tabs>
          <w:tab w:leader="none" w:pos="4660" w:val="left"/>
          <w:tab w:leader="none" w:pos="1028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44" w:lineRule="exact"/>
        <w:rPr>
          <w:rFonts w:ascii="Arial" w:cs="Arial" w:eastAsia="Arial" w:hAnsi="Arial"/>
          <w:sz w:val="18"/>
          <w:szCs w:val="18"/>
          <w:color w:val="auto"/>
        </w:rPr>
      </w:pPr>
    </w:p>
    <w:p>
      <w:pPr>
        <w:ind w:left="460" w:right="5580" w:hanging="345"/>
        <w:spacing w:after="0" w:line="23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840" w:hanging="267"/>
        <w:spacing w:after="0"/>
        <w:tabs>
          <w:tab w:leader="none" w:pos="1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46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6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REPORTING</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rPr>
              <w:t>PERSON WITH</w:t>
            </w:r>
          </w:p>
        </w:tc>
        <w:tc>
          <w:tcPr>
            <w:tcW w:w="320" w:type="dxa"/>
            <w:vAlign w:val="bottom"/>
            <w:tcBorders>
              <w:bottom w:val="single" w:sz="8" w:color="auto"/>
            </w:tcBorders>
          </w:tcPr>
          <w:p>
            <w:pPr>
              <w:spacing w:after="0"/>
              <w:rPr>
                <w:sz w:val="9"/>
                <w:szCs w:val="9"/>
                <w:color w:val="auto"/>
              </w:rPr>
            </w:pPr>
          </w:p>
        </w:tc>
        <w:tc>
          <w:tcPr>
            <w:tcW w:w="9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4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11.</w:t>
        <w:tab/>
        <w:t>AGGREGATE AMOUNT BENEFICIALLY OWNED BY EACH REPORTING PERSON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 w:right="3360" w:hanging="439"/>
        <w:spacing w:after="0" w:line="220" w:lineRule="exact"/>
        <w:tabs>
          <w:tab w:leader="none" w:pos="440" w:val="left"/>
        </w:tabs>
        <w:rPr>
          <w:sz w:val="20"/>
          <w:szCs w:val="20"/>
          <w:color w:val="auto"/>
        </w:rPr>
      </w:pPr>
      <w:r>
        <w:rPr>
          <w:rFonts w:ascii="Arial" w:cs="Arial" w:eastAsia="Arial" w:hAnsi="Arial"/>
          <w:sz w:val="18"/>
          <w:szCs w:val="18"/>
          <w:color w:val="auto"/>
        </w:rPr>
        <w:t>12.</w:t>
        <w:tab/>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13.</w:t>
        <w:tab/>
        <w:t>PERCENT OF CLASS REPRESENTED BY AMOUNT IN ROW (11)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14.</w:t>
        <w:tab/>
        <w:t>TYPE OF REPORTING PERSON (see instructions)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w:t>
      </w:r>
    </w:p>
    <w:p>
      <w:pPr>
        <w:spacing w:after="0" w:line="3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As of the filing date and as described in Items 4, 5(a) and 5(b), Portfolio Services Ltd. beneficially owns 4,050,001 shares of Common Stock and 416,667 shares of Common Stock issuable upon exercise of the Series F-1 Warrant.</w:t>
      </w:r>
    </w:p>
    <w:p>
      <w:pPr>
        <w:sectPr>
          <w:pgSz w:w="11900" w:h="16838" w:orient="portrait"/>
          <w:cols w:equalWidth="0" w:num="1">
            <w:col w:w="11240"/>
          </w:cols>
          <w:pgMar w:left="320" w:top="886" w:right="339" w:bottom="1440" w:gutter="0" w:footer="0" w:header="0"/>
        </w:sectPr>
      </w:pPr>
    </w:p>
    <w:bookmarkStart w:id="3" w:name="page4"/>
    <w:bookmarkEnd w:id="3"/>
    <w:p>
      <w:pPr>
        <w:spacing w:after="0"/>
        <w:tabs>
          <w:tab w:leader="none" w:pos="4760" w:val="left"/>
          <w:tab w:leader="none" w:pos="1028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44" w:lineRule="exact"/>
        <w:rPr>
          <w:rFonts w:ascii="Arial" w:cs="Arial" w:eastAsia="Arial" w:hAnsi="Arial"/>
          <w:sz w:val="18"/>
          <w:szCs w:val="18"/>
          <w:color w:val="auto"/>
        </w:rPr>
      </w:pPr>
    </w:p>
    <w:p>
      <w:pPr>
        <w:ind w:left="460" w:right="5580" w:hanging="345"/>
        <w:spacing w:after="0" w:line="23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-1830705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20" w:type="dxa"/>
            <w:vAlign w:val="bottom"/>
          </w:tcPr>
          <w:p>
            <w:pPr>
              <w:jc w:val="center"/>
              <w:ind w:right="5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4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9"/>
              </w:rPr>
              <w:t>SHARES</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946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3"/>
        </w:trPr>
        <w:tc>
          <w:tcPr>
            <w:tcW w:w="14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2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9"/>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946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42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REPORTING</w:t>
            </w:r>
          </w:p>
        </w:tc>
        <w:tc>
          <w:tcPr>
            <w:tcW w:w="32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20" w:type="dxa"/>
            <w:vAlign w:val="bottom"/>
          </w:tcPr>
          <w:p>
            <w:pPr>
              <w:jc w:val="center"/>
              <w:ind w:right="50"/>
              <w:spacing w:after="0"/>
              <w:rPr>
                <w:sz w:val="20"/>
                <w:szCs w:val="20"/>
                <w:color w:val="auto"/>
              </w:rPr>
            </w:pPr>
            <w:r>
              <w:rPr>
                <w:rFonts w:ascii="Arial" w:cs="Arial" w:eastAsia="Arial" w:hAnsi="Arial"/>
                <w:sz w:val="18"/>
                <w:szCs w:val="18"/>
                <w:color w:val="auto"/>
              </w:rPr>
              <w:t>PERSON WITH</w:t>
            </w:r>
          </w:p>
        </w:tc>
        <w:tc>
          <w:tcPr>
            <w:tcW w:w="320" w:type="dxa"/>
            <w:vAlign w:val="bottom"/>
          </w:tcPr>
          <w:p>
            <w:pPr>
              <w:spacing w:after="0"/>
              <w:rPr>
                <w:sz w:val="19"/>
                <w:szCs w:val="19"/>
                <w:color w:val="auto"/>
              </w:rPr>
            </w:pPr>
          </w:p>
        </w:tc>
        <w:tc>
          <w:tcPr>
            <w:tcW w:w="94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-7620</wp:posOffset>
            </wp:positionV>
            <wp:extent cx="620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ind w:left="1880" w:right="6760" w:hanging="407"/>
        <w:spacing w:after="0" w:line="246" w:lineRule="auto"/>
        <w:tabs>
          <w:tab w:leader="none" w:pos="183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4,466,668</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60" w:hanging="445"/>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4,466,668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 w:right="3360" w:hanging="445"/>
        <w:spacing w:after="0" w:line="220" w:lineRule="exact"/>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460" w:hanging="44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9.2%</w:t>
      </w:r>
    </w:p>
    <w:p>
      <w:pPr>
        <w:spacing w:after="0" w:line="31" w:lineRule="exact"/>
        <w:rPr>
          <w:rFonts w:ascii="Arial" w:cs="Arial" w:eastAsia="Arial" w:hAnsi="Arial"/>
          <w:sz w:val="18"/>
          <w:szCs w:val="18"/>
          <w:color w:val="auto"/>
        </w:rPr>
      </w:pPr>
    </w:p>
    <w:p>
      <w:pPr>
        <w:ind w:left="460" w:hanging="44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of the filing date and as described in Items 4, 5(a) and 5(b), Kenneth B. Dart beneficially owns 4,050,001 shares of Common Stock and 416,667 shares of Common Stock issuable upon exercise of the Series F-1 Warrant.</w:t>
      </w:r>
    </w:p>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5620" w:val="left"/>
          <w:tab w:leader="none" w:pos="10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7"/>
          <w:szCs w:val="17"/>
          <w:b w:val="1"/>
          <w:bCs w:val="1"/>
          <w:color w:val="auto"/>
        </w:rPr>
        <w:t>Page 5 of 6</w:t>
      </w:r>
    </w:p>
    <w:p>
      <w:pPr>
        <w:spacing w:after="0" w:line="200" w:lineRule="exact"/>
        <w:rPr>
          <w:sz w:val="20"/>
          <w:szCs w:val="20"/>
          <w:color w:val="auto"/>
        </w:rPr>
      </w:pPr>
    </w:p>
    <w:p>
      <w:pPr>
        <w:spacing w:after="0" w:line="223"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This Amendment No. 12 to Schedule 13D (this "Amendment No. 12") relates to shares of common stock, par value $0.001 per share (the "Common Stock"), of Marker Therapeutics, Inc., (the "Issuer"). This Amendment No. 12 amends the original Schedule 13D filed with the U.S. Securities and Exchange Commission by the Reporting Persons as previously amended by Amendments No. 1 through 11 (the "Schedule 13D"). Except as otherwise specified in this Amendment No. 12, all previous Items are unchanged. Defined terms used herein but not otherwise defined have the meanings set forth in the Schedule 13D.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Series D-1 Warrant to purchase 416,667 shares of Common Stock of the Issuer at the exercise price of $9.00 per share with an expiration date of September 9, 2020, was not exercised by the Reporting Persons before such expiration.</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5(a)–(b)</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4,466,668 shares of the Issuer's Common Stock, representing 9.2%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4,466,668 shares of the Issuer's Common Stock, representing 9.2%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4,466,668 shares of the Issuer's Common Stock, representing 9.2% of the Issuer's outstanding Common Stock. Kenneth B. Dart has shared voting and dispositive power of the shares he beneficially owns.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percentage ownership noted in this Schedule 13D/A is based on 48,025,102 shares outstanding as of October 31, 2020 as reported in the Issuer's Form 10Q filed with the U.S. Securities Exchange Commission on November 9, 2020, plus 416,667 shares of Common Stock that may be issued upon exercise of the Series F-1 Warrant held by the Reporting Persons.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CUSIP No. 57055L107</w:t>
            </w:r>
          </w:p>
        </w:tc>
        <w:tc>
          <w:tcPr>
            <w:tcW w:w="4760" w:type="dxa"/>
            <w:vAlign w:val="bottom"/>
            <w:tcBorders>
              <w:top w:val="single" w:sz="8" w:color="auto"/>
            </w:tcBorders>
          </w:tcPr>
          <w:p>
            <w:pPr>
              <w:jc w:val="right"/>
              <w:ind w:right="1970"/>
              <w:spacing w:after="0"/>
              <w:rPr>
                <w:sz w:val="20"/>
                <w:szCs w:val="20"/>
                <w:color w:val="auto"/>
              </w:rPr>
            </w:pPr>
            <w:r>
              <w:rPr>
                <w:rFonts w:ascii="Arial" w:cs="Arial" w:eastAsia="Arial" w:hAnsi="Arial"/>
                <w:sz w:val="18"/>
                <w:szCs w:val="18"/>
                <w:color w:val="auto"/>
              </w:rPr>
              <w:t>13D/A</w:t>
            </w:r>
          </w:p>
        </w:tc>
        <w:tc>
          <w:tcPr>
            <w:tcW w:w="3020" w:type="dxa"/>
            <w:vAlign w:val="bottom"/>
            <w:tcBorders>
              <w:top w:val="single" w:sz="8" w:color="auto"/>
            </w:tcBorders>
          </w:tcPr>
          <w:p>
            <w:pPr>
              <w:ind w:left="2080"/>
              <w:spacing w:after="0"/>
              <w:rPr>
                <w:sz w:val="20"/>
                <w:szCs w:val="20"/>
                <w:color w:val="auto"/>
              </w:rPr>
            </w:pPr>
            <w:r>
              <w:rPr>
                <w:rFonts w:ascii="Arial" w:cs="Arial" w:eastAsia="Arial" w:hAnsi="Arial"/>
                <w:sz w:val="18"/>
                <w:szCs w:val="18"/>
                <w:b w:val="1"/>
                <w:bCs w:val="1"/>
                <w:color w:val="auto"/>
                <w:w w:val="96"/>
              </w:rPr>
              <w:t>Page 6 of 6</w:t>
            </w:r>
          </w:p>
        </w:tc>
      </w:tr>
      <w:tr>
        <w:trPr>
          <w:trHeight w:val="239"/>
        </w:trPr>
        <w:tc>
          <w:tcPr>
            <w:tcW w:w="3460" w:type="dxa"/>
            <w:vAlign w:val="bottom"/>
          </w:tcPr>
          <w:p>
            <w:pPr>
              <w:spacing w:after="0"/>
              <w:rPr>
                <w:sz w:val="20"/>
                <w:szCs w:val="20"/>
                <w:color w:val="auto"/>
              </w:rPr>
            </w:pPr>
          </w:p>
        </w:tc>
        <w:tc>
          <w:tcPr>
            <w:tcW w:w="4760" w:type="dxa"/>
            <w:vAlign w:val="bottom"/>
          </w:tcPr>
          <w:p>
            <w:pPr>
              <w:jc w:val="right"/>
              <w:ind w:right="1990"/>
              <w:spacing w:after="0"/>
              <w:rPr>
                <w:sz w:val="20"/>
                <w:szCs w:val="20"/>
                <w:color w:val="auto"/>
              </w:rPr>
            </w:pPr>
            <w:r>
              <w:rPr>
                <w:rFonts w:ascii="Arial" w:cs="Arial" w:eastAsia="Arial" w:hAnsi="Arial"/>
                <w:sz w:val="18"/>
                <w:szCs w:val="18"/>
                <w:b w:val="1"/>
                <w:bCs w:val="1"/>
                <w:color w:val="auto"/>
              </w:rPr>
              <w:t>SIGNATURE</w:t>
            </w:r>
          </w:p>
        </w:tc>
        <w:tc>
          <w:tcPr>
            <w:tcW w:w="3020" w:type="dxa"/>
            <w:vAlign w:val="bottom"/>
          </w:tcPr>
          <w:p>
            <w:pPr>
              <w:spacing w:after="0"/>
              <w:rPr>
                <w:sz w:val="20"/>
                <w:szCs w:val="20"/>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240"/>
          </w:cols>
          <w:pgMar w:left="320" w:top="808" w:right="339" w:bottom="1440" w:gutter="0" w:footer="0" w:header="0"/>
        </w:sectPr>
      </w:pPr>
    </w:p>
    <w:bookmarkStart w:id="6" w:name="page7"/>
    <w:bookmarkEnd w:id="6"/>
    <w:p>
      <w:pPr>
        <w:spacing w:after="0"/>
        <w:tabs>
          <w:tab w:leader="none" w:pos="580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7"/>
          <w:szCs w:val="17"/>
          <w:b w:val="1"/>
          <w:bCs w:val="1"/>
          <w:color w:val="auto"/>
        </w:rPr>
        <w:t>EXHIBIT 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Marker Therapeutics,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180"/>
      </w:cols>
      <w:pgMar w:left="320" w:top="17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decimal"/>
      <w:start w:val="10"/>
    </w:lvl>
  </w:abstractNum>
  <w:abstractNum w:abstractNumId="5">
    <w:nsid w:val="2EB141F2"/>
    <w:multiLevelType w:val="hybridMultilevel"/>
    <w:lvl w:ilvl="0">
      <w:lvlJc w:val="left"/>
      <w:lvlText w:val="%1."/>
      <w:numFmt w:val="decimal"/>
      <w:start w:val="11"/>
    </w:lvl>
    <w:lvl w:ilvl="1">
      <w:lvlJc w:val="left"/>
      <w:lvlText w:val="%2"/>
      <w:numFmt w:val="decimal"/>
      <w:start w:val="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2020-11-13T16:09:17Z</dcterms:created>
  <dcterms:modified xsi:type="dcterms:W3CDTF">2020-11-13T16:09:17Z</dcterms:modified>
</cp:coreProperties>
</file>