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333-196115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426085</wp:posOffset>
            </wp:positionV>
            <wp:extent cx="2084070" cy="1063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7,320,000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Each Unit Consisting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A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B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C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D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E Warrant to Purchase One Share of Common Stock</w:t>
      </w:r>
    </w:p>
    <w:p>
      <w:pPr>
        <w:spacing w:after="0" w:line="211" w:lineRule="exact"/>
        <w:rPr>
          <w:sz w:val="24"/>
          <w:szCs w:val="24"/>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this prospectus supplement and the accompanying prospectus, we are offering 7,320,000 units, with each unit consisting of (i) one share of common stock, par value $0.001, (ii) one Series A warrant to purchase one share of common stock, (ii) one Series B warrant to purchase one share of common stock, (iii) one Series C warrant to purchase one share of common stock, (iv) one Series D warrant to purchase one share of common stock, and (v) one Series E warrant to purchase one share of common stock, at a public offering price of $0.20 per unit. Each Series A warrant will have an initial exercise price of $1.50 per share, will be immediately exercisable and will expire on the five year anniversary of the date of issuance. Each Series B warrant will have an initial exercise price of $0.40 per share, will be immediately exercisable, may be redeemed by us in the event that the closing price of our stock is above $0.70 for 20 consecutive trading days (subject to certain conditions including minimum trading volume requirements), and will expire on the six month anniversary of the date of issuance. Each Series C warrant will have an initial exercise price of $1.00 per share, will be immediately exercisable, may be redeemed by us in the event that the closing price of our stock is above $1.50 for 20 consecutive trading days (subject to certain conditions including minimum trading volume requirements), and will expire on the five year anniversary of the date of issuance. Each Series D warrant will be exercisable only if and to the extent that the Series B warrants are exercised, will have an initial exercise price of $0.75 per share, and will expire on the five year anniversary of the date that the Series B warrant is initially exercised. Each Series E warrant will be exercisable only if and to the extent that the Series C warrants are exercised, will have an initial exercise price of $1.25 per share, and will expire on the five year anniversary of the date that the Series C warrant is initially exercised. Units will not be issued or certificated. The shares of common stock and the warrants will be issued separately but can only be purchased together as units in this offering. This prospectus supplement also relates to the offering of the shares of common stock issuable upon the exercise of the warrants issued in this offering. The units can only be purchased in this offering.</w:t>
      </w:r>
    </w:p>
    <w:p>
      <w:pPr>
        <w:spacing w:after="0" w:line="181"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Our common stock is currently quoted on the OTCBB under the symbol “TPIV”. On January 7, 2015, the last reported sales price per share of our common stock on the OTCBB was $0.32.</w:t>
      </w:r>
    </w:p>
    <w:p>
      <w:pPr>
        <w:spacing w:after="0" w:line="166" w:lineRule="exact"/>
        <w:rPr>
          <w:sz w:val="24"/>
          <w:szCs w:val="24"/>
          <w:color w:val="auto"/>
        </w:rPr>
      </w:pPr>
    </w:p>
    <w:p>
      <w:pPr>
        <w:jc w:val="both"/>
        <w:ind w:right="360"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in the section titled “Risk Factors” on page S-5 of this prospectus supplement, page 5 of the accompanying prospectus and under similar headings in the other documents that are incorporated by reference into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Per Unit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Offering price</w:t>
            </w:r>
          </w:p>
        </w:tc>
        <w:tc>
          <w:tcPr>
            <w:tcW w:w="3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1,464,000</w:t>
            </w:r>
          </w:p>
        </w:tc>
        <w:tc>
          <w:tcPr>
            <w:tcW w:w="20" w:type="dxa"/>
            <w:vAlign w:val="bottom"/>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Placement Agents fee (2)</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102,480</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0.186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1,361,520</w:t>
            </w:r>
          </w:p>
        </w:tc>
      </w:tr>
    </w:tbl>
    <w:p>
      <w:pPr>
        <w:spacing w:after="0" w:line="202" w:lineRule="exact"/>
        <w:rPr>
          <w:sz w:val="20"/>
          <w:szCs w:val="20"/>
          <w:color w:val="auto"/>
        </w:rPr>
      </w:pPr>
    </w:p>
    <w:p>
      <w:pPr>
        <w:ind w:left="1300" w:right="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represents the offering price for a share of common stock and up to five warrants to purchase up to five shares of common stock.</w:t>
      </w:r>
    </w:p>
    <w:p>
      <w:pPr>
        <w:spacing w:after="0" w:line="170" w:lineRule="exact"/>
        <w:rPr>
          <w:rFonts w:ascii="Arial" w:cs="Arial" w:eastAsia="Arial" w:hAnsi="Arial"/>
          <w:sz w:val="18"/>
          <w:szCs w:val="18"/>
          <w:color w:val="auto"/>
        </w:rPr>
      </w:pPr>
    </w:p>
    <w:p>
      <w:pPr>
        <w:ind w:left="1300" w:right="120" w:hanging="644"/>
        <w:spacing w:after="0" w:line="286"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addition, we have agreed to issue to H.C. Wainwright &amp; Co., LLC and Olympus Securities LLC (collectively, the “Placement Agents”) warrants to purchase a number of shares of common stock equal to 5% of the aggregate number of shares of common stock included in the units sold in this offering and to reimburse certain of its expenses as described in the Plan of Distribution herein.</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retained H.C. Wainwright &amp; Co., LLC to act as our exclusive lead placement agent in connection with this offering and have retained Olympus Securities LLC to act as our co-placement agent in connection with this offering. The Placement Agents are not purchasing the securities offered by us in this offering, and is not required to sell any specific number or dollar amount of units, but will assist us in this offering on a “best efforts” basis. We have agreed to pay the Placement Agents a cash fee equal to 7% of the gross proceeds for the sale of units in the offering. Additionally, we have agreed to issue to the Placement Agents warrants to purchase a number of shares of our common stock equal to 5% of the aggregate number of shares of common stock included in the units sold in the offering. We have also agreed to reimburse H.C. Wainwright &amp; Co., LLC for certain of its expenses. We estimate the total expenses of this offering, excluding the Placement Agent fees, will be approximately $15,000. Because there is no minimum offering amount required as a condition to closing in this offering, the actual public offering amount, fees, and proceeds to us, if any, are not presently determinable and may be substantially less than the total maximum offering amounts set forth above. See “Plan of Distribution” beginning on page S-8 of this prospectus supplement.</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Delivery of the shares of common stock and warrants offered hereby will take place on or about January 12, 2015, subject to satisfaction of certain conditions.</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Placement Agents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H.C. Wainwright &amp; Co.</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Olympus Securities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January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640" w:type="dxa"/>
            <w:vAlign w:val="bottom"/>
            <w:gridSpan w:val="4"/>
          </w:tcPr>
          <w:p>
            <w:pPr>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Special Note Regarding Forward Looking Statements</w:t>
            </w: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Determination of Offering Price</w:t>
            </w: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Legal Matters</w:t>
            </w: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Information Incorporated By Reference</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Prospectus</w:t>
            </w:r>
          </w:p>
        </w:tc>
        <w:tc>
          <w:tcPr>
            <w:tcW w:w="18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About this Prospectus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6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Risk Factors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Plan of Distribution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Common Stock</w:t>
            </w:r>
          </w:p>
        </w:tc>
        <w:tc>
          <w:tcPr>
            <w:tcW w:w="6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Legal Matters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6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Incorporation By Reference</w:t>
            </w:r>
          </w:p>
        </w:tc>
        <w:tc>
          <w:tcPr>
            <w:tcW w:w="6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and also adds to and updates information contained in the accompanying prospectus as well as the documents incorporated by reference into this prospectus supplement and the accompanying prospectus. The second part, the accompanying prospectus, gives more general information about securities we may offer from time to time, some of which does not apply to this offering. This prospectus supplement and the accompanying prospectus incorporate by reference important business and financial information about us that is not included in or delivered with this prospectus supplement and the accompanying prospectus.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supplement or in the accompanying prospectus. If information in this prospectus supplement is inconsistent with the accompanying prospectus, you should rely on this prospectus supplement. We have not authorized anyone to provide you with different information. No dealer, salesperson or other person is authorized to give any information or to represent anything not contained in this prospectus or the applicable prospectus supplement. You must not rely on any unauthorized information or representation. You should assume that the information in this prospectus supplement and accompanying prospectus is accurate only as of the dates on the front of the respective document and that any information we have incorporated by reference is accurate only as of the date of the document incorporated by reference.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when making your investment decision.</w:t>
      </w:r>
    </w:p>
    <w:p>
      <w:pPr>
        <w:spacing w:after="0" w:line="182" w:lineRule="exact"/>
        <w:rPr>
          <w:sz w:val="20"/>
          <w:szCs w:val="20"/>
          <w:color w:val="auto"/>
        </w:rPr>
      </w:pPr>
    </w:p>
    <w:p>
      <w:pPr>
        <w:ind w:right="2160" w:firstLine="648"/>
        <w:spacing w:after="0" w:line="277" w:lineRule="auto"/>
        <w:rPr>
          <w:sz w:val="20"/>
          <w:szCs w:val="20"/>
          <w:color w:val="auto"/>
        </w:rPr>
      </w:pPr>
      <w:r>
        <w:rPr>
          <w:rFonts w:ascii="Arial" w:cs="Arial" w:eastAsia="Arial" w:hAnsi="Arial"/>
          <w:sz w:val="18"/>
          <w:szCs w:val="18"/>
          <w:color w:val="auto"/>
        </w:rPr>
        <w:t>Unless otherwise stated or the context requires otherwise, references in this prospectus to “TapImmune,” “we,” “us,” or “our” refer to TapImmune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in the accompanying prospectus or in documents incorporated by reference. This summary does not contain all of the information that you should consider before making an investment decision. This prospectus supplement and the accompanying prospectus include or incorporate by reference information about this offering, our business and our financial and operating data. You should carefully read the entire prospectus supplement, the accompanying prospectus, including under the sections titled “Risk Factors” included therein, and the documents incorporated by reference into this prospectus supplement and the accompanying prospectus,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currently in Phase I clinical trials that we would like to progress to Phase II clinical trials in Q1 of 2015. The other two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both"/>
        <w:ind w:right="20"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peptide vaccines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exercise this option and to initiate a second Phase II trial in Q1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vaccine candidate, and we have been encouraged by the results.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principal executive offices are located at 1551 Eastlake Avenue East, Suite 100, Seattle, WA 98102 and our telephone number is (206) 504-7278.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600" w:type="dxa"/>
            <w:vAlign w:val="bottom"/>
          </w:tcPr>
          <w:p>
            <w:pPr>
              <w:ind w:left="2400"/>
              <w:spacing w:after="0"/>
              <w:rPr>
                <w:sz w:val="20"/>
                <w:szCs w:val="20"/>
                <w:color w:val="auto"/>
              </w:rPr>
            </w:pPr>
            <w:r>
              <w:rPr>
                <w:rFonts w:ascii="Arial" w:cs="Arial" w:eastAsia="Arial" w:hAnsi="Arial"/>
                <w:sz w:val="18"/>
                <w:szCs w:val="18"/>
                <w:b w:val="1"/>
                <w:bCs w:val="1"/>
                <w:color w:val="auto"/>
              </w:rPr>
              <w:t>The Offering</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Securities offered by us</w:t>
            </w:r>
          </w:p>
        </w:tc>
        <w:tc>
          <w:tcPr>
            <w:tcW w:w="8600" w:type="dxa"/>
            <w:vAlign w:val="bottom"/>
          </w:tcPr>
          <w:p>
            <w:pPr>
              <w:ind w:left="200"/>
              <w:spacing w:after="0"/>
              <w:rPr>
                <w:sz w:val="20"/>
                <w:szCs w:val="20"/>
                <w:color w:val="auto"/>
              </w:rPr>
            </w:pPr>
            <w:r>
              <w:rPr>
                <w:rFonts w:ascii="Arial" w:cs="Arial" w:eastAsia="Arial" w:hAnsi="Arial"/>
                <w:sz w:val="18"/>
                <w:szCs w:val="18"/>
                <w:color w:val="auto"/>
                <w:w w:val="95"/>
              </w:rPr>
              <w:t>7,320,000 units, with each unit consisting of (i) one share of common stock, par value $0.001, (ii) one Series A</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1"/>
              </w:rPr>
              <w:t>warrant to purchase one share of common stock, (ii) one Series B warrant to purchase one share of common stock,</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1"/>
              </w:rPr>
              <w:t>(iii) one Series C warrant to purchase one share of common stock, (iv) one Series D warrant to purchase one share</w:t>
            </w:r>
          </w:p>
        </w:tc>
      </w:tr>
      <w:tr>
        <w:trPr>
          <w:trHeight w:val="230"/>
        </w:trPr>
        <w:tc>
          <w:tcPr>
            <w:tcW w:w="28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of common stock, and (v) one Series E warrant to purchase one share of common stock.</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Terms of warrants in units</w:t>
            </w:r>
          </w:p>
        </w:tc>
        <w:tc>
          <w:tcPr>
            <w:tcW w:w="8600" w:type="dxa"/>
            <w:vAlign w:val="bottom"/>
          </w:tcPr>
          <w:p>
            <w:pPr>
              <w:ind w:left="200"/>
              <w:spacing w:after="0"/>
              <w:rPr>
                <w:sz w:val="20"/>
                <w:szCs w:val="20"/>
                <w:color w:val="auto"/>
              </w:rPr>
            </w:pPr>
            <w:r>
              <w:rPr>
                <w:rFonts w:ascii="Arial" w:cs="Arial" w:eastAsia="Arial" w:hAnsi="Arial"/>
                <w:sz w:val="18"/>
                <w:szCs w:val="18"/>
                <w:color w:val="auto"/>
                <w:w w:val="94"/>
              </w:rPr>
              <w:t>Each Series A warrant will have an initial exercise price of $1.50 per share, will be immediately exercisable and</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will expire on the five year anniversary of the date of issuance. Each Series B warrant will have an initial exercise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1"/>
              </w:rPr>
              <w:t>price of $0.40 per share, will be immediately exercisable, may be redeemed by us in the event that the closing price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7"/>
              </w:rPr>
              <w:t>of our stock is above $0.70 for 20 consecutive trading days (subject to certain conditions including minimum</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2"/>
              </w:rPr>
              <w:t>trading volume requirements), and will expire on the six month anniversary of the date of issuance. Each Series C</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2"/>
              </w:rPr>
              <w:t>warrant will have an initial exercise price of $1.00 per share, will be immediately exercisable, may be redeemed by</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2"/>
              </w:rPr>
              <w:t>us in the event that the closing price of our stock is above $1.50 for 20 consecutive trading days (subject to certain</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5"/>
              </w:rPr>
              <w:t>conditions including minimum trading volume requirements), and will expire on the five year anniversary of the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2"/>
              </w:rPr>
              <w:t>date of issuance. Each Series D warrant will be exercisable only if and to the extent that the Series B warrants are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exercised, will have an initial exercise price of $0.75 per share, and will expire on the five year anniversary of the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5"/>
              </w:rPr>
              <w:t>date that the Series B warrant is initially exercised. Each Series E warrant will be exercisable only if and to the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1"/>
              </w:rPr>
              <w:t>extent that the Series C warrants are exercised, will have an initial exercise price of $1.25 per share, and will expire</w:t>
            </w:r>
          </w:p>
        </w:tc>
      </w:tr>
      <w:tr>
        <w:trPr>
          <w:trHeight w:val="230"/>
        </w:trPr>
        <w:tc>
          <w:tcPr>
            <w:tcW w:w="28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on the five year anniversary of the date that the Series C warrant is initially exercised.</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Offering price</w:t>
            </w:r>
          </w:p>
        </w:tc>
        <w:tc>
          <w:tcPr>
            <w:tcW w:w="8600" w:type="dxa"/>
            <w:vAlign w:val="bottom"/>
          </w:tcPr>
          <w:p>
            <w:pPr>
              <w:ind w:left="200"/>
              <w:spacing w:after="0"/>
              <w:rPr>
                <w:sz w:val="20"/>
                <w:szCs w:val="20"/>
                <w:color w:val="auto"/>
              </w:rPr>
            </w:pPr>
            <w:r>
              <w:rPr>
                <w:rFonts w:ascii="Arial" w:cs="Arial" w:eastAsia="Arial" w:hAnsi="Arial"/>
                <w:sz w:val="18"/>
                <w:szCs w:val="18"/>
                <w:color w:val="auto"/>
              </w:rPr>
              <w:t>$0.20 per unit.</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Use of proceeds</w:t>
            </w:r>
          </w:p>
        </w:tc>
        <w:tc>
          <w:tcPr>
            <w:tcW w:w="8600" w:type="dxa"/>
            <w:vAlign w:val="bottom"/>
          </w:tcPr>
          <w:p>
            <w:pPr>
              <w:ind w:left="200"/>
              <w:spacing w:after="0"/>
              <w:rPr>
                <w:sz w:val="20"/>
                <w:szCs w:val="20"/>
                <w:color w:val="auto"/>
              </w:rPr>
            </w:pPr>
            <w:r>
              <w:rPr>
                <w:rFonts w:ascii="Arial" w:cs="Arial" w:eastAsia="Arial" w:hAnsi="Arial"/>
                <w:sz w:val="18"/>
                <w:szCs w:val="18"/>
                <w:color w:val="auto"/>
              </w:rPr>
              <w:t>General corporate purposes.</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Common stock to be outstanding</w:t>
            </w:r>
          </w:p>
        </w:tc>
        <w:tc>
          <w:tcPr>
            <w:tcW w:w="8600" w:type="dxa"/>
            <w:vAlign w:val="bottom"/>
          </w:tcPr>
          <w:p>
            <w:pPr>
              <w:ind w:left="200"/>
              <w:spacing w:after="0"/>
              <w:rPr>
                <w:sz w:val="20"/>
                <w:szCs w:val="20"/>
                <w:color w:val="auto"/>
              </w:rPr>
            </w:pPr>
            <w:r>
              <w:rPr>
                <w:rFonts w:ascii="Arial" w:cs="Arial" w:eastAsia="Arial" w:hAnsi="Arial"/>
                <w:sz w:val="18"/>
                <w:szCs w:val="18"/>
                <w:color w:val="auto"/>
              </w:rPr>
              <w:t>27,638,815</w:t>
            </w: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w w:val="99"/>
              </w:rPr>
              <w:t>immediately after this offering (1)</w:t>
            </w:r>
          </w:p>
        </w:tc>
        <w:tc>
          <w:tcPr>
            <w:tcW w:w="8600" w:type="dxa"/>
            <w:vAlign w:val="bottom"/>
          </w:tcPr>
          <w:p>
            <w:pPr>
              <w:spacing w:after="0"/>
              <w:rPr>
                <w:sz w:val="20"/>
                <w:szCs w:val="20"/>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OTCBB Symbol</w:t>
            </w:r>
          </w:p>
        </w:tc>
        <w:tc>
          <w:tcPr>
            <w:tcW w:w="8600" w:type="dxa"/>
            <w:vAlign w:val="bottom"/>
          </w:tcPr>
          <w:p>
            <w:pPr>
              <w:ind w:left="200"/>
              <w:spacing w:after="0"/>
              <w:rPr>
                <w:sz w:val="20"/>
                <w:szCs w:val="20"/>
                <w:color w:val="auto"/>
              </w:rPr>
            </w:pPr>
            <w:r>
              <w:rPr>
                <w:rFonts w:ascii="Arial" w:cs="Arial" w:eastAsia="Arial" w:hAnsi="Arial"/>
                <w:sz w:val="18"/>
                <w:szCs w:val="18"/>
                <w:color w:val="auto"/>
              </w:rPr>
              <w:t>TPIV</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Risk Factors</w:t>
            </w:r>
          </w:p>
        </w:tc>
        <w:tc>
          <w:tcPr>
            <w:tcW w:w="8600" w:type="dxa"/>
            <w:vAlign w:val="bottom"/>
          </w:tcPr>
          <w:p>
            <w:pPr>
              <w:ind w:left="200"/>
              <w:spacing w:after="0"/>
              <w:rPr>
                <w:sz w:val="20"/>
                <w:szCs w:val="20"/>
                <w:color w:val="auto"/>
              </w:rPr>
            </w:pPr>
            <w:r>
              <w:rPr>
                <w:rFonts w:ascii="Arial" w:cs="Arial" w:eastAsia="Arial" w:hAnsi="Arial"/>
                <w:sz w:val="18"/>
                <w:szCs w:val="18"/>
                <w:color w:val="auto"/>
                <w:w w:val="95"/>
              </w:rPr>
              <w:t>An investment in our company involves a high degree of risk. Please refer to the sections titled “Risk Factors,”</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“Special Note Regarding Forward-Looking Statements” and other information included or incorporated by</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reference in this prospectus supplement and the accompanying prospectus for a discussion of factors you should</w:t>
            </w:r>
          </w:p>
        </w:tc>
      </w:tr>
      <w:tr>
        <w:trPr>
          <w:trHeight w:val="230"/>
        </w:trPr>
        <w:tc>
          <w:tcPr>
            <w:tcW w:w="28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carefully consider before investing our securities.</w:t>
            </w:r>
          </w:p>
        </w:tc>
      </w:tr>
      <w:tr>
        <w:trPr>
          <w:trHeight w:val="824"/>
        </w:trPr>
        <w:tc>
          <w:tcPr>
            <w:tcW w:w="282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S-4</w:t>
            </w:r>
          </w:p>
        </w:tc>
      </w:tr>
      <w:tr>
        <w:trPr>
          <w:trHeight w:val="118"/>
        </w:trPr>
        <w:tc>
          <w:tcPr>
            <w:tcW w:w="2820" w:type="dxa"/>
            <w:vAlign w:val="bottom"/>
            <w:tcBorders>
              <w:bottom w:val="single" w:sz="8" w:color="808080"/>
            </w:tcBorders>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ind w:right="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this offering is based on the sale of all of the units being offered, approximately 20,318,815 shares of common stock outstanding as of the date of this prospectus supplement and excludes: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65,430 shares of common stock reserved for issuance upon the exercise of outstanding options granted under our Stock Incentive Plan with a weighted average exercise price of $18.00 per share;</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399,285 shares of common stock that may be issued upon exercise of outstanding warrants as of June 30, 2014 with a weighted average exercise price of $10.19 per share;</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$1.50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$0.40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$0.75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$1.00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$1.25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$1.50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$0.40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$0.75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$1.00 per share, assuming the maximum number of units are sold in this offering; and</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$1.25 per share, assuming the maximum number of units are sold in this offering.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our company involves a high degree of risk. Before you make a decision to invest in our securities, you should consider carefully the risks described below, as well as the risks described in or incorporated by reference in this prospectus supplement and the accompanying prospectus and all other documents incorporated by reference into this prospectus supplement and accompanying prospectus, as updated by our subsequent filings under the Securities Exchange Act of 1934, as amended (the “Exchange Act”).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risks could have a material adverse effect on our business, prospects, financial condition and results of operations. In any such case, the trading price of our securities could decline and you could lose all or part of your investment. Additional risks not presently known to us or that we currently deem immaterial may also adversely affect our business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per share of the common stock you purchase.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firstLine="648"/>
        <w:spacing w:after="0" w:line="273"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Based on an assumed offering price of $0.20 per unit, if you purchase shares of common stock in this offering, you will suffer immediate and substantial dilution of approximately $0.1745 per share in the net tangible book value of the common stock. Similarly, you will likely suffer substantial dilution in the net tangible book value of the common stock you purchase if you exercise the warrants purchased in this offering See the section titled “Dilution” in this prospectus supplement for a more detailed discussion of the dilution you will incur if you purchase common stock in this offering.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no public market for the warrants to purchase common stock in this offering.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established public trading market for the warrants being offered in this offering, and we do not expect a market to develop. In addition, we do not intend to apply for listing the warrants on any securities exchange. Without an active market, the liquidity of the warrants will be limited.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has significant flexibility in using the net proceeds of this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generally to use the net proceeds from this offering for working capital and general corporate purposes. Our management will have significant flexibility in applying the net proceeds of this offering. Management’s failure to use these funds effectively would have an adverse effect on the value of our common stock and could make it more difficult and costly to raise funds in the future.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into this prospectus supplement and the accompanying prospectus contain forward-looking statements that have been made within the meaning of Section 27A of the Securities Act of 1933, as amended (the “Securities Act”), and Section 21E of the Exchange Act and are subject to the safe harbor created by the Private Securities Litigation Reform Act of 1995. These statements involve known and unknown risks, uncertainties and other important factors that may cause our actual results, performance or achievements to be materially different from any future results, performances or achievements expressed or implied by the forward-looking statements. Forward-looking statements include statements about:</w:t>
      </w:r>
    </w:p>
    <w:p>
      <w:pPr>
        <w:spacing w:after="0" w:line="22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and commercial potential of our potential products;</w:t>
      </w:r>
    </w:p>
    <w:p>
      <w:pPr>
        <w:spacing w:after="0" w:line="25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clinical trials, commencement dates for new clinical trials, clinical trial results, evaluation of our clinical trial results by regulatory agencies in other countries;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financing;</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potential markets and estimated trial dates;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the current or anticipated market demand or medical need of our potential products;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need for additional research and testing;</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involved in the drug development process and manufacturing;</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research and development activities;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assessment of competitors and potential competitors;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costs resulting from product liability or other third-party claims;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and projected cash needs;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assessment of impact of recent accounting pronouncements;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government regulation and approvals.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right="60" w:firstLine="666"/>
        <w:spacing w:after="0" w:line="287"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“believe,” “estimate,” “predict,” “future,” “intend,” or “certain” or the negative of these terms and similar expressions intended to identify forward-looking statements, although not all forward-looking statements contain these identifying words. These statements are not guarantees of future performance and are subject to certain risks, uncertainties, and assumptions that are difficult to predict; therefore, actual results may differ materially from those expressed or forecasted in any such forward-looking statements. Such risks and uncertainties include those contained in or incorporated by reference under the section titled “Risk Factors.” Given these risks, uncertainties and other important factors, you should not place undue reliance on these forward-looking statements. Also, these forward-looking statements represent our estimates and assumptions only as of the date such forward-looking statements are made. You should carefully read this prospectus supplement and the accompanying prospectus, together with the information incorporated by reference in this prospectus supplement and the accompanying prospectus as described under the sections titled “Where You Can Find More Information” in each document, completely and with the understanding that our actual future results may be materially different from what we expect. We can give no assurances that any of the events anticipated by the forward-looking statements will occur or, if any of them do, what impact they will have on our results of operations and financial condition.</w:t>
      </w:r>
    </w:p>
    <w:p>
      <w:pPr>
        <w:spacing w:after="0" w:line="193" w:lineRule="exact"/>
        <w:rPr>
          <w:sz w:val="20"/>
          <w:szCs w:val="20"/>
          <w:color w:val="auto"/>
        </w:rPr>
      </w:pPr>
    </w:p>
    <w:p>
      <w:pPr>
        <w:ind w:right="360" w:firstLine="702"/>
        <w:spacing w:after="0"/>
        <w:rPr>
          <w:sz w:val="20"/>
          <w:szCs w:val="20"/>
          <w:color w:val="auto"/>
        </w:rPr>
      </w:pPr>
      <w:r>
        <w:rPr>
          <w:rFonts w:ascii="Arial" w:cs="Arial" w:eastAsia="Arial" w:hAnsi="Arial"/>
          <w:sz w:val="22"/>
          <w:szCs w:val="22"/>
          <w:color w:val="auto"/>
        </w:rPr>
        <w:t>Except as required by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2" w:lineRule="exact"/>
        <w:rPr>
          <w:sz w:val="20"/>
          <w:szCs w:val="20"/>
          <w:color w:val="auto"/>
        </w:rPr>
      </w:pPr>
    </w:p>
    <w:p>
      <w:pPr>
        <w:ind w:right="80" w:firstLine="698"/>
        <w:spacing w:after="0" w:line="282" w:lineRule="auto"/>
        <w:rPr>
          <w:sz w:val="20"/>
          <w:szCs w:val="20"/>
          <w:color w:val="auto"/>
        </w:rPr>
      </w:pPr>
      <w:r>
        <w:rPr>
          <w:rFonts w:ascii="Arial" w:cs="Arial" w:eastAsia="Arial" w:hAnsi="Arial"/>
          <w:sz w:val="19"/>
          <w:szCs w:val="19"/>
          <w:color w:val="auto"/>
        </w:rPr>
        <w:t xml:space="preserve">We expect to receive net proceeds from this offering of approximately </w:t>
      </w:r>
      <w:r>
        <w:rPr>
          <w:rFonts w:ascii="Arial" w:cs="Arial" w:eastAsia="Arial" w:hAnsi="Arial"/>
          <w:sz w:val="16"/>
          <w:szCs w:val="16"/>
          <w:color w:val="auto"/>
        </w:rPr>
        <w:t>$1,361,520</w:t>
      </w:r>
      <w:r>
        <w:rPr>
          <w:rFonts w:ascii="Arial" w:cs="Arial" w:eastAsia="Arial" w:hAnsi="Arial"/>
          <w:sz w:val="19"/>
          <w:szCs w:val="19"/>
          <w:color w:val="auto"/>
        </w:rPr>
        <w:t xml:space="preserve"> after deducting the Placement Agents’ fee and our estimated offering expenses, assuming that we sell the maximum number of units in this offering. Because there is no minimum offering amount required as a condition to the closing of this offering, the actual number of units sold, Placement Agents fee and proceeds to us are not presently determinable and may be substantially less than the maximum amount set forth above. We will derive additional proceeds of up to $35,868,000, if all of the warrants sold in the offering are exercised.</w:t>
      </w:r>
    </w:p>
    <w:p>
      <w:pPr>
        <w:spacing w:after="0" w:line="175" w:lineRule="exact"/>
        <w:rPr>
          <w:sz w:val="20"/>
          <w:szCs w:val="20"/>
          <w:color w:val="auto"/>
        </w:rPr>
      </w:pPr>
    </w:p>
    <w:p>
      <w:pPr>
        <w:ind w:right="360" w:firstLine="698"/>
        <w:spacing w:after="0" w:line="251" w:lineRule="auto"/>
        <w:rPr>
          <w:sz w:val="20"/>
          <w:szCs w:val="20"/>
          <w:color w:val="auto"/>
        </w:rPr>
      </w:pPr>
      <w:r>
        <w:rPr>
          <w:rFonts w:ascii="Arial" w:cs="Arial" w:eastAsia="Arial" w:hAnsi="Arial"/>
          <w:sz w:val="22"/>
          <w:szCs w:val="22"/>
          <w:color w:val="auto"/>
        </w:rPr>
        <w:t>We currently intend to use the net proceeds from this offering for working capital and general corporate purposes which shall include the repayment of the Ayer Option up to a maximum of $400,000.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683"/>
        <w:spacing w:after="0" w:line="264" w:lineRule="auto"/>
        <w:rPr>
          <w:sz w:val="20"/>
          <w:szCs w:val="20"/>
          <w:color w:val="auto"/>
        </w:rPr>
      </w:pPr>
      <w:r>
        <w:rPr>
          <w:rFonts w:ascii="Arial" w:cs="Arial" w:eastAsia="Arial" w:hAnsi="Arial"/>
          <w:sz w:val="18"/>
          <w:szCs w:val="18"/>
          <w:color w:val="auto"/>
        </w:rPr>
        <w:t>We established the offering price of the units following negotiations with prospective investors and with reference to the prevailing market price of our common stock, recent trends in such price, daily average trading volume of our common stock, our current stage of development, future capital needs and other factors.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you invest in units in this offering, your ownership interest in our common stock may be diluted to the extent of the difference between the initial public offering price per unit and the pro forma as adjusted net tangible book value per share of our common shares immediately after this offering. The historical net tangible book value of our common shares as of September 30, 2014 was approximately $(656,195), or $(0.0322) per share. Historical net tangible book value per share represents our total tangible assets (total assets less intangible assets) less our total liabilities, divided by the number of outstanding common shares.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Investors participating in this offering will incur immediate, substantial dilution. After giving effect to the receipt of the net proceeds from our sale of 7,320,000 units at a public offering price of $0.20 per share and after deducting Placement Agent fees and estimated offering expenses payable by us, our pro forma as adjusted net tangible book value as of September 30, 2014 would have been approximately $705,325, or $0.0255 per share. This represents an immediate increase in pro forma as adjusted net tangible book value of $0.0493 per share to our existing shareholders and an immediate dilution of $(0.1744) per share to investors purchasing common shares in this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ind w:left="50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9"/>
        </w:trPr>
        <w:tc>
          <w:tcPr>
            <w:tcW w:w="9160" w:type="dxa"/>
            <w:vAlign w:val="bottom"/>
          </w:tcPr>
          <w:p>
            <w:pPr>
              <w:spacing w:after="0"/>
              <w:rPr>
                <w:sz w:val="24"/>
                <w:szCs w:val="24"/>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Without warrants</w:t>
            </w:r>
          </w:p>
        </w:tc>
        <w:tc>
          <w:tcPr>
            <w:tcW w:w="320" w:type="dxa"/>
            <w:vAlign w:val="bottom"/>
          </w:tcPr>
          <w:p>
            <w:pPr>
              <w:spacing w:after="0"/>
              <w:rPr>
                <w:sz w:val="24"/>
                <w:szCs w:val="24"/>
                <w:color w:val="auto"/>
              </w:rPr>
            </w:pPr>
          </w:p>
        </w:tc>
      </w:tr>
      <w:tr>
        <w:trPr>
          <w:trHeight w:val="202"/>
        </w:trPr>
        <w:tc>
          <w:tcPr>
            <w:tcW w:w="9160" w:type="dxa"/>
            <w:vAlign w:val="bottom"/>
          </w:tcPr>
          <w:p>
            <w:pPr>
              <w:spacing w:after="0" w:line="201" w:lineRule="exact"/>
              <w:rPr>
                <w:sz w:val="20"/>
                <w:szCs w:val="20"/>
                <w:color w:val="auto"/>
              </w:rPr>
            </w:pPr>
            <w:r>
              <w:rPr>
                <w:rFonts w:ascii="Arial" w:cs="Arial" w:eastAsia="Arial" w:hAnsi="Arial"/>
                <w:sz w:val="18"/>
                <w:szCs w:val="18"/>
                <w:color w:val="auto"/>
              </w:rPr>
              <w:t>Offering price per share</w:t>
            </w:r>
          </w:p>
        </w:tc>
        <w:tc>
          <w:tcPr>
            <w:tcW w:w="82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Historical net tangible book value per share as of September 30, 2014</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(656,195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0.0493</w:t>
            </w:r>
          </w:p>
        </w:tc>
        <w:tc>
          <w:tcPr>
            <w:tcW w:w="32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0.0255</w:t>
            </w:r>
          </w:p>
        </w:tc>
        <w:tc>
          <w:tcPr>
            <w:tcW w:w="320" w:type="dxa"/>
            <w:vAlign w:val="bottom"/>
          </w:tcPr>
          <w:p>
            <w:pPr>
              <w:spacing w:after="0"/>
              <w:rPr>
                <w:sz w:val="18"/>
                <w:szCs w:val="18"/>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(0.1745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table is based on our net tangible book value as of September 30, 2014, 20,318,815 shares outstanding as of January 7, 2015, the sale of all of the units in the offering and offering proceeds to us after expenses of $214,000.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The above discussion and table are based on approximately 20,318,815 shares of common stock outstanding as of the date of this prospectus supplement and excludes:</w:t>
      </w:r>
    </w:p>
    <w:p>
      <w:pPr>
        <w:spacing w:after="0" w:line="170" w:lineRule="exact"/>
        <w:rPr>
          <w:sz w:val="20"/>
          <w:szCs w:val="20"/>
          <w:color w:val="auto"/>
        </w:rPr>
      </w:pPr>
    </w:p>
    <w:p>
      <w:pPr>
        <w:ind w:left="660" w:right="6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65,430 shares of common stock reserved for issuance upon the exercise of outstanding options granted under our Stock Incentive Plan with a weighted average exercise price of $18.00 per share;</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399,285 shares of common stock that may be issued upon exercise of outstanding warrants as of June 30, 2014 with a weighted average exercise price of $10.19 per share;</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$1.50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$0.40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$0.75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$1.00 per share, assuming the maximum number of units are sold in this offering;</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at an exercise price of $1.25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$1.50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$0.40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$0.75 per share, assuming the maximum number of units are sold in this offering;</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$1.00 per share, assuming the maximum number of units are sold in this offering; and</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73,200 shares of common stock issuable upon exercise of the warrants to be issued to the placement agents in connection with this offering, at an exercise price of $1.25 per share, assuming the maximum number of units are sold in this offering.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A Warrants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Series A warrant will have an initial exercise price of $1.50 per share, will be immediately exercisable and will expire on the five year anniversary of the date of issuance.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B Warrants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Series B warrant will have an initial exercise price of $0.40 per share, will be immediately exercisable, may be redeemed by us in the event that the closing price of our stock is above $0.70 for 20 consecutive trading days (subject to certain conditions including minimum trading volume requirements), and will expire on the six month anniversary of the date of issuance.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C Warrants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Series C warrant will have an initial exercise price of $1.00 per share, will be immediately exercisable, may be redeemed by us in the event that the closing price of our stock is above $1.50 for 20 consecutive trading days (subject to certain conditions including minimum trading volume requirements), and will expire on the five year anniversary of the date of issuance.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Series D Warrants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Series D warrant will be exercisable only if and to the extent that the Series B warrants are exercised, will have an initial exercise price of $0.75 per share, and will expire on the five year anniversary of the date that the Series B warrant is initially exercised.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E Warrants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Series E warrant will be exercisable only if and to the extent that the Series C warrants are exercised, will have an initial exercise price of $1.25 per share, and will expire on the five year anniversary of the date that the Series C warrant is initially exercised.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warrants will not be listed or quoted on any other securities exchange. The warrant holders do not have the rights or privileges of holders of common stock and any voting rights until they exercise their warrants and receive shares of common stock.</w:t>
      </w: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registration statement covering the shares issuable upon exercise of the warrants contained in the units is not effective at the time of exercise of the warrants, the warrants may only be exercised on a “cashless” basis.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and the number of shares of common stock issuable upon the exercise of each warrant are subject to adjustment upon the happening of certain events, such as stock splits and stock dividends, recapitalizations, reorganizations, mergers or consolidations. The Series A warrants also contain anti-dilution protection for issuances below the exercise price, subject to certain exceptions.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Series A warrants, Series D warrants and Series E warrants provide that no exercise will be effected, and the holder of a warrant will not have the right to exercise a warrant, if after giving effect to the exercise the holder, together with any affiliates, would beneficially own in excess of 4.99% of the number of shares of our common stock outstanding immediately after giving effect to the issuance of shares upon exercise of such warrant. The Series B warrants and Series C warrants provide that no exercise will be effected, and the holder of a warrant will not have the right to exercise a warrant, if after giving effect to the exercise the holder, together with any affiliates, would beneficially own in excess of 9.9% of the number of shares of our common stock outstanding immediately after giving effect to the issuance of shares upon exercise of such warrant.</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terms and provisions of the units and our common stock are described under the caption “Description of Securities” in the accompanying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Pursuant to an engagement letter agreement dated as of July 29, 2014, we have engaged H.C. Wainwright &amp; Co., LLC as our exclusive lead placement agent for this offering. We also engaged Olympus Securities LLP on January 9, 2015 as a co-placement agent for this offering. Neither Placement Agent is purchasing or selling any units, nor are they required to arrange for the purchase and sale of any specific number or dollar amount of units, other than to use their “best efforts” to arrange for the sale of units by us. Therefore, we may not sell the entire amount of units being offered. We will enter into a securities purchase agreement directly with the investors in this offering which shall include customary representations, warranties and covenants for transactions of this type.</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the closing of this offering, we will pay the Placement Agents an aggregate cash transaction fee equal to seven percent (7%) of the gross proceeds to us from the sale of the units in the offering. We will reimburse H.C. Wainwright &amp; Co., LLC for its expenses incurred in connection with this offering in an amount equal to one percent (1%) of the aggregate gross proceeds raised in the offering, not to exceed $30,000. The costs, fees and expenses related to the FINRA filings made in connection with this offering will be approximately $157,000.</w:t>
      </w:r>
    </w:p>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we agreed to grant compensation warrants to the Placement Agents to purchase a number of shares of our common stock equal to five percent (5%) of the aggregate number of shares of common stock in the units sold to the investors in this offering. The compensation warrants will have the same terms as the warrants issued to the investors in this offering, except that the compensation warrants will not be transferable for a minimum of 180 days as detailed below. Pursuant to FINRA Rule 5110(g), the compensation warrants and any shares issued upon exercise of the compensation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our company;</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set forth above for the remainder of the time period;</w:t>
      </w:r>
    </w:p>
    <w:p>
      <w:pPr>
        <w:ind w:left="660" w:right="3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aggregate amount of securities of our company held by the holder of the compensation warrants or related persons do not exceed 1% of the securities being offered;</w:t>
      </w:r>
    </w:p>
    <w:p>
      <w:pPr>
        <w:ind w:left="660" w:right="54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 w:lineRule="exact"/>
        <w:rPr>
          <w:rFonts w:ascii="Arial" w:cs="Arial" w:eastAsia="Arial" w:hAnsi="Arial"/>
          <w:sz w:val="16"/>
          <w:szCs w:val="16"/>
          <w:color w:val="auto"/>
        </w:rPr>
      </w:pPr>
    </w:p>
    <w:p>
      <w:pPr>
        <w:ind w:left="660" w:right="1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set forth above for the remainder of the time period.</w:t>
      </w:r>
    </w:p>
    <w:p>
      <w:pPr>
        <w:spacing w:after="0" w:line="21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Placement Agents may be deemed to be underwriters within the meaning of Section 2(a)(11) of the Securities Act and any commissions received by them and any profit realized on the sale of the securities by them while acting as principal might be deemed to be underwriting discounts or commissions under the Securities Act. The Placement Agents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Under these rules and regulations, the Placement Agents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Pursuant to the purchase agreement with investors, we have agreed to not make certain issuances or sales of our securities for a period of 90 days from the completion of this offering.</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engagement letter agreement provides that we will indemnify the Placement Agents against specified liabilities, including liabilities under the Securities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63"/>
        <w:spacing w:after="0" w:line="277" w:lineRule="auto"/>
        <w:rPr>
          <w:sz w:val="20"/>
          <w:szCs w:val="20"/>
          <w:color w:val="auto"/>
        </w:rPr>
      </w:pPr>
      <w:r>
        <w:rPr>
          <w:rFonts w:ascii="Arial" w:cs="Arial" w:eastAsia="Arial" w:hAnsi="Arial"/>
          <w:sz w:val="18"/>
          <w:szCs w:val="18"/>
          <w:color w:val="auto"/>
        </w:rPr>
        <w:t>The validity of the issuance of the securities offered hereby will be passed upon for us by Sanders Ortoli Vaughn-Flam Rosenstadt LLP. Ellenoff Grossman &amp; Schole LLP acted as counsel to H.C. Wainwright &amp; Co., LLC in connection with this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95"/>
        <w:spacing w:after="0" w:line="259" w:lineRule="auto"/>
        <w:rPr>
          <w:sz w:val="20"/>
          <w:szCs w:val="20"/>
          <w:color w:val="auto"/>
        </w:rPr>
      </w:pPr>
      <w:r>
        <w:rPr>
          <w:rFonts w:ascii="Arial" w:cs="Arial" w:eastAsia="Arial" w:hAnsi="Arial"/>
          <w:sz w:val="18"/>
          <w:szCs w:val="18"/>
          <w:color w:val="auto"/>
        </w:rPr>
        <w:t>Our annual consolidated financial statements incorporated in this prospectus by reference to our annual report on Form 10-K for the year ended December 31, 2013 have been audited by Dale Matheson Carr-Hilton LaBonte LLP, independent registered public accounting firm, to the extent indicated in their report thereon. Such consolidated financial statements are incorporated by reference into this prospectus supplement in reliance upon such report given 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28"/>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 You may read and copy any documents that we have filed with the SEC at the SEC’s Public Reference Room at 100 F Street, N.E., Washington, D.C. 20549. Please call the SEC at 1-800-SEC-0330 for further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 In addition, we make available on or through our Internet site copies of these reports as soon as reasonably practicable after we electronically file or furnished them to the SEC. Our Internet site can be found at http://www.tapimmune.com.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incorporating by reference into this prospectus supplement and the accompanying prospectus certain information that we file with the SEC, which means that we are disclosing important information to you by referring you to those documents. The information incorporated by reference is deemed to be part of this prospectus supplement and accompanying prospectus, except for information incorporated by reference that is superseded by information contained in this prospectus supplement and accompany prospectus. This means that you must look at all of the SEC filings that we incorporate by reference to determine if any statements in the prospectus or any document previously incorporated by reference have been modified or superseded. This prospectus supplement and accompanying prospectus incorporates by reference the documents set forth below that we have previously filed with the SEC:</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as amended on Form 10-K/A for the fiscal year ended December 31, 2013 filed on April 17, 2014</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June 30 and September 30, 2014 and amendments on Form 10-Q/A to our quarterly report for the quarter ended March 30, 2014; and</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July 23, August 14 and November 10, 2014</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information in any of the foregoing documents will automatically be deemed to be modified or superseded to the extent that information in this prospectus supplement or accompanying prospectus or in a later filed document that is incorporated or deemed to be incorporated herein by reference modifies or replaces such information.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incorporate by reference all documents we file in the future pursuant to Section 13(a), 13(c), 14 or 15(d) of the Exchange Act (i) after the date of the filing of the registration statement of which this prospectus supplement and accompanying prospectus is a part and prior to the effectiveness of such registration statement or (ii) after the date of this prospectus supplement and until we file a post-effective amendment that indicates the termination of the offering of the securities made by this prospectus supplement and accompanying prospectus. These documents include periodic reports, such as annual reports on Form 10-K, quarterly reports on Form 10-Q and current reports on Form 8-K, as well as any proxy statements.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will provide to each person, including any beneficial owner, to whom a prospectus supplement and accompanying prospectus is delivered, without charge upon written or oral request, a copy of any or all of the documents that are incorporated by reference into this prospectus supplement or accompanying prospectus but not delivered with the prospectus supplement and accompanying prospectus, including exhibits which are specifically incorporated by reference into such documents. You may request a copy of these filings at no cost, by writing to or telephoning us at the following address: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Glynn Wilson, President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1551 Eastlake Avenue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 Seattle, WA</w:t>
      </w:r>
    </w:p>
    <w:p>
      <w:pPr>
        <w:spacing w:after="0" w:line="9" w:lineRule="exact"/>
        <w:rPr>
          <w:sz w:val="20"/>
          <w:szCs w:val="20"/>
          <w:color w:val="auto"/>
        </w:rPr>
      </w:pPr>
    </w:p>
    <w:p>
      <w:pPr>
        <w:ind w:left="5580" w:hanging="428"/>
        <w:spacing w:after="0"/>
        <w:tabs>
          <w:tab w:leader="none" w:pos="5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504-7278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142875</wp:posOffset>
            </wp:positionV>
            <wp:extent cx="2084070"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offer to sell, from time to time in one or more offerings, any combination of common stock, warrants or units having an aggregate initial offering price not exceeding $40,000,000. When we decide to sell a particular class or series of securities, we will provide specific terms of the offered securities in a prospectus supplement. You should read this prospectus and any prospectus supplement carefully before you invest.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carefully read this prospectus and the applicable prospectus supplement carefully before you invest in any securities. This prospectus may not be used to consummate a sale of securities unless accompanied by the applicable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traded on the OTC Bulletin Board under the symbol “TPIV”. On July 14, 2014 the last reported sale price for our common stock on the OTC Bulletin Board was $1.60 per share and we had 16,806,569 shares of common stock outstanding. Neither our warranty nor our units are publically traded.</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21, 2014, the aggregate market value of the voting and non-voting common equity held by non-affiliates of the registrant computed by reference to the price at which the registrant’s common equity was last sold was approximately $79,065,000, based on approximately 15,060,000 shares of common stock held by non-affiliates and a closing share price of $5.25.</w:t>
      </w:r>
    </w:p>
    <w:p>
      <w:pPr>
        <w:spacing w:after="0" w:line="2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5 and contained in any applicable prospectus supplement and under similar headings in the other documents that are incorporated by reference into this prospectus.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offer our common stock, warrants or units, in one or more offerings in amounts, at prices, and on terms determined at the time of the offering. We may sell these securities through agents we select or through underwriters and dealers we select. If we use agents, underwriters or dealers, we will name them and describe their compensation in a prospectus supplement.</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date of this prospectus is July 21,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7480" w:type="dxa"/>
            <w:vAlign w:val="bottom"/>
            <w:gridSpan w:val="5"/>
          </w:tcPr>
          <w:p>
            <w:pPr>
              <w:ind w:left="1080"/>
              <w:spacing w:after="0"/>
              <w:rPr>
                <w:sz w:val="20"/>
                <w:szCs w:val="20"/>
                <w:color w:val="auto"/>
              </w:rPr>
            </w:pPr>
            <w:r>
              <w:rPr>
                <w:rFonts w:ascii="Arial" w:cs="Arial" w:eastAsia="Arial" w:hAnsi="Arial"/>
                <w:sz w:val="18"/>
                <w:szCs w:val="18"/>
                <w:b w:val="1"/>
                <w:bCs w:val="1"/>
                <w:color w:val="auto"/>
              </w:rPr>
              <w:t>Table of Contents</w:t>
            </w:r>
          </w:p>
        </w:tc>
      </w:tr>
      <w:tr>
        <w:trPr>
          <w:trHeight w:val="48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Page</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Prospectus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About this Prospectus</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Risk Factors</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Plan of Distribution</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Common Stock</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Legal Matters</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By Reference</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SEC, utilizing a “shelf” registration process. Under this shelf process, we may sell the securities described in this prospectus in one or more offerings.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or in any documents that we have incorporated by reference into this prospectus. You should read this prospectus and any applicable prospectus supplement, together with the information incorporated herein by reference as described under the heading “Where You Can Find More Information.”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rely only on the information that we have provided or incorporated by reference in this prospectus and any applicable prospectus supplement. We have not authorized any dealer, salesman or other person to give any information or to make any representation other than those contained or incorporated by reference in this prospectus or any applicable prospectus supplement. You must not rely upon any information or representation not contained or incorporated by reference in this prospectus or the accompanying prospectus supplement. We take no responsibility for, and can provide no assurance as to the reliability of, any other information that others may give you.</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any accompanying applicable supplement to this prospectus do not constitute an offer to sell or the solicitation of an offer to buy any securities other than the registered securities to which they relate, nor do this prospectus and any accompanying applicable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sold on a later date.</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upon written or oral request, without charge to you, including any beneficial owner to whom this prospectus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us at President Glynn Wilson, TapImmune Inc, 1551 Eastlake Avenue East, Suite 100, Seattle, WA, 98102 or you may call us at (206) 504-7278.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86"/>
        <w:spacing w:after="0" w:line="286" w:lineRule="auto"/>
        <w:rPr>
          <w:sz w:val="20"/>
          <w:szCs w:val="20"/>
          <w:color w:val="auto"/>
        </w:rPr>
      </w:pPr>
      <w:r>
        <w:rPr>
          <w:rFonts w:ascii="Arial" w:cs="Arial" w:eastAsia="Arial" w:hAnsi="Arial"/>
          <w:sz w:val="16"/>
          <w:szCs w:val="16"/>
          <w:color w:val="auto"/>
        </w:rPr>
        <w:t>Certain information set forth in this prospectus or incorporated by reference in this prospectus may contain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“estimate,” “goal,” “anticipate,” “project” or other comparable terms. Forward-looking statements involve inherent risks and uncertainties which could cause actual results to differ materially from those in the forward-looking statements, as a result of various factors including those risks and uncertainties included in this prospectus under the caption “Risk Factors,” and those risks and uncertainties described in the documents incorporated by reference into this prospectus. We urge you to consider those risks and uncertainties in evaluating our forward-looking statements. All subsequent written and oral forward-looking statements attributable to us or to persons acting on our behalf are expressly qualified in their entirety by the applicable cautionary statements. We further caution readers not to place undue reliance upon any such forward-looking statements, which speak only as of the date made. Except as otherwise required by the federal securities laws, we disclaim any obligation or undertaking to publicly release any updates or revisions to any forward-looking statement contained herein or in the accompanying prospectus (or elsewhere)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370"/>
        <w:spacing w:after="0" w:line="302"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including the risks of investing discussed under “Risk Factors” on page 5, the information incorporated by reference, including our financial statements, and the exhibits to the registration statement of which this prospectus is a part. Unless otherwise stated or the context requires otherwise, references in this prospectus to “TapImmune,” “we,” “us,” or “our” refer to TapImmune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currently in Phase I clinical trials that we would like to progress to Phase II clinical trials in 2014. The other two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2010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two-year follow-on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ind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2014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Her2/neu peptide epitopes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will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Folate Alpha Receptor is expressed in over 90% of ovarian cancer and in 86% of triple negative breast cancer, for which the only treatment options are surgery and chemotherapy, leaving a very important and urgent clinical need for a new therapeutic. In ovarian cancer, time to recurrence is relatively short for this type of cancer and survival prognosis is extremely poor after recurrence. We intend to exercise this option and to initiate a second Phase II trial in 2014 to include the Folate Alpha Receptor epitopes. This trial will likely focus on ovarian cancer. As ovarian cancer has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19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and triple negative breast cancer.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right="20" w:firstLine="39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smallpox vaccine candidate, and we have been encouraged by the results. We expect these studies to begin in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Infectious Diseases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infectious disease/biodefense area, our business strategy is to seek joint research and development partnerships on our infectious disease platform with companies seeking to expand their product portfolios. We are collaborating with the Mayo Clinic for the development of vaccines using TAP expression vectors aimed at viral pandemics/biodefense. We entered into a research and technology license option agreement with the Mayo Clinic to evaluate novel smallpox peptide antigens. The Agreement grants us an exclusive worldwide option to become the exclusive licensee of the smallpox vaccine technology after research studies have been completed under the terms of the agreement. Scientists at the Mayo Clinic have identified a novel set of peptide antigens which collectively can protect small animals from a lethal dose of vaccinia virus. This could form the basis of the first peptide-based vaccine for potential stockpiling. The subsequent regulatory pathway for this product is to use the FDA’s “Animal Efficacy Rule” for completion of efficacy studies in primates followed by Phase I clinical studies on vaccine safety.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complete animal efficacy and human safety studies through non-dilutive grant funding in collaboration with Dr. Greg Poland and colleagues at the Mayo Clinic and anticipate that further development will be completed through strategic corporate partnerships. We anticipate that we will complete these studies with a strategic partner involved in the Biodefense space. The use of non-dilutive grant funding to progress this area allows us to focus the majority of our internal resources on our other product candidates.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78%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principal executive offices are located at 1551 Eastlake Avenue East, Suite 100, Seattle, WA 98102 and our telephone number is (206) 504-7278. We maintain a website at </w:t>
      </w:r>
      <w:r>
        <w:rPr>
          <w:rFonts w:ascii="Arial" w:cs="Arial" w:eastAsia="Arial" w:hAnsi="Arial"/>
          <w:sz w:val="18"/>
          <w:szCs w:val="18"/>
          <w:u w:val="single" w:color="auto"/>
          <w:color w:val="0000FF"/>
        </w:rPr>
        <w:t>http://www.tapimmune.com</w:t>
      </w:r>
      <w:r>
        <w:rPr>
          <w:rFonts w:ascii="Arial" w:cs="Arial" w:eastAsia="Arial" w:hAnsi="Arial"/>
          <w:sz w:val="18"/>
          <w:szCs w:val="18"/>
          <w:color w:val="auto"/>
        </w:rPr>
        <w:t xml:space="preserve"> which contains descriptions of our technology, our drugs and the trial status of each drug. The information on our website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offer the securities described in this prospectus from time to time, together with any applicable prospectus supplement, at prices and on terms to be determined by market conditions at the time of offering. This prospectus provides you with a general description of the securities we may offer. Holders of our common stock are entitled to one vote for each share held of record on each matter submitted to a vote of stockholders. Until you have acquired shares of our common stock upon exercise of any warrants, you will have no rights with respect to the shares of our common stock underlying such warrants. Upon exercise of your warrants, you will be entitled to exercise the rights of a common stockholder only as matters of which the record date occurs after the exercise date. Each time we offer our securities, we will provide a prospectus supplement that will describe the specific amounts, prices and other important terms of the securities. A prospectus supplement to be provided to you may also add, update or change information contained in this prospectus or in documents we have incorporated by reference. However, no prospectus supplement will offer a security that is not registered and described in this prospectus at the time of the effectiveness of the registration statement of which this prospectus is a part.</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1140" w:hanging="808"/>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Investing in our securities involves a high degree of risk. You should carefully consider and evaluate all of the information included and incorporated by reference or deemed to be incorporated by reference in this prospectus or any applicable prospectus supplement, including the risk factors contained herein and those incorporated by reference herein from our Annual Report on Form 10-K for the fiscal year ended December 31, 2013 and the Quarterly Report on Form 10-Q for the quarter ended March 30, 2014, respectively, as updated by annual, quarterly and other reports and documents we file with the SEC after the date of this prospectus and that are incorporated by reference herein or contained in any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2013, we had an accumulated deficit of $55,427,000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 w:name="page23"/>
    <w:bookmarkEnd w:id="22"/>
    <w:p>
      <w:pPr>
        <w:jc w:val="both"/>
        <w:ind w:firstLine="324"/>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achieve commercial success even if our product candidates are approved for sale.</w:t>
      </w:r>
    </w:p>
    <w:p>
      <w:pPr>
        <w:spacing w:after="0" w:line="256"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7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the formulation of Immunotherapies by health care professionals and patients;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of third-parties that we may enter into collaboration agreements with for the manufacture, sales, marketing and distribution of our products; and</w:t>
      </w:r>
    </w:p>
    <w:p>
      <w:pPr>
        <w:spacing w:after="0" w:line="248"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effectiveness and relative cost of alternative treatments which may be developed by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1140" w:hanging="808"/>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 and timing of operating costs and capital expenditures relating to expansion of our business, operations and infrastructure;</w:t>
      </w:r>
    </w:p>
    <w:p>
      <w:pPr>
        <w:spacing w:after="0" w:line="236" w:lineRule="exact"/>
        <w:rPr>
          <w:rFonts w:ascii="Arial" w:cs="Arial" w:eastAsia="Arial" w:hAnsi="Arial"/>
          <w:sz w:val="17"/>
          <w:szCs w:val="17"/>
          <w:color w:val="auto"/>
        </w:rPr>
      </w:pPr>
    </w:p>
    <w:p>
      <w:pPr>
        <w:ind w:left="340" w:right="680" w:hanging="8"/>
        <w:spacing w:after="0" w:line="277" w:lineRule="auto"/>
        <w:tabs>
          <w:tab w:leader="none" w:pos="11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1140" w:hanging="808"/>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license technologies from a third party, the Mayo Clinic. We in-license from the Mayo Clinic the technology for: (i) the Her2/neu peptide epitopes,</w:t>
      </w:r>
    </w:p>
    <w:p>
      <w:pPr>
        <w:spacing w:after="0" w:line="46" w:lineRule="exact"/>
        <w:rPr>
          <w:sz w:val="20"/>
          <w:szCs w:val="20"/>
          <w:color w:val="auto"/>
        </w:rPr>
      </w:pPr>
    </w:p>
    <w:p>
      <w:pPr>
        <w:jc w:val="both"/>
        <w:ind w:right="40" w:firstLine="8"/>
        <w:spacing w:after="0" w:line="255"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17" w:lineRule="exact"/>
        <w:rPr>
          <w:rFonts w:ascii="Arial" w:cs="Arial" w:eastAsia="Arial" w:hAnsi="Arial"/>
          <w:sz w:val="18"/>
          <w:szCs w:val="18"/>
          <w:color w:val="auto"/>
        </w:rPr>
      </w:pPr>
    </w:p>
    <w:p>
      <w:pPr>
        <w:ind w:left="620" w:right="220" w:hanging="423"/>
        <w:spacing w:after="0" w:line="258"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w:t>
      </w:r>
    </w:p>
    <w:p>
      <w:pPr>
        <w:spacing w:after="0" w:line="9" w:lineRule="exact"/>
        <w:rPr>
          <w:rFonts w:ascii="Arial" w:cs="Arial" w:eastAsia="Arial" w:hAnsi="Arial"/>
          <w:sz w:val="18"/>
          <w:szCs w:val="18"/>
          <w:color w:val="auto"/>
        </w:rPr>
      </w:pPr>
    </w:p>
    <w:p>
      <w:pPr>
        <w:ind w:left="620" w:right="580" w:hanging="423"/>
        <w:spacing w:after="0" w:line="261" w:lineRule="auto"/>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or we fail to obtain on commercially reasonable terms, if at all, in-licenses from the Mayo Clinic or other for other rights that are necessary to develop the technology that we have already in-licensed.</w:t>
      </w:r>
    </w:p>
    <w:p>
      <w:pPr>
        <w:spacing w:after="0" w:line="211"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sales, marketing or distribution capability and we must rely upon third parties for such.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intend to create facilities to manufacture our products and therefore will depend upon third parties to do so. We currently have no agreements with any commercial manufacturers.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1140" w:hanging="80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July 16, 2014, we had 2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324"/>
        <w:spacing w:after="0" w:line="29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2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Successful development of biopharmaceuticals is highly uncertain and depends on numerous factors, many of which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1020" w:hanging="323"/>
        <w:spacing w:after="0" w:line="25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 w:lineRule="exact"/>
        <w:rPr>
          <w:rFonts w:ascii="Arial" w:cs="Arial" w:eastAsia="Arial" w:hAnsi="Arial"/>
          <w:sz w:val="18"/>
          <w:szCs w:val="18"/>
          <w:color w:val="auto"/>
        </w:rPr>
      </w:pPr>
    </w:p>
    <w:p>
      <w:pPr>
        <w:ind w:left="1020" w:hanging="32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jc w:val="both"/>
        <w:ind w:left="1020" w:hanging="32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 w:lineRule="exact"/>
        <w:rPr>
          <w:rFonts w:ascii="Arial" w:cs="Arial" w:eastAsia="Arial" w:hAnsi="Arial"/>
          <w:sz w:val="18"/>
          <w:szCs w:val="18"/>
          <w:color w:val="auto"/>
        </w:rPr>
      </w:pPr>
    </w:p>
    <w:p>
      <w:pPr>
        <w:ind w:left="1020" w:hanging="32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32" w:lineRule="exact"/>
        <w:rPr>
          <w:rFonts w:ascii="Arial" w:cs="Arial" w:eastAsia="Arial" w:hAnsi="Arial"/>
          <w:sz w:val="16"/>
          <w:szCs w:val="16"/>
          <w:color w:val="auto"/>
        </w:rPr>
      </w:pPr>
    </w:p>
    <w:p>
      <w:pPr>
        <w:ind w:left="1020" w:hanging="32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 w:lineRule="exact"/>
        <w:rPr>
          <w:sz w:val="20"/>
          <w:szCs w:val="20"/>
          <w:color w:val="auto"/>
        </w:rPr>
      </w:pPr>
    </w:p>
    <w:p>
      <w:pPr>
        <w:ind w:left="720" w:hanging="34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3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200" w:lineRule="exact"/>
        <w:rPr>
          <w:sz w:val="20"/>
          <w:szCs w:val="20"/>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3" w:lineRule="exact"/>
        <w:rPr>
          <w:rFonts w:ascii="Arial" w:cs="Arial" w:eastAsia="Arial" w:hAnsi="Arial"/>
          <w:sz w:val="18"/>
          <w:szCs w:val="18"/>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you have paid,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conditions and trends;positive and negative events relating to healthcare and the overall pharmaceutical and biotech sector;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common stock to be listed or quoted on the OTCBB, the NASDAQ Capital Market, NYSE Amex Equities or other national market system;</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accounting principles; and discussion of us or our stock price by the financial and scientific press and in online investor communities.</w:t>
      </w:r>
    </w:p>
    <w:p>
      <w:pPr>
        <w:spacing w:after="0" w:line="2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jc w:val="both"/>
        <w:ind w:firstLine="324"/>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81" w:lineRule="exact"/>
        <w:rPr>
          <w:sz w:val="20"/>
          <w:szCs w:val="20"/>
          <w:color w:val="auto"/>
        </w:rPr>
      </w:pPr>
    </w:p>
    <w:p>
      <w:pPr>
        <w:ind w:left="1140" w:hanging="808"/>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252" w:lineRule="exact"/>
        <w:rPr>
          <w:rFonts w:ascii="Arial" w:cs="Arial" w:eastAsia="Arial" w:hAnsi="Arial"/>
          <w:sz w:val="18"/>
          <w:szCs w:val="18"/>
          <w:color w:val="auto"/>
        </w:rPr>
      </w:pPr>
    </w:p>
    <w:p>
      <w:pPr>
        <w:ind w:left="340" w:right="280" w:hanging="8"/>
        <w:spacing w:after="0" w:line="277" w:lineRule="auto"/>
        <w:tabs>
          <w:tab w:leader="none" w:pos="11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197" w:lineRule="exact"/>
        <w:rPr>
          <w:rFonts w:ascii="Arial" w:cs="Arial" w:eastAsia="Arial" w:hAnsi="Arial"/>
          <w:sz w:val="18"/>
          <w:szCs w:val="18"/>
          <w:color w:val="auto"/>
        </w:rPr>
      </w:pPr>
    </w:p>
    <w:p>
      <w:pPr>
        <w:ind w:left="340" w:right="100" w:hanging="8"/>
        <w:spacing w:after="0" w:line="308" w:lineRule="auto"/>
        <w:tabs>
          <w:tab w:leader="none" w:pos="115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70" w:lineRule="exact"/>
        <w:rPr>
          <w:sz w:val="20"/>
          <w:szCs w:val="20"/>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252" w:lineRule="exact"/>
        <w:rPr>
          <w:rFonts w:ascii="Arial" w:cs="Arial" w:eastAsia="Arial" w:hAnsi="Arial"/>
          <w:sz w:val="18"/>
          <w:szCs w:val="18"/>
          <w:color w:val="auto"/>
        </w:rPr>
      </w:pPr>
    </w:p>
    <w:p>
      <w:pPr>
        <w:ind w:left="340" w:right="560" w:hanging="8"/>
        <w:spacing w:after="0" w:line="277" w:lineRule="auto"/>
        <w:tabs>
          <w:tab w:leader="none" w:pos="11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97"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the investor with a written statement setting forth the basis on which the broker-dealer made his or her determination; and</w:t>
      </w:r>
    </w:p>
    <w:p>
      <w:pPr>
        <w:spacing w:after="0" w:line="263" w:lineRule="exact"/>
        <w:rPr>
          <w:rFonts w:ascii="Arial" w:cs="Arial" w:eastAsia="Arial" w:hAnsi="Arial"/>
          <w:sz w:val="17"/>
          <w:szCs w:val="17"/>
          <w:color w:val="auto"/>
        </w:rPr>
      </w:pPr>
    </w:p>
    <w:p>
      <w:pPr>
        <w:ind w:left="340" w:right="400" w:hanging="8"/>
        <w:spacing w:after="0" w:line="277" w:lineRule="auto"/>
        <w:tabs>
          <w:tab w:leader="none" w:pos="11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one reason we asked our shareholders to approve a reverse stock split was to increase the price per share of our common stock such that it would not be subject to the “penny stock” rules. Our stock closed at $1.60 per share on July 14, 2014 and the per share price of our common stock might not obtain or maintain the necessary levels to prevent our stock being subject to these rules in the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ind w:firstLine="56"/>
        <w:spacing w:after="0" w:line="273" w:lineRule="auto"/>
        <w:rPr>
          <w:sz w:val="20"/>
          <w:szCs w:val="20"/>
          <w:color w:val="auto"/>
        </w:rPr>
      </w:pPr>
      <w:r>
        <w:rPr>
          <w:rFonts w:ascii="Arial" w:cs="Arial" w:eastAsia="Arial" w:hAnsi="Arial"/>
          <w:sz w:val="17"/>
          <w:szCs w:val="17"/>
          <w:color w:val="auto"/>
        </w:rPr>
        <w:t>The quotation of our common stock on the OTCBB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market for the warrants to purchase common stock being offering in this offering.</w:t>
      </w:r>
    </w:p>
    <w:p>
      <w:pPr>
        <w:spacing w:after="0" w:line="225" w:lineRule="exact"/>
        <w:rPr>
          <w:sz w:val="20"/>
          <w:szCs w:val="20"/>
          <w:color w:val="auto"/>
        </w:rPr>
      </w:pPr>
    </w:p>
    <w:p>
      <w:pPr>
        <w:ind w:right="60" w:firstLine="42"/>
        <w:spacing w:after="0" w:line="342" w:lineRule="auto"/>
        <w:rPr>
          <w:sz w:val="20"/>
          <w:szCs w:val="20"/>
          <w:color w:val="auto"/>
        </w:rPr>
      </w:pPr>
      <w:r>
        <w:rPr>
          <w:rFonts w:ascii="Arial" w:cs="Arial" w:eastAsia="Arial" w:hAnsi="Arial"/>
          <w:sz w:val="16"/>
          <w:szCs w:val="16"/>
          <w:color w:val="auto"/>
        </w:rPr>
        <w:t>There is no established public trading market for the warrants being offered in this offering, and we do not expect a market to develop. In addition, we do not intend to apply for a listing of any of the warrants on any securities exchange. Without an active market, the liquidity of the warrants will be limited.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warrants will have no rights as a common stockholder until such holders exercise their warrants and acquire our common stock.</w:t>
      </w:r>
    </w:p>
    <w:p>
      <w:pPr>
        <w:spacing w:after="0" w:line="248" w:lineRule="exact"/>
        <w:rPr>
          <w:sz w:val="20"/>
          <w:szCs w:val="20"/>
          <w:color w:val="auto"/>
        </w:rPr>
      </w:pPr>
    </w:p>
    <w:p>
      <w:pPr>
        <w:ind w:right="240" w:firstLine="45"/>
        <w:spacing w:after="0" w:line="264" w:lineRule="auto"/>
        <w:rPr>
          <w:sz w:val="20"/>
          <w:szCs w:val="20"/>
          <w:color w:val="auto"/>
        </w:rPr>
      </w:pPr>
      <w:r>
        <w:rPr>
          <w:rFonts w:ascii="Arial" w:cs="Arial" w:eastAsia="Arial" w:hAnsi="Arial"/>
          <w:sz w:val="18"/>
          <w:szCs w:val="18"/>
          <w:color w:val="auto"/>
        </w:rPr>
        <w:t>Until you acquire shares of our common stock upon exercise of your warrants, you will have no rights with respect to the shares of our common stock underlying such warrants. Upon exercise of your warrants, you will be entitled to exercise the rights of a common stockholder only as matters of which the record date occurs after the exercise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jc w:val="both"/>
        <w:ind w:firstLine="52"/>
        <w:spacing w:after="0" w:line="264" w:lineRule="auto"/>
        <w:rPr>
          <w:sz w:val="20"/>
          <w:szCs w:val="20"/>
          <w:color w:val="auto"/>
        </w:rPr>
      </w:pPr>
      <w:r>
        <w:rPr>
          <w:rFonts w:ascii="Arial" w:cs="Arial" w:eastAsia="Arial" w:hAnsi="Arial"/>
          <w:sz w:val="18"/>
          <w:szCs w:val="18"/>
          <w:color w:val="auto"/>
        </w:rPr>
        <w:t>Our common stock began trades on the over-the-counter-markets and is currently quoted on the OTCBB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81" w:lineRule="exact"/>
        <w:rPr>
          <w:sz w:val="20"/>
          <w:szCs w:val="20"/>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252" w:lineRule="exact"/>
        <w:rPr>
          <w:rFonts w:ascii="Arial" w:cs="Arial" w:eastAsia="Arial" w:hAnsi="Arial"/>
          <w:sz w:val="18"/>
          <w:szCs w:val="18"/>
          <w:color w:val="auto"/>
        </w:rPr>
      </w:pPr>
    </w:p>
    <w:p>
      <w:pPr>
        <w:ind w:left="180" w:right="580" w:firstLine="314"/>
        <w:spacing w:after="0" w:line="258" w:lineRule="auto"/>
        <w:tabs>
          <w:tab w:leader="none" w:pos="11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w:t>
      </w:r>
    </w:p>
    <w:p>
      <w:pPr>
        <w:spacing w:after="0" w:line="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commitments;</w:t>
      </w:r>
    </w:p>
    <w:p>
      <w:pPr>
        <w:spacing w:after="0" w:line="210"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OTCBB which would limit the ability of broker-dealers to sell our securities and the ability of shareholders to sell their securities in the secondary market.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trading on the OTCBB must be reporting issuers under Section 12 of the Securities Exchange Act, as amended. If we fail to file such reports in a timely manner, the shares of our common stock would eventually cease to be quoted on the OTCBB, and the market liquidity for our securities could be severely adversely affected by limiting the ability of broker-dealers to sell our securities and the ability of shareholders to sell their securities in the secondary market.</w:t>
      </w:r>
    </w:p>
    <w:p>
      <w:pPr>
        <w:spacing w:after="0" w:line="187" w:lineRule="exact"/>
        <w:rPr>
          <w:sz w:val="20"/>
          <w:szCs w:val="20"/>
          <w:color w:val="auto"/>
        </w:rPr>
      </w:pPr>
    </w:p>
    <w:p>
      <w:pPr>
        <w:ind w:right="140" w:firstLine="45"/>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208"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authorized shares of common stock available for issuance may adversely affect the market price of our securities.</w:t>
      </w:r>
    </w:p>
    <w:p>
      <w:pPr>
        <w:spacing w:after="0" w:line="252" w:lineRule="exact"/>
        <w:rPr>
          <w:sz w:val="20"/>
          <w:szCs w:val="20"/>
          <w:color w:val="auto"/>
        </w:rPr>
      </w:pPr>
    </w:p>
    <w:p>
      <w:pPr>
        <w:jc w:val="both"/>
        <w:ind w:firstLine="398"/>
        <w:spacing w:after="0" w:line="276" w:lineRule="auto"/>
        <w:rPr>
          <w:sz w:val="20"/>
          <w:szCs w:val="20"/>
          <w:color w:val="auto"/>
        </w:rPr>
      </w:pPr>
      <w:r>
        <w:rPr>
          <w:rFonts w:ascii="Arial" w:cs="Arial" w:eastAsia="Arial" w:hAnsi="Arial"/>
          <w:sz w:val="17"/>
          <w:szCs w:val="17"/>
          <w:color w:val="auto"/>
        </w:rPr>
        <w:t>We are currently authorized to issue 500,000,000 shares of our common stock. As of July 14, 2014, we had 16,806,569 shares of our common stock issued and outstanding, excluding shares issuable upon exercise of our outstanding warrants, options and shares of common stock earned but not yet issued under Omnibus Stock Option Plan. Those outstanding shares represent 3.2% of are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2014, the fair value of the derivative liability – warrants was $603,893.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shareholders. We are authorized to issue up to 7,320,000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corporate offices are currently located at 1551 Eastlake Avenue East, Suite 100, Seattle, Washington, 98102.We are on a month to month basis with our landlord for our current facility which is an approximately 2,682 square feet in Seattle, Washington.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8, 2012, we entered into a consulting agreement with Michael Gardner whereby he was issued 56,000 shares of our common stock in exchange for consulting duties, including the raising of capital. We determined that Mr. Gardener had no intent to fulfill his obligations under that agreement and terminated that agreement. The court denied our motion for a TRO and we were unable to raise necessary funds to continue our defense against Mr. Gardner, As a result, we defaulted on a $100,000 bond. In addition, we attempted to restrict Mr. Gardner’s ability to transfer his shares he received pursuant to that agreement. Mr. Gardner sued us in New York Supreme Court attempting to compel us to remove the legend from his shares and we countered a Temporary Restraining Order.</w:t>
      </w:r>
    </w:p>
    <w:p>
      <w:pPr>
        <w:spacing w:after="0" w:line="22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also brought an action against Mr. Gardner in the American Arbitration Association. That action remains pending. We have claimed losses totaling approximately $800,000. Mr. Gardner has claimed damages totaling $633,000, 82,000 shares of our common stock and legal fees.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law firm that we used to pursue the Gardner Action was awarded a judgment against us for $210,255 of unpaid legal fees (“G&amp;S Judgment”). Shareholders of the Company acquired the G&amp;S Judgment in full, converted that Judgment into shares of Company common stock and subsequently released the Company from any liability related thereto.</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to settle that matter in the second quarter of 2014.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6" w:name="page37"/>
    <w:bookmarkEnd w:id="36"/>
    <w:p>
      <w:pPr>
        <w:jc w:val="both"/>
        <w:ind w:firstLine="324"/>
        <w:spacing w:after="0" w:line="264" w:lineRule="auto"/>
        <w:rPr>
          <w:sz w:val="20"/>
          <w:szCs w:val="20"/>
          <w:color w:val="auto"/>
        </w:rPr>
      </w:pPr>
      <w:r>
        <w:rPr>
          <w:rFonts w:ascii="Arial" w:cs="Arial" w:eastAsia="Arial" w:hAnsi="Arial"/>
          <w:sz w:val="18"/>
          <w:szCs w:val="18"/>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an applicable prospectus supplement states otherwise, we expect to use the proceeds from the sale of the sale of these securities in the following order:</w:t>
      </w:r>
    </w:p>
    <w:p>
      <w:pPr>
        <w:spacing w:after="0" w:line="19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$400,000 of proceeds of the sale of these securities to exercise our option to acquire an exclusive license to the Folate Alpha Receptor technology,</w:t>
      </w:r>
    </w:p>
    <w:p>
      <w:pPr>
        <w:spacing w:after="0" w:line="263" w:lineRule="exact"/>
        <w:rPr>
          <w:rFonts w:ascii="Arial" w:cs="Arial" w:eastAsia="Arial" w:hAnsi="Arial"/>
          <w:sz w:val="17"/>
          <w:szCs w:val="17"/>
          <w:color w:val="auto"/>
        </w:rPr>
      </w:pPr>
    </w:p>
    <w:p>
      <w:pPr>
        <w:ind w:left="340" w:right="2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remainder for general corporate purposes, which may include funding clinical studies, repayment of existing indebtedness, working capital, capital expenditures, acquisitions and joint ventures.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this prospectus, we have not identified as probable any specific material proposed uses of these proceeds except as set out above. If, as of the date of any prospectus supplement, we have identified any such uses, we will describe them in the prospectus supplement. The amount of securities offered from time to time pursuant to this prospectus and any prospectus supplement, and the precise amounts and timing of the application of net proceeds from the sale of those securities, depends upon our funding requirements. Pending these uses, we intend to invest the net proceeds in investment-grade, interest-bearing securities.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securities to one or more underwriters or dealers for public offering and sale by them, or we may sell the securities to investors directly or through agents. An applicable prospectus supplement will set forth the terms of the offering and the method of distribution and will identify any firms acting as underwriters, dealers or agents in connection with the offering, including:</w:t>
      </w:r>
    </w:p>
    <w:p>
      <w:pPr>
        <w:spacing w:after="0" w:line="20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or names of any underwriters;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initial public offering price and the net proceeds we will receive from such sale;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distribute our securities from time to time in one or more transactions at a fixed price or prices, which may be changed, or at prices determined as a prospectus supplement specifies, including in “at-the-market” offerings. We may sell our securities through rights offering, forward contracts or similar arrangements.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7" w:name="page38"/>
    <w:bookmarkEnd w:id="37"/>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a prospectus supplement pursuant to delayed delivery contracts providing for payment and delivery on a specified date in the future. The contracts will be subject only to those conditions set forth in an applicable prospectus supplement, and the prospectus supplement will set forth any commissions we pay for solicitation of these contracts.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underwriting discounts or other compensation which we pay to underwriters or agents in connection with the offering of our securities, and any discounts, concessions or commissions which underwriters allow to dealers, will be set forth in a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common stock sold pursuant to this prospectus and applicable prospectus supplement, will be approved for trading, upon notice of issuance, on the OCTBB market or such other stock exchange that our securities are trading upon. Any warrants or units sold pursuant to this prospectus will not be approved on any market or exchange. However, the shares of common stock underlying those warrants will also be approved for trading upon exercise of the warrants on the OTCBB market or such other exchange that our securities are trading upon.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Certain of the underwriters and their affiliates may be customers of, engage in transactions with, and perform services for, us and our subsidiaries in the ordinary course of business at any time. We may sell the securities covered in this prospectus in any of these ways (or in any combination).</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the guidelines of the Financial Services Regulatory Authority, Inc., or FINRA, the maximum compensation to be received by a FINRA member or independent broker-dealer may not exceed 8% of the offering proceeds. It is anticipated that the maximum compensation to be received in any particular offering of securities will be no more than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date hereof, we are authorized by our certificate of incorporation to issue an aggregate of 500,000,000 shares of common stock, par value $0.001 per share and 7,320,000 shares as blank check preferred shares, no par value. 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The principal effect of the reverse stock split decreased the number of outstanding shares of common stock. At the time of the approval of the reverse stock split by the shareholders on January 10, 2014, we had approximately 147,320,000 common shares outstanding, which number was reduced to approximately 1,450,000 shares as a result of the reverse stock split.</w:t>
      </w:r>
    </w:p>
    <w:p>
      <w:pPr>
        <w:spacing w:after="0" w:line="206"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This prospectus contains only a summary of the common stock we may offer from time to time, in one or more offerings, in a dollar amount that does not exceed, in the aggregate, $20,000,000. The specific terms of any securities actually offered for sale, together with the terms of that offering, the initial price and the net proceeds to us from the sale of these securities, will be set forth in an accompanying prospectus supplement. That prospectus supplement also will contain information, where applicable, about material United States federal income tax considerations relating to the securities, and the securities exchange, if any, on which the securities will be listed. This prospectus may not be used to consummate a sale of securities unless it is accompanied by a prospectus supplement.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issue warrants for the purchase of common stock. We may issue warrants independently or together with any other securities offered by any prospectus supplement and they may be attached to or separate from the other offered securities. Each series of warrants will be issued under a separate warrant agreement to be entered into by us. Further terms of the warrants and the applicable warrant agreements will be set forth in the applicable prospectus supplement.</w:t>
      </w:r>
    </w:p>
    <w:p>
      <w:pPr>
        <w:spacing w:after="0" w:line="187"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9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terms and number of shares of common stock purchasable upon exercise of the warrants;</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will be separately transferable;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9" w:name="page40"/>
    <w:bookmarkEnd w:id="39"/>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each share of common stock purchasable upon exercise of the warrants may be purchased;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applicable prospectus supplement will describe, among other matters, :</w:t>
      </w:r>
    </w:p>
    <w:p>
      <w:pPr>
        <w:spacing w:after="0" w:line="225" w:lineRule="exact"/>
        <w:rPr>
          <w:sz w:val="20"/>
          <w:szCs w:val="20"/>
          <w:color w:val="auto"/>
        </w:rPr>
      </w:pPr>
    </w:p>
    <w:p>
      <w:pPr>
        <w:ind w:left="340" w:right="140" w:hanging="8"/>
        <w:spacing w:after="0" w:line="258" w:lineRule="auto"/>
        <w:tabs>
          <w:tab w:leader="none" w:pos="475" w:val="left"/>
        </w:tabs>
        <w:numPr>
          <w:ilvl w:val="0"/>
          <w:numId w:val="27"/>
        </w:numPr>
        <w:rPr>
          <w:rFonts w:ascii="Arial" w:cs="Arial" w:eastAsia="Arial" w:hAnsi="Arial"/>
          <w:sz w:val="18"/>
          <w:szCs w:val="18"/>
          <w:color w:val="222222"/>
        </w:rPr>
      </w:pPr>
      <w:r>
        <w:rPr>
          <w:rFonts w:ascii="Arial" w:cs="Arial" w:eastAsia="Arial" w:hAnsi="Arial"/>
          <w:sz w:val="18"/>
          <w:szCs w:val="18"/>
          <w:color w:val="222222"/>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222222"/>
        </w:rPr>
      </w:pPr>
    </w:p>
    <w:p>
      <w:pPr>
        <w:ind w:left="460" w:hanging="128"/>
        <w:spacing w:after="0"/>
        <w:tabs>
          <w:tab w:leader="none" w:pos="460" w:val="left"/>
        </w:tabs>
        <w:numPr>
          <w:ilvl w:val="0"/>
          <w:numId w:val="27"/>
        </w:numPr>
        <w:rPr>
          <w:rFonts w:ascii="Arial" w:cs="Arial" w:eastAsia="Arial" w:hAnsi="Arial"/>
          <w:sz w:val="18"/>
          <w:szCs w:val="18"/>
          <w:color w:val="222222"/>
        </w:rPr>
      </w:pPr>
      <w:r>
        <w:rPr>
          <w:rFonts w:ascii="Arial" w:cs="Arial" w:eastAsia="Arial" w:hAnsi="Arial"/>
          <w:sz w:val="18"/>
          <w:szCs w:val="18"/>
          <w:color w:val="222222"/>
        </w:rPr>
        <w:t>any agreement under which the units will be issued;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27"/>
        </w:numPr>
        <w:rPr>
          <w:rFonts w:ascii="Arial" w:cs="Arial" w:eastAsia="Arial" w:hAnsi="Arial"/>
          <w:sz w:val="18"/>
          <w:szCs w:val="18"/>
          <w:color w:val="222222"/>
        </w:rPr>
      </w:pPr>
      <w:r>
        <w:rPr>
          <w:rFonts w:ascii="Arial" w:cs="Arial" w:eastAsia="Arial" w:hAnsi="Arial"/>
          <w:sz w:val="18"/>
          <w:szCs w:val="18"/>
          <w:color w:val="222222"/>
        </w:rPr>
        <w:t>any provisions for the issuance, payment, settlement, transfer or exchange of the units or of the securities comprising the units; and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27"/>
        </w:numPr>
        <w:rPr>
          <w:rFonts w:ascii="Arial" w:cs="Arial" w:eastAsia="Arial" w:hAnsi="Arial"/>
          <w:sz w:val="18"/>
          <w:szCs w:val="18"/>
          <w:color w:val="222222"/>
        </w:rPr>
      </w:pPr>
      <w:r>
        <w:rPr>
          <w:rFonts w:ascii="Arial" w:cs="Arial" w:eastAsia="Arial" w:hAnsi="Arial"/>
          <w:sz w:val="18"/>
          <w:szCs w:val="18"/>
          <w:color w:val="222222"/>
        </w:rPr>
        <w:t>whether the units will be issued in fully registered or global form.</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outstanding shares of common stock or shares of common stock issuable upon conversion of our convertible notes and shares of common stock issuable upon exercise of outstanding warrants are subject to demand or piggyback 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Nevada Law</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8% or more of the aggregate market value of the assets of the corporation, (ii) an aggregate market value equal to 8% or more of the aggregate market value of all outstanding shares of the corporation, or (iii) representing 10% or more of the earning power or net income of the corporation.</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Articles of Incorporation and Bylaws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Clean water FL 33760.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our common stock are quoted on the OTCBB under the symbol TPIV.OB. On July 14, 2014 the last reported sale price per share for our common stock on the OTCBB as reported was $1.60.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legality and validity of the securities offered from time to time under this prospectus will be passed upon by Sanders Ortoli Vaughn-Flam Rosenstadt LLP.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financial statements as of December 31, 2013 and 2012, and for each of the three years in the period ended December 31, 2013 incorporated herein by reference from our Annual Report in Form 10-K for the year ended December 31, 2013 have been audited by Dale Matheson Carr-Hilton LaBonte LLP, an independent registered public accounting firm, as set forth in their report therein, and are incorporated in reliance upon such report given on the authority of such firm as experts in accounting and auditing.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0000FF"/>
        </w:rPr>
        <w:t>http://www.sec.gov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SEC allows us to “incorporate by reference” into this prospectus the information we file with the SEC. This means that we can disclose important information to you by referring you to those documents without restating that information in this document. The information incorporated by reference into this prospectus is considered to be part of this prospectus, and information we file with the SEC pursuant to Section 13(a), 13(c), 14 or 15(d) of the Securities Exchange Act of 1934, as amended, or the Exchange Act, after the date of this prospectus and prior to the termination of this offering,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and any future filings made by us with the SEC under Sections 13(a), 13(c), 14 or 15(d) of the Exchange Act, including exhibits (other than in each case, documents or information deemed to be furnished and not filed in accordance with SEC rules):</w:t>
      </w:r>
    </w:p>
    <w:p>
      <w:pPr>
        <w:spacing w:after="0" w:line="179" w:lineRule="exact"/>
        <w:rPr>
          <w:sz w:val="20"/>
          <w:szCs w:val="20"/>
          <w:color w:val="auto"/>
        </w:rPr>
      </w:pPr>
    </w:p>
    <w:p>
      <w:pPr>
        <w:ind w:left="620" w:right="40" w:hanging="369"/>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as filed with the SEC on April 14, 2014 as amended by Form 10-K/A filed with the SEC on April 17, 2014; and</w:t>
      </w:r>
    </w:p>
    <w:p>
      <w:pPr>
        <w:spacing w:after="0" w:line="170" w:lineRule="exact"/>
        <w:rPr>
          <w:rFonts w:ascii="Arial" w:cs="Arial" w:eastAsia="Arial" w:hAnsi="Arial"/>
          <w:sz w:val="18"/>
          <w:szCs w:val="18"/>
          <w:color w:val="auto"/>
        </w:rPr>
      </w:pPr>
    </w:p>
    <w:p>
      <w:pPr>
        <w:ind w:left="620" w:hanging="369"/>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Periodic Reports on Form 10-Q filed with the SEC on May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42" w:name="page43"/>
    <w:bookmarkEnd w:id="42"/>
    <w:p>
      <w:pPr>
        <w:jc w:val="both"/>
        <w:ind w:firstLine="324"/>
        <w:spacing w:after="0" w:line="270" w:lineRule="auto"/>
        <w:rPr>
          <w:sz w:val="20"/>
          <w:szCs w:val="20"/>
          <w:color w:val="auto"/>
        </w:rPr>
      </w:pPr>
      <w:r>
        <w:rPr>
          <w:rFonts w:ascii="Arial" w:cs="Arial" w:eastAsia="Arial" w:hAnsi="Arial"/>
          <w:sz w:val="17"/>
          <w:szCs w:val="17"/>
          <w:color w:val="auto"/>
        </w:rPr>
        <w:t>In addition, all documents that we file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or deemed to be a part of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or deemed to be a part of this Registration Statement modifies or supersedes such statement. Any statement contained in a document that is deemed to be incorporated by reference or deemed to be a part of this Registration Statement after the most recent effective date may modify or replace existing statements contained in this Registration Statement. In either case, any statement so modified or superseded shall not be deemed to constitute a part of this Registration Statement, except as so modified or superseded.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TapImmune Inc.1551 Eastlake Avenue East, Suite 100, Seattle Washington. Attn: Glynn Wilson or by calling (206) 504-7278.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9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206"/>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Roman"/>
      <w:start w:val="2"/>
    </w:lvl>
    <w:lvl w:ilvl="1">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2020-01-22T04:44:06Z</dcterms:created>
  <dcterms:modified xsi:type="dcterms:W3CDTF">2020-01-22T04:44:06Z</dcterms:modified>
</cp:coreProperties>
</file>