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10,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10, 2020, Marker Therapeutics, Inc. (the “Company”) reported financial results for the quarter ended June 30, 2020 and other recent corporate updates. A copy of the press release is furnished as Exhibit 99.1 to this report and incorporated by reference.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222"/>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August 10, 2020.</w:t>
              </w:r>
            </w:hyperlink>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880" w:type="dxa"/>
            <w:vAlign w:val="bottom"/>
            <w:gridSpan w:val="2"/>
          </w:tcPr>
          <w:p>
            <w:pPr>
              <w:ind w:left="26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Dated: August 10, 2020</w:t>
            </w:r>
          </w:p>
        </w:tc>
        <w:tc>
          <w:tcPr>
            <w:tcW w:w="6880" w:type="dxa"/>
            <w:vAlign w:val="bottom"/>
            <w:gridSpan w:val="2"/>
          </w:tcPr>
          <w:p>
            <w:pPr>
              <w:ind w:left="2620"/>
              <w:spacing w:after="0"/>
              <w:rPr>
                <w:sz w:val="20"/>
                <w:szCs w:val="20"/>
                <w:color w:val="auto"/>
              </w:rPr>
            </w:pPr>
            <w:r>
              <w:rPr>
                <w:rFonts w:ascii="Arial" w:cs="Arial" w:eastAsia="Arial" w:hAnsi="Arial"/>
                <w:sz w:val="18"/>
                <w:szCs w:val="18"/>
                <w:color w:val="auto"/>
              </w:rPr>
              <w:t>By: /s/ Anthony Kim</w:t>
            </w:r>
          </w:p>
        </w:tc>
      </w:tr>
      <w:tr>
        <w:trPr>
          <w:trHeight w:val="195"/>
        </w:trPr>
        <w:tc>
          <w:tcPr>
            <w:tcW w:w="4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459"/>
        </w:trPr>
        <w:tc>
          <w:tcPr>
            <w:tcW w:w="43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4879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Second Quarter 2020 Operating and Financial Results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Houston, TX—August 10, 2020—</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second quarter ended June 30, 2020.</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make progress toward advancing our planned Phase 2 trial with our novel MultiTAA-specific T cell therapy in patients with acute myeloid leukemia, or AML,” said Peter L. Hoang, President &amp; CEO of Marker Therapeutics. “While the COVID-19 pandemic has impacted hospital systems globally, we have augmented our process development for our MT-401 product, continued the buildout of our manufacturing facility and added further clinical sites for our Phase 2 AML trial. With a novel cell therapy product candidate that has demonstrated the ability to induce broad and durable immune responses in earlier clinical studies, Marker remains well-positioned to provide a potential treatment option for patients suffering from this devastating disease.”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Multi-Antigen Targeted (MultiTAA) T 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AML Trial Update</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Company continues to identify and add clinical trial sites in preparation for the Phase 2 AML trial initiation. The study is currently subject to a partial clinical hold on the use of a new reagent in the manufacturing process until the FDA reviews and accepts the final data and certificates of analysis for the new reagent. The alternate supplier has been delayed in providing the reagent but expects to ship the reagent to Marker in Q3. Once Marker receives the reagent and completes the required analyses for FDA, the Company will provide additional clarification around the timing of the AML trial enrollment.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USAN Council Approval of “Zelenoleucel” for MT-401</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Marker recently announced that the United States Adopted Names (USAN) Council approved “zelenoleucel” as the nonproprietary (generic) name for MT-401, a MultiTAA-specific T cell product candidate for the treatment of patients with AML following allogeneic stem cell transplant in both adjuvant and active disease settings.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 Data Presented During ASCO</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Updated clinical results from an ongoing investigator-sponsored Phase 1 trial led by the Baylor College of Medicine, evaluating the Company’s MultiTAA-specific T cell therapy in patients with advanced or metastatic pancreatic adenocarcinoma, were presented during the 2020 American Society of Clinical Oncology (ASCO) Virtual Annual Meeting. Data from a cohort of patients receiving MultiTAA-specific T cell therapy in combination with standard-of-care chemotherapy in the first-line setting (Arm A) were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340" w:right="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Out of the 13 evaluable patients (best overall response): four patients experienced objective responses, including one complete response; six patients experienced stable disease; one patient experienced a mixed response (some lesions increased in size and others decreased for a net zero change in size of tumor lesions).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Patients had durable cancer control with 9 of the 13 patients exceeding historical control of overall survival.</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Evidence of epitope-spreading was observed in all responders, suggesting that the MultiTAA T cell therapy triggered the recruitment of a broader endogenous immune system response for improved anti-tumor activity.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infusion-related reactions, cytokine release syndrome or neurotoxicity was observed.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22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On June 30, 2020, Marker announced that the Company executed a lease agreement to establish an in-house cGMP manufacturing facility in Houston, TX. The facility is expected to be completed by year-end and operational in 2021. Marker will continue to manufacture its MultiTAA-specific T cell therapy at the Baylor College of Medicine to support the Company-sponsored AML trial until the in-house cGMP manufacturing facility is operational.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At June 30, 2020, Marker had cash and cash equivalents of $32.1 million. The Company believes that its existing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will fund its operating expenses and capital expenditure requirements into Q2 2021.</w:t>
      </w:r>
    </w:p>
    <w:p>
      <w:pPr>
        <w:spacing w:after="0" w:line="16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$4.3 million for the quarter ended June 30, 2020, compared to $3.2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$2.5 million for the quarter ended June 30, 2020, compared to $2.7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$6.3 million for the quarter ended June 30, 2020, compared to a net loss of $5.6 million for the quarter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impact of the COVID-19 pandemic;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C3338"/>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2C3338"/>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Construction in progress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r>
      <w:tr>
        <w:trPr>
          <w:trHeight w:val="229"/>
        </w:trPr>
        <w:tc>
          <w:tcPr>
            <w:tcW w:w="240" w:type="dxa"/>
            <w:vAlign w:val="bottom"/>
          </w:tcPr>
          <w:p>
            <w:pPr>
              <w:spacing w:after="0"/>
              <w:rPr>
                <w:sz w:val="19"/>
                <w:szCs w:val="19"/>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r>
      <w:tr>
        <w:trPr>
          <w:trHeight w:val="234"/>
        </w:trPr>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(Audited)</w:t>
            </w:r>
          </w:p>
        </w:tc>
      </w:tr>
      <w:tr>
        <w:trPr>
          <w:trHeight w:val="627"/>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32,124,187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43,903,949</w:t>
            </w:r>
          </w:p>
        </w:tc>
      </w:tr>
      <w:tr>
        <w:trPr>
          <w:trHeight w:val="229"/>
        </w:trPr>
        <w:tc>
          <w:tcPr>
            <w:tcW w:w="24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2,632,514</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1,526,442</w:t>
            </w:r>
          </w:p>
        </w:tc>
      </w:tr>
      <w:tr>
        <w:trPr>
          <w:trHeight w:val="230"/>
        </w:trPr>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3,440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56,189</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34,760,141</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r>
      <w:tr>
        <w:trPr>
          <w:trHeight w:val="411"/>
        </w:trPr>
        <w:tc>
          <w:tcPr>
            <w:tcW w:w="24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1,592,094</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417,528</w:t>
            </w:r>
          </w:p>
        </w:tc>
      </w:tr>
      <w:tr>
        <w:trPr>
          <w:trHeight w:val="230"/>
        </w:trPr>
        <w:tc>
          <w:tcPr>
            <w:tcW w:w="24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2,629,141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9,542,228</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455,174</w:t>
            </w: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13,763,463</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r>
      <w:tr>
        <w:trPr>
          <w:trHeight w:val="453"/>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48,523,604</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46,359,282</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-1885315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-1602105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-1328420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-1036320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-753745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-471170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-179070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688"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4,528,021</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1,757,680</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liability</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456,065</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204,132</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4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31,000</w:t>
            </w:r>
          </w:p>
        </w:tc>
      </w:tr>
      <w:tr>
        <w:trPr>
          <w:trHeight w:val="210"/>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4,984,086</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1,992,812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9,025,273</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280,247</w:t>
            </w:r>
          </w:p>
        </w:tc>
      </w:tr>
      <w:tr>
        <w:trPr>
          <w:trHeight w:val="21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non-current liabilities</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9,025,273</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280,247</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14,009,359</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2,273,059</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June 30, 2020 and December 31, 2019, respectively</w:t>
            </w:r>
          </w:p>
        </w:tc>
        <w:tc>
          <w:tcPr>
            <w:tcW w:w="4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ind w:left="260"/>
              <w:spacing w:after="0" w:line="201" w:lineRule="exact"/>
              <w:rPr>
                <w:sz w:val="20"/>
                <w:szCs w:val="20"/>
                <w:color w:val="auto"/>
              </w:rPr>
            </w:pPr>
            <w:r>
              <w:rPr>
                <w:rFonts w:ascii="Arial" w:cs="Arial" w:eastAsia="Arial" w:hAnsi="Arial"/>
                <w:sz w:val="18"/>
                <w:szCs w:val="18"/>
                <w:color w:val="auto"/>
                <w:w w:val="96"/>
              </w:rPr>
              <w:t>Common stock, $0.001 par value, 150 million shares authorized, 46.6 million and 45.7 million</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shares issued and outstanding as of June 30, 2020 and December 31, 2019, respectively</w:t>
            </w:r>
          </w:p>
        </w:tc>
        <w:tc>
          <w:tcPr>
            <w:tcW w:w="40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46,617</w:t>
            </w:r>
          </w:p>
        </w:tc>
        <w:tc>
          <w:tcPr>
            <w:tcW w:w="4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45,728</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374,828,385</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371,573,909</w:t>
            </w: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(340,360,757)</w:t>
            </w:r>
          </w:p>
        </w:tc>
        <w:tc>
          <w:tcPr>
            <w:tcW w:w="4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(327,533,414)</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34,514,245</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44,086,223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48,523,604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46,359,282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40"/>
        </w:trPr>
        <w:tc>
          <w:tcPr>
            <w:tcW w:w="7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2C3338"/>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w w:val="96"/>
              </w:rPr>
              <w:t>For the Three Months Ended</w:t>
            </w:r>
          </w:p>
        </w:tc>
        <w:tc>
          <w:tcPr>
            <w:tcW w:w="260" w:type="dxa"/>
            <w:vAlign w:val="bottom"/>
          </w:tcPr>
          <w:p>
            <w:pPr>
              <w:spacing w:after="0"/>
              <w:rPr>
                <w:sz w:val="19"/>
                <w:szCs w:val="19"/>
                <w:color w:val="auto"/>
              </w:rPr>
            </w:pPr>
          </w:p>
        </w:tc>
        <w:tc>
          <w:tcPr>
            <w:tcW w:w="2740" w:type="dxa"/>
            <w:vAlign w:val="bottom"/>
            <w:gridSpan w:val="6"/>
          </w:tcPr>
          <w:p>
            <w:pPr>
              <w:jc w:val="right"/>
              <w:ind w:right="461"/>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34"/>
        </w:trPr>
        <w:tc>
          <w:tcPr>
            <w:tcW w:w="5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466,785</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466,785</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4,277,052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3,152,445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8,093,670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5,985,140</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2,547,289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2,721,120</w:t>
            </w:r>
          </w:p>
        </w:tc>
        <w:tc>
          <w:tcPr>
            <w:tcW w:w="2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5,374,284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5,526,895</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6,824,341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5,873,565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13,467,954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11,512,035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(6,357,556)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(5,873,565)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(13,001,169)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(11,512,035)</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(16,000)</w:t>
            </w:r>
          </w:p>
        </w:tc>
      </w:tr>
      <w:tr>
        <w:trPr>
          <w:trHeight w:val="229"/>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310,174</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142,826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638,719</w:t>
            </w:r>
          </w:p>
        </w:tc>
      </w:tr>
      <w:tr>
        <w:trPr>
          <w:trHeight w:val="26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(6,341,699</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(5,570,391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(12,827,343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(10,889,316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7"/>
        </w:trPr>
        <w:tc>
          <w:tcPr>
            <w:tcW w:w="5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(0.24)</w:t>
            </w:r>
          </w:p>
        </w:tc>
      </w:tr>
      <w:tr>
        <w:trPr>
          <w:trHeight w:val="197"/>
        </w:trPr>
        <w:tc>
          <w:tcPr>
            <w:tcW w:w="50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46,572,739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45,501,078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46,328,561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45,483,513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2C3338"/>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2C3338"/>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(12,827,343)</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(10,889,316)</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124,627</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39,811</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(31,000)</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16,000</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2,705,365</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2,889,243</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96,973</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89,178</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(1,106,072)</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(349,750)</w:t>
            </w: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52,749</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10,023</w:t>
            </w:r>
          </w:p>
        </w:tc>
      </w:tr>
      <w:tr>
        <w:trPr>
          <w:trHeight w:val="216"/>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2,770,341</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225,135</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(187,068)</w:t>
            </w:r>
          </w:p>
        </w:tc>
        <w:tc>
          <w:tcPr>
            <w:tcW w:w="4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(89,907)</w:t>
            </w:r>
          </w:p>
        </w:tc>
      </w:tr>
      <w:tr>
        <w:trPr>
          <w:trHeight w:val="210"/>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(8,401,428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(8,059,583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(1,299,193)</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(305,382)</w:t>
            </w: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Purchase of construction in progress</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(2,629,141)</w:t>
            </w:r>
          </w:p>
        </w:tc>
        <w:tc>
          <w:tcPr>
            <w:tcW w:w="40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(3,928,334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57,744</w:t>
            </w: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550,000</w:t>
            </w:r>
          </w:p>
        </w:tc>
        <w:tc>
          <w:tcPr>
            <w:tcW w:w="40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5,379</w:t>
            </w:r>
          </w:p>
        </w:tc>
      </w:tr>
      <w:tr>
        <w:trPr>
          <w:trHeight w:val="210"/>
        </w:trPr>
        <w:tc>
          <w:tcPr>
            <w:tcW w:w="74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decrease in cash</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(11,779,762)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(8,301,842)</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43,903,949</w:t>
            </w:r>
          </w:p>
        </w:tc>
        <w:tc>
          <w:tcPr>
            <w:tcW w:w="40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61,746,748</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32,124,187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53,444,906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Brown</w:t>
      </w:r>
    </w:p>
    <w:p>
      <w:pPr>
        <w:spacing w:after="0" w:line="9" w:lineRule="exact"/>
        <w:rPr>
          <w:sz w:val="20"/>
          <w:szCs w:val="20"/>
          <w:color w:val="auto"/>
        </w:rPr>
      </w:pPr>
    </w:p>
    <w:p>
      <w:pPr>
        <w:ind w:right="833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378 2944 lbrown@troutgroup.com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795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5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2020-08-10T15:42:08Z</dcterms:created>
  <dcterms:modified xsi:type="dcterms:W3CDTF">2020-08-10T15:42:08Z</dcterms:modified>
</cp:coreProperties>
</file>