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form10q.htm"/>
      <w:bookmarkStart w:id="1" w:name="ksform10q"/>
      <w:bookmarkEnd w:id="0"/>
      <w:bookmarkEnd w:id="1"/>
      <w:r>
        <w:rPr/>
        <w:t> </w:t>
      </w:r>
    </w:p>
    <w:p>
      <w:pPr>
        <w:pStyle w:val="TextBody"/>
        <w:spacing w:before="0" w:after="0"/>
        <w:rPr/>
      </w:pPr>
      <w:r>
        <w:rPr/>
        <w:t> </w:t>
      </w:r>
    </w:p>
    <w:p>
      <w:pPr>
        <w:pStyle w:val="HorizontalLine"/>
        <w:pBdr>
          <w:bottom w:val="single" w:sz="24" w:space="0" w:color="808080"/>
        </w:pBdr>
        <w:rPr/>
      </w:pPr>
      <w:r>
        <w:rPr/>
      </w:r>
    </w:p>
    <w:p>
      <w:pPr>
        <w:pStyle w:val="HorizontalLine"/>
        <w:pBdr>
          <w:bottom w:val="single" w:sz="6" w:space="0" w:color="808080"/>
        </w:pBdr>
        <w:rPr/>
      </w:pPr>
      <w:r>
        <w:rPr/>
      </w:r>
    </w:p>
    <w:p>
      <w:pPr>
        <w:pStyle w:val="TextBody"/>
        <w:spacing w:before="0" w:after="0"/>
        <w:rPr/>
      </w:pPr>
      <w:r>
        <w:rPr/>
      </w:r>
    </w:p>
    <w:p>
      <w:pPr>
        <w:pStyle w:val="TextBody"/>
        <w:spacing w:before="0" w:after="0"/>
        <w:ind w:left="0" w:right="0" w:firstLine="720"/>
        <w:jc w:val="center"/>
        <w:rPr>
          <w:rFonts w:ascii="Times New Roman" w:hAnsi="Times New Roman"/>
          <w:sz w:val="20"/>
        </w:rPr>
      </w:pPr>
      <w:r>
        <w:rPr>
          <w:rFonts w:ascii="Times New Roman" w:hAnsi="Times New Roman"/>
          <w:sz w:val="20"/>
        </w:rPr>
        <w:t>UNITED STATES SECURITIES AND EXCHANGE COMMISSION</w:t>
      </w:r>
    </w:p>
    <w:p>
      <w:pPr>
        <w:pStyle w:val="TextBody"/>
        <w:spacing w:before="0" w:after="0"/>
        <w:ind w:left="0" w:right="0" w:firstLine="720"/>
        <w:jc w:val="center"/>
        <w:rPr>
          <w:rFonts w:ascii="Times New Roman" w:hAnsi="Times New Roman"/>
          <w:sz w:val="20"/>
        </w:rPr>
      </w:pPr>
      <w:r>
        <w:rPr>
          <w:rFonts w:ascii="Times New Roman" w:hAnsi="Times New Roman"/>
          <w:sz w:val="20"/>
        </w:rPr>
        <w:t>Washington, D.C. 20549</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4"/>
          <w:u w:val="single"/>
        </w:rPr>
      </w:pPr>
      <w:r>
        <w:rPr>
          <w:rFonts w:ascii="Times New Roman" w:hAnsi="Times New Roman"/>
          <w:b/>
          <w:sz w:val="24"/>
          <w:u w:val="single"/>
        </w:rPr>
        <w:t>FORM 10-Q</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Wingdings 2;serif" w:hAnsi="Wingdings 2;serif"/>
          <w:b/>
          <w:sz w:val="20"/>
        </w:rPr>
        <w:t>S</w:t>
      </w:r>
      <w:r>
        <w:rPr>
          <w:rFonts w:ascii="Times New Roman" w:hAnsi="Times New Roman"/>
          <w:sz w:val="20"/>
        </w:rPr>
        <w:t xml:space="preserve">           Quarterly Report Under Section 13 or 15(d) of the Securities Exchange Act of 1934 for the quarterly period ended </w:t>
      </w:r>
      <w:r>
        <w:rPr>
          <w:rFonts w:ascii="Times New Roman" w:hAnsi="Times New Roman"/>
          <w:b/>
          <w:sz w:val="20"/>
          <w:u w:val="single"/>
        </w:rPr>
        <w:t>June 30, 2013</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Wingdings 2;serif" w:hAnsi="Wingdings 2;serif"/>
          <w:sz w:val="20"/>
        </w:rPr>
        <w:t>£</w:t>
      </w:r>
      <w:r>
        <w:rPr>
          <w:rFonts w:ascii="Times New Roman" w:hAnsi="Times New Roman"/>
          <w:sz w:val="20"/>
        </w:rPr>
        <w:t>           Transition Report Under Section 13 or 15(d) of the Securities Exchange Act of 1934 for the transition period from _____ to _____.</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Commission File Number: </w:t>
      </w:r>
      <w:r>
        <w:rPr>
          <w:rFonts w:ascii="Times New Roman" w:hAnsi="Times New Roman"/>
          <w:b/>
          <w:sz w:val="20"/>
          <w:u w:val="single"/>
        </w:rPr>
        <w:t>000-27239</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4"/>
          <w:u w:val="single"/>
        </w:rPr>
      </w:pPr>
      <w:r>
        <w:rPr>
          <w:rFonts w:ascii="Times New Roman" w:hAnsi="Times New Roman"/>
          <w:b/>
          <w:sz w:val="24"/>
          <w:u w:val="single"/>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(Name of registrant in its charter)</w:t>
      </w:r>
    </w:p>
    <w:tbl>
      <w:tblPr>
        <w:tblW w:w="5000" w:type="pct"/>
        <w:jc w:val="left"/>
        <w:tblInd w:w="0" w:type="dxa"/>
        <w:tblCellMar>
          <w:top w:w="0" w:type="dxa"/>
          <w:left w:w="0" w:type="dxa"/>
          <w:bottom w:w="28" w:type="dxa"/>
          <w:right w:w="0" w:type="dxa"/>
        </w:tblCellMar>
      </w:tblPr>
      <w:tblGrid>
        <w:gridCol w:w="6197"/>
        <w:gridCol w:w="363"/>
        <w:gridCol w:w="3645"/>
      </w:tblGrid>
      <w:tr>
        <w:trPr/>
        <w:tc>
          <w:tcPr>
            <w:tcW w:w="6197"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NEVADA</w:t>
            </w:r>
          </w:p>
        </w:tc>
        <w:tc>
          <w:tcPr>
            <w:tcW w:w="363" w:type="dxa"/>
            <w:tcBorders/>
            <w:shd w:fill="auto" w:val="clear"/>
            <w:tcMar>
              <w:bottom w:w="0" w:type="dxa"/>
            </w:tcMar>
          </w:tcPr>
          <w:p>
            <w:pPr>
              <w:pStyle w:val="TableContents"/>
              <w:spacing w:before="0" w:after="283"/>
              <w:rPr/>
            </w:pPr>
            <w:r>
              <w:rPr/>
              <w:t xml:space="preserve">  </w:t>
            </w:r>
          </w:p>
        </w:tc>
        <w:tc>
          <w:tcPr>
            <w:tcW w:w="3645"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88-0277072</w:t>
            </w:r>
          </w:p>
        </w:tc>
      </w:tr>
      <w:tr>
        <w:trPr/>
        <w:tc>
          <w:tcPr>
            <w:tcW w:w="6197"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(State or other jurisdiction of incorporation or organization)</w:t>
            </w:r>
          </w:p>
        </w:tc>
        <w:tc>
          <w:tcPr>
            <w:tcW w:w="363" w:type="dxa"/>
            <w:tcBorders/>
            <w:shd w:fill="auto" w:val="clear"/>
            <w:tcMar>
              <w:bottom w:w="0" w:type="dxa"/>
            </w:tcMar>
          </w:tcPr>
          <w:p>
            <w:pPr>
              <w:pStyle w:val="TableContents"/>
              <w:spacing w:before="0" w:after="283"/>
              <w:rPr/>
            </w:pPr>
            <w:r>
              <w:rPr/>
              <w:t xml:space="preserve">  </w:t>
            </w:r>
          </w:p>
        </w:tc>
        <w:tc>
          <w:tcPr>
            <w:tcW w:w="3645"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(I.R.S. Employer Identification No.)</w:t>
            </w:r>
          </w:p>
        </w:tc>
      </w:tr>
      <w:tr>
        <w:trPr/>
        <w:tc>
          <w:tcPr>
            <w:tcW w:w="6197" w:type="dxa"/>
            <w:tcBorders/>
            <w:shd w:fill="auto" w:val="clear"/>
            <w:tcMar>
              <w:bottom w:w="0" w:type="dxa"/>
            </w:tcMar>
          </w:tcPr>
          <w:p>
            <w:pPr>
              <w:pStyle w:val="TableContents"/>
              <w:spacing w:before="0" w:after="283"/>
              <w:rPr/>
            </w:pPr>
            <w:r>
              <w:rPr/>
              <w:t xml:space="preserve">  </w:t>
            </w:r>
          </w:p>
        </w:tc>
        <w:tc>
          <w:tcPr>
            <w:tcW w:w="363" w:type="dxa"/>
            <w:tcBorders/>
            <w:shd w:fill="auto" w:val="clear"/>
            <w:tcMar>
              <w:bottom w:w="0" w:type="dxa"/>
            </w:tcMar>
          </w:tcPr>
          <w:p>
            <w:pPr>
              <w:pStyle w:val="TableContents"/>
              <w:spacing w:before="0" w:after="283"/>
              <w:rPr/>
            </w:pPr>
            <w:r>
              <w:rPr/>
              <w:t xml:space="preserve">  </w:t>
            </w:r>
          </w:p>
        </w:tc>
        <w:tc>
          <w:tcPr>
            <w:tcW w:w="3645" w:type="dxa"/>
            <w:tcBorders/>
            <w:shd w:fill="auto" w:val="clear"/>
            <w:tcMar>
              <w:bottom w:w="0" w:type="dxa"/>
            </w:tcMar>
          </w:tcPr>
          <w:p>
            <w:pPr>
              <w:pStyle w:val="TableContents"/>
              <w:spacing w:before="0" w:after="283"/>
              <w:rPr/>
            </w:pPr>
            <w:r>
              <w:rPr/>
              <w:t xml:space="preserve">  </w:t>
            </w:r>
          </w:p>
        </w:tc>
      </w:tr>
      <w:tr>
        <w:trPr/>
        <w:tc>
          <w:tcPr>
            <w:tcW w:w="6197" w:type="dxa"/>
            <w:tcBorders>
              <w:bottom w:val="single" w:sz="12"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1551 Eastlake Avenue East, Suite 100</w:t>
            </w:r>
          </w:p>
          <w:p>
            <w:pPr>
              <w:pStyle w:val="TableContents"/>
              <w:spacing w:before="0" w:after="0"/>
              <w:ind w:left="0" w:right="0" w:hanging="0"/>
              <w:jc w:val="center"/>
              <w:rPr>
                <w:rFonts w:ascii="times new roman" w:hAnsi="times new roman"/>
                <w:sz w:val="20"/>
              </w:rPr>
            </w:pPr>
            <w:r>
              <w:rPr>
                <w:rFonts w:ascii="times new roman" w:hAnsi="times new roman"/>
                <w:sz w:val="20"/>
              </w:rPr>
              <w:t>Seattle, Washington</w:t>
            </w:r>
          </w:p>
        </w:tc>
        <w:tc>
          <w:tcPr>
            <w:tcW w:w="363" w:type="dxa"/>
            <w:tcBorders/>
            <w:shd w:fill="auto" w:val="clear"/>
            <w:tcMar>
              <w:bottom w:w="0" w:type="dxa"/>
            </w:tcMar>
          </w:tcPr>
          <w:p>
            <w:pPr>
              <w:pStyle w:val="TableContents"/>
              <w:spacing w:before="0" w:after="283"/>
              <w:rPr/>
            </w:pPr>
            <w:r>
              <w:rPr/>
              <w:t xml:space="preserve">  </w:t>
            </w:r>
          </w:p>
        </w:tc>
        <w:tc>
          <w:tcPr>
            <w:tcW w:w="3645" w:type="dxa"/>
            <w:tcBorders>
              <w:bottom w:val="single" w:sz="12" w:space="0" w:color="000000"/>
            </w:tcBorders>
            <w:shd w:fill="auto" w:val="clear"/>
          </w:tcPr>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z w:val="20"/>
              </w:rPr>
            </w:pPr>
            <w:r>
              <w:rPr>
                <w:rFonts w:ascii="times new roman" w:hAnsi="times new roman"/>
                <w:b/>
                <w:sz w:val="20"/>
              </w:rPr>
              <w:t>98102</w:t>
            </w:r>
          </w:p>
        </w:tc>
      </w:tr>
      <w:tr>
        <w:trPr/>
        <w:tc>
          <w:tcPr>
            <w:tcW w:w="6197"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(Address of principal executive offices)</w:t>
            </w:r>
          </w:p>
        </w:tc>
        <w:tc>
          <w:tcPr>
            <w:tcW w:w="363" w:type="dxa"/>
            <w:tcBorders/>
            <w:shd w:fill="auto" w:val="clear"/>
            <w:tcMar>
              <w:bottom w:w="0" w:type="dxa"/>
            </w:tcMar>
          </w:tcPr>
          <w:p>
            <w:pPr>
              <w:pStyle w:val="TableContents"/>
              <w:spacing w:before="0" w:after="283"/>
              <w:rPr/>
            </w:pPr>
            <w:r>
              <w:rPr/>
              <w:t xml:space="preserve">  </w:t>
            </w:r>
          </w:p>
        </w:tc>
        <w:tc>
          <w:tcPr>
            <w:tcW w:w="3645"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(Zip Code)</w:t>
            </w:r>
          </w:p>
        </w:tc>
      </w:tr>
      <w:tr>
        <w:trPr/>
        <w:tc>
          <w:tcPr>
            <w:tcW w:w="6197" w:type="dxa"/>
            <w:tcBorders/>
            <w:shd w:fill="auto" w:val="clear"/>
            <w:tcMar>
              <w:bottom w:w="0" w:type="dxa"/>
            </w:tcMar>
          </w:tcPr>
          <w:p>
            <w:pPr>
              <w:pStyle w:val="TableContents"/>
              <w:spacing w:before="0" w:after="283"/>
              <w:rPr/>
            </w:pPr>
            <w:r>
              <w:rPr/>
              <w:t xml:space="preserve">  </w:t>
            </w:r>
          </w:p>
        </w:tc>
        <w:tc>
          <w:tcPr>
            <w:tcW w:w="363" w:type="dxa"/>
            <w:tcBorders/>
            <w:shd w:fill="auto" w:val="clear"/>
            <w:tcMar>
              <w:bottom w:w="0" w:type="dxa"/>
            </w:tcMar>
          </w:tcPr>
          <w:p>
            <w:pPr>
              <w:pStyle w:val="TableContents"/>
              <w:spacing w:before="0" w:after="283"/>
              <w:rPr/>
            </w:pPr>
            <w:r>
              <w:rPr/>
              <w:t xml:space="preserve">  </w:t>
            </w:r>
          </w:p>
        </w:tc>
        <w:tc>
          <w:tcPr>
            <w:tcW w:w="3645" w:type="dxa"/>
            <w:tcBorders/>
            <w:shd w:fill="auto" w:val="clear"/>
            <w:tcMar>
              <w:bottom w:w="0" w:type="dxa"/>
            </w:tcMar>
          </w:tcPr>
          <w:p>
            <w:pPr>
              <w:pStyle w:val="TableContents"/>
              <w:spacing w:before="0" w:after="283"/>
              <w:rPr/>
            </w:pPr>
            <w:r>
              <w:rPr/>
              <w:t xml:space="preserve">  </w:t>
            </w:r>
          </w:p>
        </w:tc>
      </w:tr>
      <w:tr>
        <w:trPr/>
        <w:tc>
          <w:tcPr>
            <w:tcW w:w="6197"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(206) 504 7278</w:t>
            </w:r>
          </w:p>
        </w:tc>
        <w:tc>
          <w:tcPr>
            <w:tcW w:w="363" w:type="dxa"/>
            <w:tcBorders/>
            <w:shd w:fill="auto" w:val="clear"/>
            <w:tcMar>
              <w:bottom w:w="0" w:type="dxa"/>
            </w:tcMar>
          </w:tcPr>
          <w:p>
            <w:pPr>
              <w:pStyle w:val="TableContents"/>
              <w:spacing w:before="0" w:after="283"/>
              <w:rPr/>
            </w:pPr>
            <w:r>
              <w:rPr/>
              <w:t xml:space="preserve">  </w:t>
            </w:r>
          </w:p>
        </w:tc>
        <w:tc>
          <w:tcPr>
            <w:tcW w:w="3645" w:type="dxa"/>
            <w:tcBorders/>
            <w:shd w:fill="auto" w:val="clear"/>
            <w:tcMar>
              <w:bottom w:w="0" w:type="dxa"/>
            </w:tcMar>
          </w:tcPr>
          <w:p>
            <w:pPr>
              <w:pStyle w:val="TableContents"/>
              <w:spacing w:before="0" w:after="283"/>
              <w:rPr/>
            </w:pPr>
            <w:r>
              <w:rPr/>
              <w:t xml:space="preserve">  </w:t>
            </w:r>
          </w:p>
        </w:tc>
      </w:tr>
      <w:tr>
        <w:trPr/>
        <w:tc>
          <w:tcPr>
            <w:tcW w:w="6197"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(Issuer's telephone number)</w:t>
            </w:r>
          </w:p>
        </w:tc>
        <w:tc>
          <w:tcPr>
            <w:tcW w:w="363" w:type="dxa"/>
            <w:tcBorders/>
            <w:shd w:fill="auto" w:val="clear"/>
            <w:tcMar>
              <w:bottom w:w="0" w:type="dxa"/>
            </w:tcMar>
          </w:tcPr>
          <w:p>
            <w:pPr>
              <w:pStyle w:val="TableContents"/>
              <w:spacing w:before="0" w:after="283"/>
              <w:rPr/>
            </w:pPr>
            <w:r>
              <w:rPr/>
              <w:t xml:space="preserve">  </w:t>
            </w:r>
          </w:p>
        </w:tc>
        <w:tc>
          <w:tcPr>
            <w:tcW w:w="3645" w:type="dxa"/>
            <w:tcBorders/>
            <w:shd w:fill="auto" w:val="clear"/>
            <w:tcMar>
              <w:bottom w:w="0" w:type="dxa"/>
            </w:tcMar>
          </w:tcPr>
          <w:p>
            <w:pPr>
              <w:pStyle w:val="TableContents"/>
              <w:spacing w:before="0" w:after="283"/>
              <w:rPr/>
            </w:pPr>
            <w:r>
              <w:rPr/>
              <w:t xml:space="preserve">  </w:t>
            </w:r>
          </w:p>
        </w:tc>
      </w:tr>
      <w:tr>
        <w:trPr/>
        <w:tc>
          <w:tcPr>
            <w:tcW w:w="6197" w:type="dxa"/>
            <w:tcBorders/>
            <w:shd w:fill="auto" w:val="clear"/>
            <w:tcMar>
              <w:bottom w:w="0" w:type="dxa"/>
            </w:tcMar>
          </w:tcPr>
          <w:p>
            <w:pPr>
              <w:pStyle w:val="TableContents"/>
              <w:spacing w:before="0" w:after="283"/>
              <w:rPr/>
            </w:pPr>
            <w:r>
              <w:rPr/>
              <w:t xml:space="preserve">  </w:t>
            </w:r>
          </w:p>
        </w:tc>
        <w:tc>
          <w:tcPr>
            <w:tcW w:w="363" w:type="dxa"/>
            <w:tcBorders/>
            <w:shd w:fill="auto" w:val="clear"/>
            <w:tcMar>
              <w:bottom w:w="0" w:type="dxa"/>
            </w:tcMar>
          </w:tcPr>
          <w:p>
            <w:pPr>
              <w:pStyle w:val="TableContents"/>
              <w:spacing w:before="0" w:after="283"/>
              <w:rPr/>
            </w:pPr>
            <w:r>
              <w:rPr/>
              <w:t xml:space="preserve">  </w:t>
            </w:r>
          </w:p>
        </w:tc>
        <w:tc>
          <w:tcPr>
            <w:tcW w:w="3645" w:type="dxa"/>
            <w:tcBorders/>
            <w:shd w:fill="auto" w:val="clear"/>
            <w:tcMar>
              <w:bottom w:w="0" w:type="dxa"/>
            </w:tcMar>
          </w:tcPr>
          <w:p>
            <w:pPr>
              <w:pStyle w:val="TableContents"/>
              <w:spacing w:before="0" w:after="283"/>
              <w:rPr/>
            </w:pPr>
            <w:r>
              <w:rPr/>
              <w:t xml:space="preserve">  </w:t>
            </w:r>
          </w:p>
        </w:tc>
      </w:tr>
    </w:tbl>
    <w:p>
      <w:pPr>
        <w:pStyle w:val="TextBody"/>
        <w:spacing w:before="0" w:after="0"/>
        <w:ind w:left="0" w:right="0" w:hanging="0"/>
        <w:jc w:val="both"/>
        <w:rPr>
          <w:rFonts w:ascii="Times New Roman" w:hAnsi="Times New Roman"/>
          <w:sz w:val="20"/>
        </w:rPr>
      </w:pPr>
      <w:r>
        <w:rPr>
          <w:rFonts w:ascii="Times New Roman" w:hAnsi="Times New Roman"/>
          <w:sz w:val="20"/>
        </w:rPr>
        <w:t>Indicate by check mark whether the registrant (1) filed all reports required to be filed by Section 13 or 15(d) of the Exchange Act during the past 12 months (or for such shorter period that the registrant was required to file such reports), and (2) has been subject to such filing requirements for the past 90 days. Yes  </w:t>
      </w:r>
      <w:r>
        <w:rPr>
          <w:rFonts w:ascii="Wingdings 2;serif" w:hAnsi="Wingdings 2;serif"/>
          <w:b/>
          <w:sz w:val="20"/>
        </w:rPr>
        <w:t>S</w:t>
      </w:r>
      <w:r>
        <w:rPr>
          <w:rFonts w:ascii="Times New Roman" w:hAnsi="Times New Roman"/>
          <w:sz w:val="20"/>
        </w:rPr>
        <w:t>   No  </w:t>
      </w:r>
      <w:r>
        <w:rPr>
          <w:rFonts w:ascii="Wingdings 2;serif" w:hAnsi="Wingdings 2;serif"/>
          <w:sz w:val="20"/>
        </w:rPr>
        <w: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Wingdings 2;serif" w:hAnsi="Wingdings 2;serif"/>
          <w:sz w:val="20"/>
        </w:rPr>
        <w:t>S</w:t>
      </w:r>
      <w:r>
        <w:rPr>
          <w:rFonts w:ascii="Times New Roman" w:hAnsi="Times New Roman"/>
          <w:sz w:val="20"/>
        </w:rPr>
        <w:t>   No  </w:t>
      </w:r>
      <w:r>
        <w:rPr>
          <w:rFonts w:ascii="Wingdings 2;serif" w:hAnsi="Wingdings 2;serif"/>
          <w:sz w:val="20"/>
        </w:rPr>
        <w: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whether the registrant is a large accelerated filer, an accelerated filer, non-accelerated filer or a smaller reporting company. See definition of “accelerated filer”, “large accelerated filer” and “smaller reporting company” in Rule 12b-2 of the Exchange Act (check one):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Wingdings 2;serif" w:hAnsi="Wingdings 2;serif"/>
          <w:sz w:val="20"/>
        </w:rPr>
        <w:t>£</w:t>
      </w:r>
      <w:r>
        <w:rPr>
          <w:rFonts w:ascii="Times New Roman" w:hAnsi="Times New Roman"/>
          <w:sz w:val="20"/>
        </w:rPr>
        <w:t>  Large accelerated filer                                                                                     </w:t>
      </w:r>
      <w:r>
        <w:rPr>
          <w:rFonts w:ascii="Wingdings 2;serif" w:hAnsi="Wingdings 2;serif"/>
          <w:sz w:val="20"/>
        </w:rPr>
        <w:t>£</w:t>
      </w:r>
      <w:r>
        <w:rPr>
          <w:rFonts w:ascii="Times New Roman" w:hAnsi="Times New Roman"/>
          <w:sz w:val="20"/>
        </w:rPr>
        <w:t>  Accelerated filer</w:t>
      </w:r>
    </w:p>
    <w:p>
      <w:pPr>
        <w:pStyle w:val="TextBody"/>
        <w:spacing w:before="0" w:after="0"/>
        <w:ind w:left="0" w:right="0" w:hanging="0"/>
        <w:jc w:val="both"/>
        <w:rPr>
          <w:rFonts w:ascii="Times New Roman" w:hAnsi="Times New Roman"/>
          <w:sz w:val="20"/>
        </w:rPr>
      </w:pPr>
      <w:r>
        <w:rPr>
          <w:rFonts w:ascii="Wingdings 2;serif" w:hAnsi="Wingdings 2;serif"/>
          <w:sz w:val="20"/>
        </w:rPr>
        <w:t>£</w:t>
      </w:r>
      <w:r>
        <w:rPr>
          <w:rFonts w:ascii="Times New Roman" w:hAnsi="Times New Roman"/>
          <w:sz w:val="20"/>
        </w:rPr>
        <w:t xml:space="preserve">  Non-accelerated filer (Do not check                                                             </w:t>
      </w:r>
      <w:r>
        <w:rPr>
          <w:rFonts w:ascii="Wingdings 2;serif" w:hAnsi="Wingdings 2;serif"/>
          <w:b/>
          <w:sz w:val="20"/>
        </w:rPr>
        <w:t>S</w:t>
      </w:r>
      <w:r>
        <w:rPr>
          <w:rFonts w:ascii="Times New Roman" w:hAnsi="Times New Roman"/>
          <w:sz w:val="20"/>
        </w:rPr>
        <w:t>  Smaller reporting company</w:t>
      </w:r>
    </w:p>
    <w:p>
      <w:pPr>
        <w:pStyle w:val="TextBody"/>
        <w:spacing w:before="0" w:after="0"/>
        <w:ind w:left="0" w:right="0" w:hanging="0"/>
        <w:jc w:val="both"/>
        <w:rPr/>
      </w:pPr>
      <w:r>
        <w:rPr/>
        <w:t>      </w:t>
      </w:r>
      <w:r>
        <w:rPr>
          <w:rFonts w:ascii="Times New Roman" w:hAnsi="Times New Roman"/>
          <w:sz w:val="20"/>
        </w:rPr>
        <w:t>if smaller reporting company)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whether the registrant is a shell company (as defined in Rule 12b-2 of the Exchange Act).</w:t>
      </w:r>
    </w:p>
    <w:p>
      <w:pPr>
        <w:pStyle w:val="TextBody"/>
        <w:spacing w:before="0" w:after="0"/>
        <w:ind w:left="0" w:right="0" w:hanging="0"/>
        <w:jc w:val="both"/>
        <w:rPr>
          <w:rFonts w:ascii="Times New Roman" w:hAnsi="Times New Roman"/>
          <w:sz w:val="20"/>
        </w:rPr>
      </w:pPr>
      <w:r>
        <w:rPr>
          <w:rFonts w:ascii="Times New Roman" w:hAnsi="Times New Roman"/>
          <w:sz w:val="20"/>
        </w:rPr>
        <w:t>Yes  </w:t>
      </w:r>
      <w:r>
        <w:rPr>
          <w:rFonts w:ascii="Wingdings 2;serif" w:hAnsi="Wingdings 2;serif"/>
          <w:sz w:val="20"/>
        </w:rPr>
        <w:t>£</w:t>
      </w:r>
      <w:r>
        <w:rPr>
          <w:rFonts w:ascii="Times New Roman" w:hAnsi="Times New Roman"/>
          <w:sz w:val="20"/>
        </w:rPr>
        <w:t>   No  </w:t>
      </w:r>
      <w:r>
        <w:rPr>
          <w:rFonts w:ascii="Wingdings 2;serif" w:hAnsi="Wingdings 2;serif"/>
          <w:b/>
          <w:sz w:val="20"/>
        </w:rPr>
        <w: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of August 10, 2013, the Company had 128,834,556 shares of common stock issued and outstanding.</w:t>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PART I – FINANCIAL INFORMATION</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Item 1.</w:t>
      </w:r>
      <w:r>
        <w:rPr>
          <w:rFonts w:ascii="Times New Roman" w:hAnsi="Times New Roman"/>
          <w:b/>
          <w:sz w:val="20"/>
        </w:rPr>
        <w:t>                </w:t>
      </w:r>
      <w:r>
        <w:rPr>
          <w:rFonts w:ascii="Times New Roman" w:hAnsi="Times New Roman"/>
          <w:b/>
          <w:sz w:val="20"/>
          <w:u w:val="single"/>
        </w:rPr>
        <w:t>Financial Statements</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8609"/>
        <w:gridCol w:w="1596"/>
      </w:tblGrid>
      <w:tr>
        <w:trPr/>
        <w:tc>
          <w:tcPr>
            <w:tcW w:w="8609" w:type="dxa"/>
            <w:tcBorders>
              <w:bottom w:val="single" w:sz="12" w:space="0" w:color="000000"/>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Description</w:t>
            </w:r>
          </w:p>
        </w:tc>
        <w:tc>
          <w:tcPr>
            <w:tcW w:w="1596"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Page</w:t>
            </w:r>
          </w:p>
        </w:tc>
      </w:tr>
      <w:tr>
        <w:trPr/>
        <w:tc>
          <w:tcPr>
            <w:tcW w:w="8609" w:type="dxa"/>
            <w:tcBorders/>
            <w:shd w:fill="auto" w:val="clear"/>
            <w:tcMar>
              <w:bottom w:w="0" w:type="dxa"/>
            </w:tcMar>
          </w:tcPr>
          <w:p>
            <w:pPr>
              <w:pStyle w:val="TableContents"/>
              <w:spacing w:before="0" w:after="283"/>
              <w:rPr/>
            </w:pPr>
            <w:r>
              <w:rPr/>
              <w:t xml:space="preserve">  </w:t>
            </w:r>
          </w:p>
        </w:tc>
        <w:tc>
          <w:tcPr>
            <w:tcW w:w="1596" w:type="dxa"/>
            <w:tcBorders/>
            <w:shd w:fill="auto" w:val="clear"/>
            <w:tcMar>
              <w:bottom w:w="0" w:type="dxa"/>
            </w:tcMar>
          </w:tcPr>
          <w:p>
            <w:pPr>
              <w:pStyle w:val="TableContents"/>
              <w:spacing w:before="0" w:after="283"/>
              <w:rPr/>
            </w:pPr>
            <w:r>
              <w:rPr/>
              <w:t xml:space="preserve">  </w:t>
            </w:r>
          </w:p>
        </w:tc>
      </w:tr>
      <w:tr>
        <w:trPr/>
        <w:tc>
          <w:tcPr>
            <w:tcW w:w="860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Consolidated Balance Sheets as of June 30, 2013 (Unaudited) and December 31, 2012</w:t>
            </w:r>
          </w:p>
        </w:tc>
        <w:tc>
          <w:tcPr>
            <w:tcW w:w="1596" w:type="dxa"/>
            <w:tcBorders/>
            <w:shd w:fill="auto"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w:t>
            </w:r>
          </w:p>
        </w:tc>
      </w:tr>
      <w:tr>
        <w:trPr/>
        <w:tc>
          <w:tcPr>
            <w:tcW w:w="8609" w:type="dxa"/>
            <w:tcBorders/>
            <w:shd w:fill="auto" w:val="clear"/>
            <w:tcMar>
              <w:bottom w:w="0" w:type="dxa"/>
            </w:tcMar>
          </w:tcPr>
          <w:p>
            <w:pPr>
              <w:pStyle w:val="TableContents"/>
              <w:spacing w:before="0" w:after="283"/>
              <w:rPr/>
            </w:pPr>
            <w:r>
              <w:rPr/>
              <w:t xml:space="preserve">  </w:t>
            </w:r>
          </w:p>
        </w:tc>
        <w:tc>
          <w:tcPr>
            <w:tcW w:w="1596" w:type="dxa"/>
            <w:tcBorders/>
            <w:shd w:fill="auto" w:val="clear"/>
            <w:tcMar>
              <w:bottom w:w="0" w:type="dxa"/>
            </w:tcMar>
            <w:vAlign w:val="bottom"/>
          </w:tcPr>
          <w:p>
            <w:pPr>
              <w:pStyle w:val="TableContents"/>
              <w:spacing w:before="0" w:after="283"/>
              <w:rPr/>
            </w:pPr>
            <w:r>
              <w:rPr/>
              <w:t xml:space="preserve">  </w:t>
            </w:r>
          </w:p>
        </w:tc>
      </w:tr>
      <w:tr>
        <w:trPr/>
        <w:tc>
          <w:tcPr>
            <w:tcW w:w="860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Interim Consolidated Statements of Operations for the Six Months Ended June 30, 2013 and 2012 and for the Period from July 27, 1999 (Date of Inception) to June 30, 2013 (Unaudited)</w:t>
            </w:r>
          </w:p>
        </w:tc>
        <w:tc>
          <w:tcPr>
            <w:tcW w:w="1596" w:type="dxa"/>
            <w:tcBorders/>
            <w:shd w:fill="auto"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3</w:t>
            </w:r>
          </w:p>
        </w:tc>
      </w:tr>
      <w:tr>
        <w:trPr/>
        <w:tc>
          <w:tcPr>
            <w:tcW w:w="8609" w:type="dxa"/>
            <w:tcBorders/>
            <w:shd w:fill="auto" w:val="clear"/>
            <w:tcMar>
              <w:bottom w:w="0" w:type="dxa"/>
            </w:tcMar>
          </w:tcPr>
          <w:p>
            <w:pPr>
              <w:pStyle w:val="TableContents"/>
              <w:spacing w:before="0" w:after="283"/>
              <w:rPr/>
            </w:pPr>
            <w:r>
              <w:rPr/>
              <w:t xml:space="preserve">  </w:t>
            </w:r>
          </w:p>
        </w:tc>
        <w:tc>
          <w:tcPr>
            <w:tcW w:w="1596" w:type="dxa"/>
            <w:tcBorders/>
            <w:shd w:fill="auto" w:val="clear"/>
            <w:tcMar>
              <w:bottom w:w="0" w:type="dxa"/>
            </w:tcMar>
            <w:vAlign w:val="bottom"/>
          </w:tcPr>
          <w:p>
            <w:pPr>
              <w:pStyle w:val="TableContents"/>
              <w:spacing w:before="0" w:after="283"/>
              <w:rPr/>
            </w:pPr>
            <w:r>
              <w:rPr/>
              <w:t xml:space="preserve">  </w:t>
            </w:r>
          </w:p>
        </w:tc>
      </w:tr>
      <w:tr>
        <w:trPr/>
        <w:tc>
          <w:tcPr>
            <w:tcW w:w="860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Interim Consolidated Statements of Cash Flows for the Six Months Ended June 30, 2013 and 2012 and for the Period from July 27, 1999 (Date of Inception) to June 30, 2013 (Unaudited)</w:t>
            </w:r>
          </w:p>
        </w:tc>
        <w:tc>
          <w:tcPr>
            <w:tcW w:w="1596" w:type="dxa"/>
            <w:tcBorders/>
            <w:shd w:fill="auto"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4</w:t>
            </w:r>
          </w:p>
        </w:tc>
      </w:tr>
      <w:tr>
        <w:trPr/>
        <w:tc>
          <w:tcPr>
            <w:tcW w:w="8609" w:type="dxa"/>
            <w:tcBorders/>
            <w:shd w:fill="auto" w:val="clear"/>
            <w:tcMar>
              <w:bottom w:w="0" w:type="dxa"/>
            </w:tcMar>
          </w:tcPr>
          <w:p>
            <w:pPr>
              <w:pStyle w:val="TableContents"/>
              <w:spacing w:before="0" w:after="283"/>
              <w:rPr/>
            </w:pPr>
            <w:r>
              <w:rPr/>
              <w:t xml:space="preserve">  </w:t>
            </w:r>
          </w:p>
        </w:tc>
        <w:tc>
          <w:tcPr>
            <w:tcW w:w="1596" w:type="dxa"/>
            <w:tcBorders/>
            <w:shd w:fill="auto" w:val="clear"/>
            <w:tcMar>
              <w:bottom w:w="0" w:type="dxa"/>
            </w:tcMar>
            <w:vAlign w:val="bottom"/>
          </w:tcPr>
          <w:p>
            <w:pPr>
              <w:pStyle w:val="TableContents"/>
              <w:spacing w:before="0" w:after="283"/>
              <w:rPr/>
            </w:pPr>
            <w:r>
              <w:rPr/>
              <w:t xml:space="preserve">  </w:t>
            </w:r>
          </w:p>
        </w:tc>
      </w:tr>
      <w:tr>
        <w:trPr/>
        <w:tc>
          <w:tcPr>
            <w:tcW w:w="860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Notes to the Interim Consolidated Financial Statements (Unaudited)</w:t>
            </w:r>
          </w:p>
        </w:tc>
        <w:tc>
          <w:tcPr>
            <w:tcW w:w="1596" w:type="dxa"/>
            <w:tcBorders/>
            <w:shd w:fill="auto"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5</w:t>
            </w:r>
          </w:p>
        </w:tc>
      </w:tr>
      <w:tr>
        <w:trPr/>
        <w:tc>
          <w:tcPr>
            <w:tcW w:w="8609" w:type="dxa"/>
            <w:tcBorders>
              <w:bottom w:val="single" w:sz="12" w:space="0" w:color="000000"/>
            </w:tcBorders>
            <w:shd w:fill="auto" w:val="clear"/>
          </w:tcPr>
          <w:p>
            <w:pPr>
              <w:pStyle w:val="TableContents"/>
              <w:spacing w:before="0" w:after="283"/>
              <w:rPr/>
            </w:pPr>
            <w:r>
              <w:rPr/>
              <w:t xml:space="preserve">  </w:t>
            </w:r>
          </w:p>
        </w:tc>
        <w:tc>
          <w:tcPr>
            <w:tcW w:w="1596" w:type="dxa"/>
            <w:tcBorders>
              <w:bottom w:val="single" w:sz="12" w:space="0" w:color="000000"/>
            </w:tcBorders>
            <w:shd w:fill="auto" w:val="clear"/>
          </w:tcPr>
          <w:p>
            <w:pPr>
              <w:pStyle w:val="TableContents"/>
              <w:spacing w:before="0" w:after="283"/>
              <w:rPr/>
            </w:pPr>
            <w:r>
              <w:rPr/>
              <w:t xml:space="preserve">  </w:t>
            </w:r>
          </w:p>
        </w:tc>
      </w:tr>
    </w:tbl>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 w:name="PGBRK"/>
      <w:bookmarkStart w:id="3" w:name="PGBRK"/>
      <w:bookmarkEnd w:id="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 w:name="FTR"/>
      <w:bookmarkStart w:id="5" w:name="FTR"/>
      <w:bookmarkEnd w:id="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 w:name="GLFTR"/>
      <w:bookmarkEnd w:id="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 w:name="PN"/>
      <w:bookmarkEnd w:id="7"/>
      <w:r>
        <w:rPr>
          <w:rFonts w:ascii="Times New Roman" w:hAnsi="Times New Roman"/>
          <w:sz w:val="20"/>
        </w:rPr>
        <w:t>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 w:name="HDR"/>
      <w:bookmarkStart w:id="9" w:name="HDR"/>
      <w:bookmarkEnd w:id="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 w:name="GLHDR"/>
      <w:bookmarkEnd w:id="1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CONSOLIDATED BALANCE SHEETS</w:t>
      </w:r>
    </w:p>
    <w:p>
      <w:pPr>
        <w:pStyle w:val="TextBody"/>
        <w:spacing w:before="0" w:after="0"/>
        <w:ind w:left="0" w:right="0" w:hanging="0"/>
        <w:rPr/>
      </w:pPr>
      <w:r>
        <w:rPr/>
      </w:r>
    </w:p>
    <w:tbl>
      <w:tblPr>
        <w:tblW w:w="5000" w:type="pct"/>
        <w:jc w:val="left"/>
        <w:tblInd w:w="0" w:type="dxa"/>
        <w:tblCellMar>
          <w:top w:w="28" w:type="dxa"/>
          <w:left w:w="0" w:type="dxa"/>
          <w:bottom w:w="28" w:type="dxa"/>
          <w:right w:w="0" w:type="dxa"/>
        </w:tblCellMar>
      </w:tblPr>
      <w:tblGrid>
        <w:gridCol w:w="7319"/>
        <w:gridCol w:w="107"/>
        <w:gridCol w:w="125"/>
        <w:gridCol w:w="1094"/>
        <w:gridCol w:w="113"/>
        <w:gridCol w:w="107"/>
        <w:gridCol w:w="125"/>
        <w:gridCol w:w="1094"/>
        <w:gridCol w:w="121"/>
      </w:tblGrid>
      <w:tr>
        <w:trPr/>
        <w:tc>
          <w:tcPr>
            <w:tcW w:w="7319" w:type="dxa"/>
            <w:tcBorders>
              <w:top w:val="single" w:sz="12" w:space="0" w:color="000000"/>
              <w:bottom w:val="single" w:sz="12" w:space="0" w:color="000000"/>
            </w:tcBorders>
            <w:shd w:fill="auto" w:val="clear"/>
            <w:vAlign w:val="bottom"/>
          </w:tcPr>
          <w:p>
            <w:pPr>
              <w:pStyle w:val="TableContents"/>
              <w:spacing w:before="0" w:after="283"/>
              <w:rPr/>
            </w:pPr>
            <w:r>
              <w:rPr/>
              <w:t xml:space="preserve">  </w:t>
            </w:r>
          </w:p>
        </w:tc>
        <w:tc>
          <w:tcPr>
            <w:tcW w:w="107" w:type="dxa"/>
            <w:tcBorders>
              <w:top w:val="single" w:sz="12" w:space="0" w:color="000000"/>
            </w:tcBorders>
            <w:shd w:fill="auto" w:val="clear"/>
            <w:tcMar>
              <w:bottom w:w="0" w:type="dxa"/>
            </w:tcMar>
            <w:vAlign w:val="bottom"/>
          </w:tcPr>
          <w:p>
            <w:pPr>
              <w:pStyle w:val="TableContents"/>
              <w:spacing w:before="0" w:after="283"/>
              <w:rPr/>
            </w:pPr>
            <w:r>
              <w:rPr/>
              <w:t> </w:t>
            </w:r>
          </w:p>
        </w:tc>
        <w:tc>
          <w:tcPr>
            <w:tcW w:w="1219"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March 31,</w:t>
            </w:r>
          </w:p>
          <w:p>
            <w:pPr>
              <w:pStyle w:val="TableContents"/>
              <w:spacing w:before="0" w:after="0"/>
              <w:ind w:left="0" w:right="0" w:hanging="0"/>
              <w:jc w:val="center"/>
              <w:rPr>
                <w:rFonts w:ascii="times new roman" w:hAnsi="times new roman"/>
                <w:sz w:val="20"/>
              </w:rPr>
            </w:pPr>
            <w:r>
              <w:rPr>
                <w:rFonts w:ascii="times new roman" w:hAnsi="times new roman"/>
                <w:sz w:val="20"/>
              </w:rPr>
              <w:t>2013</w:t>
            </w:r>
          </w:p>
        </w:tc>
        <w:tc>
          <w:tcPr>
            <w:tcW w:w="113"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07" w:type="dxa"/>
            <w:tcBorders>
              <w:top w:val="single" w:sz="12" w:space="0" w:color="000000"/>
            </w:tcBorders>
            <w:shd w:fill="auto" w:val="clear"/>
            <w:tcMar>
              <w:bottom w:w="0" w:type="dxa"/>
            </w:tcMar>
            <w:vAlign w:val="bottom"/>
          </w:tcPr>
          <w:p>
            <w:pPr>
              <w:pStyle w:val="TableContents"/>
              <w:spacing w:before="0" w:after="283"/>
              <w:rPr/>
            </w:pPr>
            <w:r>
              <w:rPr/>
              <w:t> </w:t>
            </w:r>
          </w:p>
        </w:tc>
        <w:tc>
          <w:tcPr>
            <w:tcW w:w="1219"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121" w:type="dxa"/>
            <w:tcBorders>
              <w:top w:val="single" w:sz="12" w:space="0" w:color="000000"/>
            </w:tcBorders>
            <w:shd w:fill="auto" w:val="clear"/>
            <w:tcMar>
              <w:bottom w:w="0" w:type="dxa"/>
            </w:tcMar>
            <w:vAlign w:val="bottom"/>
          </w:tcPr>
          <w:p>
            <w:pPr>
              <w:pStyle w:val="TableContents"/>
              <w:spacing w:before="0" w:after="283"/>
              <w:jc w:val="left"/>
              <w:rPr/>
            </w:pPr>
            <w:r>
              <w:rPr/>
              <w:t> </w:t>
            </w:r>
          </w:p>
        </w:tc>
      </w:tr>
      <w:tr>
        <w:trPr/>
        <w:tc>
          <w:tcPr>
            <w:tcW w:w="7319" w:type="dxa"/>
            <w:tcBorders/>
            <w:shd w:fill="auto" w:val="clear"/>
            <w:tcMar>
              <w:top w:w="0" w:type="dxa"/>
              <w:bottom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19" w:type="dxa"/>
            <w:gridSpan w:val="2"/>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(Unaudited)</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19" w:type="dxa"/>
            <w:gridSpan w:val="2"/>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(As restated)</w:t>
            </w:r>
          </w:p>
        </w:tc>
        <w:tc>
          <w:tcPr>
            <w:tcW w:w="121" w:type="dxa"/>
            <w:tcBorders/>
            <w:shd w:fill="auto" w:val="clear"/>
            <w:tcMar>
              <w:top w:w="0" w:type="dxa"/>
              <w:bottom w:w="0" w:type="dxa"/>
            </w:tcMar>
            <w:vAlign w:val="bottom"/>
          </w:tcPr>
          <w:p>
            <w:pPr>
              <w:pStyle w:val="TableContents"/>
              <w:spacing w:before="0" w:after="283"/>
              <w:jc w:val="left"/>
              <w:rPr/>
            </w:pPr>
            <w:r>
              <w:rPr/>
              <w:t> </w:t>
            </w:r>
          </w:p>
        </w:tc>
      </w:tr>
      <w:tr>
        <w:trPr/>
        <w:tc>
          <w:tcPr>
            <w:tcW w:w="10084" w:type="dxa"/>
            <w:gridSpan w:val="8"/>
            <w:tcBorders/>
            <w:shd w:fill="auto" w:val="clear"/>
            <w:tcMar>
              <w:top w:w="0" w:type="dxa"/>
              <w:bottom w:w="0"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ASSETS</w:t>
            </w:r>
          </w:p>
        </w:tc>
        <w:tc>
          <w:tcPr>
            <w:tcW w:w="121" w:type="dxa"/>
            <w:tcBorders/>
            <w:shd w:fill="auto" w:val="clear"/>
            <w:tcMar>
              <w:top w:w="0" w:type="dxa"/>
              <w:bottom w:w="0" w:type="dxa"/>
            </w:tcMar>
            <w:vAlign w:val="bottom"/>
          </w:tcPr>
          <w:p>
            <w:pPr>
              <w:pStyle w:val="TableContents"/>
              <w:spacing w:before="0" w:after="283"/>
              <w:jc w:val="left"/>
              <w:rPr/>
            </w:pPr>
            <w:r>
              <w:rPr/>
              <w:t> </w:t>
            </w:r>
          </w:p>
        </w:tc>
      </w:tr>
      <w:tr>
        <w:trPr/>
        <w:tc>
          <w:tcPr>
            <w:tcW w:w="7319"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Current Assets</w:t>
            </w:r>
          </w:p>
        </w:tc>
        <w:tc>
          <w:tcPr>
            <w:tcW w:w="107" w:type="dxa"/>
            <w:tcBorders/>
            <w:shd w:fill="auto" w:val="clear"/>
            <w:tcMar>
              <w:top w:w="0" w:type="dxa"/>
              <w:bottom w:w="0" w:type="dxa"/>
            </w:tcMar>
            <w:vAlign w:val="bottom"/>
          </w:tcPr>
          <w:p>
            <w:pPr>
              <w:pStyle w:val="TableContents"/>
              <w:spacing w:before="0" w:after="283"/>
              <w:rPr/>
            </w:pPr>
            <w:r>
              <w:rPr/>
              <w:t> </w:t>
            </w:r>
          </w:p>
        </w:tc>
        <w:tc>
          <w:tcPr>
            <w:tcW w:w="1219" w:type="dxa"/>
            <w:gridSpan w:val="2"/>
            <w:tcBorders/>
            <w:shd w:fill="auto" w:val="clear"/>
            <w:tcMar>
              <w:top w:w="0" w:type="dxa"/>
              <w:bottom w:w="0" w:type="dxa"/>
            </w:tcMar>
            <w:vAlign w:val="bottom"/>
          </w:tcPr>
          <w:p>
            <w:pPr>
              <w:pStyle w:val="TableContents"/>
              <w:spacing w:before="0" w:after="283"/>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19" w:type="dxa"/>
            <w:gridSpan w:val="2"/>
            <w:tcBorders/>
            <w:shd w:fill="auto" w:val="clear"/>
            <w:tcMar>
              <w:top w:w="0" w:type="dxa"/>
              <w:bottom w:w="0" w:type="dxa"/>
            </w:tcMar>
            <w:vAlign w:val="bottom"/>
          </w:tcPr>
          <w:p>
            <w:pPr>
              <w:pStyle w:val="TableContents"/>
              <w:spacing w:before="0" w:after="283"/>
              <w:rPr/>
            </w:pPr>
            <w:r>
              <w:rPr/>
              <w:t> </w:t>
            </w:r>
          </w:p>
        </w:tc>
        <w:tc>
          <w:tcPr>
            <w:tcW w:w="121" w:type="dxa"/>
            <w:tcBorders/>
            <w:shd w:fill="auto" w:val="clear"/>
            <w:tcMar>
              <w:top w:w="0" w:type="dxa"/>
              <w:bottom w:w="0" w:type="dxa"/>
            </w:tcMar>
            <w:vAlign w:val="bottom"/>
          </w:tcPr>
          <w:p>
            <w:pPr>
              <w:pStyle w:val="TableContents"/>
              <w:spacing w:before="0" w:after="283"/>
              <w:jc w:val="left"/>
              <w:rPr/>
            </w:pPr>
            <w:r>
              <w:rPr/>
              <w:t> </w:t>
            </w:r>
          </w:p>
        </w:tc>
      </w:tr>
      <w:tr>
        <w:trPr/>
        <w:tc>
          <w:tcPr>
            <w:tcW w:w="7319"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Cash</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45,179</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33,839</w:t>
            </w:r>
          </w:p>
        </w:tc>
        <w:tc>
          <w:tcPr>
            <w:tcW w:w="121" w:type="dxa"/>
            <w:tcBorders/>
            <w:shd w:fill="auto" w:val="clear"/>
            <w:tcMar>
              <w:top w:w="0" w:type="dxa"/>
              <w:bottom w:w="0" w:type="dxa"/>
            </w:tcMar>
            <w:vAlign w:val="bottom"/>
          </w:tcPr>
          <w:p>
            <w:pPr>
              <w:pStyle w:val="TableContents"/>
              <w:spacing w:before="0" w:after="283"/>
              <w:jc w:val="left"/>
              <w:rPr/>
            </w:pPr>
            <w:r>
              <w:rPr/>
              <w:t> </w:t>
            </w:r>
          </w:p>
        </w:tc>
      </w:tr>
      <w:tr>
        <w:trPr/>
        <w:tc>
          <w:tcPr>
            <w:tcW w:w="7319"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Due from government agency</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1,028</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1,077</w:t>
            </w:r>
          </w:p>
        </w:tc>
        <w:tc>
          <w:tcPr>
            <w:tcW w:w="121" w:type="dxa"/>
            <w:tcBorders/>
            <w:shd w:fill="auto" w:val="clear"/>
            <w:tcMar>
              <w:top w:w="0" w:type="dxa"/>
              <w:bottom w:w="0" w:type="dxa"/>
            </w:tcMar>
            <w:vAlign w:val="bottom"/>
          </w:tcPr>
          <w:p>
            <w:pPr>
              <w:pStyle w:val="TableContents"/>
              <w:spacing w:before="0" w:after="283"/>
              <w:jc w:val="left"/>
              <w:rPr/>
            </w:pPr>
            <w:r>
              <w:rPr/>
              <w:t> </w:t>
            </w:r>
          </w:p>
        </w:tc>
      </w:tr>
      <w:tr>
        <w:trPr/>
        <w:tc>
          <w:tcPr>
            <w:tcW w:w="7319"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Prepaid expenses and deposits</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118,954</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15,004</w:t>
            </w:r>
          </w:p>
        </w:tc>
        <w:tc>
          <w:tcPr>
            <w:tcW w:w="121" w:type="dxa"/>
            <w:tcBorders/>
            <w:shd w:fill="auto" w:val="clear"/>
            <w:tcMar>
              <w:top w:w="0" w:type="dxa"/>
              <w:bottom w:w="0" w:type="dxa"/>
            </w:tcMar>
            <w:vAlign w:val="bottom"/>
          </w:tcPr>
          <w:p>
            <w:pPr>
              <w:pStyle w:val="TableContents"/>
              <w:spacing w:before="0" w:after="283"/>
              <w:jc w:val="left"/>
              <w:rPr/>
            </w:pPr>
            <w:r>
              <w:rPr/>
              <w:t> </w:t>
            </w:r>
          </w:p>
        </w:tc>
      </w:tr>
      <w:tr>
        <w:trPr/>
        <w:tc>
          <w:tcPr>
            <w:tcW w:w="7319" w:type="dxa"/>
            <w:tcBorders>
              <w:bottom w:val="single" w:sz="12" w:space="0" w:color="000000"/>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Deferred financing costs (Note 5)</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94"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20,145</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94"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37,452</w:t>
            </w:r>
          </w:p>
        </w:tc>
        <w:tc>
          <w:tcPr>
            <w:tcW w:w="121" w:type="dxa"/>
            <w:tcBorders/>
            <w:shd w:fill="auto" w:val="clear"/>
            <w:tcMar>
              <w:top w:w="0" w:type="dxa"/>
              <w:bottom w:w="0" w:type="dxa"/>
            </w:tcMar>
            <w:vAlign w:val="bottom"/>
          </w:tcPr>
          <w:p>
            <w:pPr>
              <w:pStyle w:val="TableContents"/>
              <w:spacing w:before="0" w:after="283"/>
              <w:jc w:val="left"/>
              <w:rPr/>
            </w:pPr>
            <w:r>
              <w:rPr/>
              <w:t> </w:t>
            </w:r>
          </w:p>
        </w:tc>
      </w:tr>
      <w:tr>
        <w:trPr/>
        <w:tc>
          <w:tcPr>
            <w:tcW w:w="7319" w:type="dxa"/>
            <w:tcBorders/>
            <w:shd w:fill="auto" w:val="clear"/>
            <w:tcMar>
              <w:top w:w="0" w:type="dxa"/>
              <w:bottom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185,306</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87,372</w:t>
            </w:r>
          </w:p>
        </w:tc>
        <w:tc>
          <w:tcPr>
            <w:tcW w:w="121" w:type="dxa"/>
            <w:tcBorders/>
            <w:shd w:fill="auto" w:val="clear"/>
            <w:tcMar>
              <w:top w:w="0" w:type="dxa"/>
              <w:bottom w:w="0" w:type="dxa"/>
            </w:tcMar>
            <w:vAlign w:val="bottom"/>
          </w:tcPr>
          <w:p>
            <w:pPr>
              <w:pStyle w:val="TableContents"/>
              <w:spacing w:before="0" w:after="283"/>
              <w:jc w:val="left"/>
              <w:rPr/>
            </w:pPr>
            <w:r>
              <w:rPr/>
              <w:t> </w:t>
            </w:r>
          </w:p>
        </w:tc>
      </w:tr>
      <w:tr>
        <w:trPr/>
        <w:tc>
          <w:tcPr>
            <w:tcW w:w="7319" w:type="dxa"/>
            <w:tcBorders/>
            <w:shd w:fill="auto" w:val="clear"/>
            <w:tcMar>
              <w:top w:w="0" w:type="dxa"/>
              <w:bottom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4"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4" w:type="dxa"/>
            <w:tcBorders/>
            <w:shd w:fill="auto" w:val="clear"/>
            <w:tcMar>
              <w:top w:w="0" w:type="dxa"/>
              <w:bottom w:w="0" w:type="dxa"/>
            </w:tcMar>
            <w:vAlign w:val="bottom"/>
          </w:tcPr>
          <w:p>
            <w:pPr>
              <w:pStyle w:val="TableContents"/>
              <w:spacing w:before="0" w:after="283"/>
              <w:jc w:val="right"/>
              <w:rPr/>
            </w:pPr>
            <w:r>
              <w:rPr/>
              <w:t> </w:t>
            </w:r>
          </w:p>
        </w:tc>
        <w:tc>
          <w:tcPr>
            <w:tcW w:w="121" w:type="dxa"/>
            <w:tcBorders/>
            <w:shd w:fill="auto" w:val="clear"/>
            <w:tcMar>
              <w:top w:w="0" w:type="dxa"/>
              <w:bottom w:w="0" w:type="dxa"/>
            </w:tcMar>
            <w:vAlign w:val="bottom"/>
          </w:tcPr>
          <w:p>
            <w:pPr>
              <w:pStyle w:val="TableContents"/>
              <w:spacing w:before="0" w:after="283"/>
              <w:jc w:val="left"/>
              <w:rPr/>
            </w:pPr>
            <w:r>
              <w:rPr/>
              <w:t> </w:t>
            </w:r>
          </w:p>
        </w:tc>
      </w:tr>
      <w:tr>
        <w:trPr/>
        <w:tc>
          <w:tcPr>
            <w:tcW w:w="7319" w:type="dxa"/>
            <w:tcBorders/>
            <w:shd w:fill="auto" w:val="clear"/>
            <w:tcMar>
              <w:top w:w="0" w:type="dxa"/>
              <w:bottom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4"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4" w:type="dxa"/>
            <w:tcBorders/>
            <w:shd w:fill="auto" w:val="clear"/>
            <w:tcMar>
              <w:top w:w="0" w:type="dxa"/>
              <w:bottom w:w="0" w:type="dxa"/>
            </w:tcMar>
            <w:vAlign w:val="bottom"/>
          </w:tcPr>
          <w:p>
            <w:pPr>
              <w:pStyle w:val="TableContents"/>
              <w:spacing w:before="0" w:after="283"/>
              <w:jc w:val="right"/>
              <w:rPr/>
            </w:pPr>
            <w:r>
              <w:rPr/>
              <w:t> </w:t>
            </w:r>
          </w:p>
        </w:tc>
        <w:tc>
          <w:tcPr>
            <w:tcW w:w="121" w:type="dxa"/>
            <w:tcBorders/>
            <w:shd w:fill="auto" w:val="clear"/>
            <w:tcMar>
              <w:top w:w="0" w:type="dxa"/>
              <w:bottom w:w="0" w:type="dxa"/>
            </w:tcMar>
            <w:vAlign w:val="bottom"/>
          </w:tcPr>
          <w:p>
            <w:pPr>
              <w:pStyle w:val="TableContents"/>
              <w:spacing w:before="0" w:after="283"/>
              <w:jc w:val="left"/>
              <w:rPr/>
            </w:pPr>
            <w:r>
              <w:rPr/>
              <w:t> </w:t>
            </w:r>
          </w:p>
        </w:tc>
      </w:tr>
      <w:tr>
        <w:trPr/>
        <w:tc>
          <w:tcPr>
            <w:tcW w:w="7319" w:type="dxa"/>
            <w:tcBorders>
              <w:bottom w:val="double" w:sz="8" w:space="0" w:color="000000"/>
            </w:tcBorders>
            <w:shd w:fill="auto" w:val="clear"/>
            <w:tcMar>
              <w:top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4"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185,306</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4"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87,372</w:t>
            </w:r>
          </w:p>
        </w:tc>
        <w:tc>
          <w:tcPr>
            <w:tcW w:w="121" w:type="dxa"/>
            <w:tcBorders/>
            <w:shd w:fill="auto" w:val="clear"/>
            <w:tcMar>
              <w:top w:w="0" w:type="dxa"/>
              <w:bottom w:w="0" w:type="dxa"/>
            </w:tcMar>
            <w:vAlign w:val="bottom"/>
          </w:tcPr>
          <w:p>
            <w:pPr>
              <w:pStyle w:val="TableContents"/>
              <w:spacing w:before="0" w:after="283"/>
              <w:jc w:val="left"/>
              <w:rPr/>
            </w:pPr>
            <w:r>
              <w:rPr/>
              <w:t> </w:t>
            </w:r>
          </w:p>
        </w:tc>
      </w:tr>
      <w:tr>
        <w:trPr/>
        <w:tc>
          <w:tcPr>
            <w:tcW w:w="7319" w:type="dxa"/>
            <w:tcBorders/>
            <w:shd w:fill="auto" w:val="clear"/>
            <w:tcMar>
              <w:top w:w="0" w:type="dxa"/>
              <w:bottom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4"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4" w:type="dxa"/>
            <w:tcBorders/>
            <w:shd w:fill="auto" w:val="clear"/>
            <w:tcMar>
              <w:top w:w="0" w:type="dxa"/>
              <w:bottom w:w="0" w:type="dxa"/>
            </w:tcMar>
            <w:vAlign w:val="bottom"/>
          </w:tcPr>
          <w:p>
            <w:pPr>
              <w:pStyle w:val="TableContents"/>
              <w:spacing w:before="0" w:after="283"/>
              <w:jc w:val="right"/>
              <w:rPr/>
            </w:pPr>
            <w:r>
              <w:rPr/>
              <w:t> </w:t>
            </w:r>
          </w:p>
        </w:tc>
        <w:tc>
          <w:tcPr>
            <w:tcW w:w="121" w:type="dxa"/>
            <w:tcBorders/>
            <w:shd w:fill="auto" w:val="clear"/>
            <w:tcMar>
              <w:top w:w="0" w:type="dxa"/>
              <w:bottom w:w="0" w:type="dxa"/>
            </w:tcMar>
            <w:vAlign w:val="bottom"/>
          </w:tcPr>
          <w:p>
            <w:pPr>
              <w:pStyle w:val="TableContents"/>
              <w:spacing w:before="0" w:after="283"/>
              <w:jc w:val="left"/>
              <w:rPr/>
            </w:pPr>
            <w:r>
              <w:rPr/>
              <w:t> </w:t>
            </w:r>
          </w:p>
        </w:tc>
      </w:tr>
      <w:tr>
        <w:trPr/>
        <w:tc>
          <w:tcPr>
            <w:tcW w:w="10084" w:type="dxa"/>
            <w:gridSpan w:val="8"/>
            <w:tcBorders/>
            <w:shd w:fill="auto" w:val="clear"/>
            <w:tcMar>
              <w:top w:w="0" w:type="dxa"/>
              <w:bottom w:w="0"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LIABILITIES AND STOCKHOLDERS’ DEFICIT</w:t>
            </w:r>
          </w:p>
        </w:tc>
        <w:tc>
          <w:tcPr>
            <w:tcW w:w="121" w:type="dxa"/>
            <w:tcBorders/>
            <w:shd w:fill="auto" w:val="clear"/>
            <w:tcMar>
              <w:top w:w="0" w:type="dxa"/>
              <w:bottom w:w="0" w:type="dxa"/>
            </w:tcMar>
            <w:vAlign w:val="bottom"/>
          </w:tcPr>
          <w:p>
            <w:pPr>
              <w:pStyle w:val="TableContents"/>
              <w:spacing w:before="0" w:after="283"/>
              <w:jc w:val="left"/>
              <w:rPr/>
            </w:pPr>
            <w:r>
              <w:rPr/>
              <w:t> </w:t>
            </w:r>
          </w:p>
        </w:tc>
      </w:tr>
      <w:tr>
        <w:trPr/>
        <w:tc>
          <w:tcPr>
            <w:tcW w:w="7319"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Current Liabilities</w:t>
            </w:r>
          </w:p>
        </w:tc>
        <w:tc>
          <w:tcPr>
            <w:tcW w:w="107"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4"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4" w:type="dxa"/>
            <w:tcBorders/>
            <w:shd w:fill="auto" w:val="clear"/>
            <w:tcMar>
              <w:top w:w="0" w:type="dxa"/>
              <w:bottom w:w="0" w:type="dxa"/>
            </w:tcMar>
            <w:vAlign w:val="bottom"/>
          </w:tcPr>
          <w:p>
            <w:pPr>
              <w:pStyle w:val="TableContents"/>
              <w:spacing w:before="0" w:after="283"/>
              <w:jc w:val="right"/>
              <w:rPr/>
            </w:pPr>
            <w:r>
              <w:rPr/>
              <w:t> </w:t>
            </w:r>
          </w:p>
        </w:tc>
        <w:tc>
          <w:tcPr>
            <w:tcW w:w="121" w:type="dxa"/>
            <w:tcBorders/>
            <w:shd w:fill="auto" w:val="clear"/>
            <w:tcMar>
              <w:top w:w="0" w:type="dxa"/>
              <w:bottom w:w="0" w:type="dxa"/>
            </w:tcMar>
            <w:vAlign w:val="bottom"/>
          </w:tcPr>
          <w:p>
            <w:pPr>
              <w:pStyle w:val="TableContents"/>
              <w:spacing w:before="0" w:after="283"/>
              <w:jc w:val="left"/>
              <w:rPr/>
            </w:pPr>
            <w:r>
              <w:rPr/>
              <w:t> </w:t>
            </w:r>
          </w:p>
        </w:tc>
      </w:tr>
      <w:tr>
        <w:trPr/>
        <w:tc>
          <w:tcPr>
            <w:tcW w:w="7319"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Accounts payable and accrued liabilities (Note 12)</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1,381,500</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1,941,716</w:t>
            </w:r>
          </w:p>
        </w:tc>
        <w:tc>
          <w:tcPr>
            <w:tcW w:w="121" w:type="dxa"/>
            <w:tcBorders/>
            <w:shd w:fill="auto" w:val="clear"/>
            <w:tcMar>
              <w:top w:w="0" w:type="dxa"/>
              <w:bottom w:w="0" w:type="dxa"/>
            </w:tcMar>
            <w:vAlign w:val="bottom"/>
          </w:tcPr>
          <w:p>
            <w:pPr>
              <w:pStyle w:val="TableContents"/>
              <w:spacing w:before="0" w:after="283"/>
              <w:jc w:val="left"/>
              <w:rPr/>
            </w:pPr>
            <w:r>
              <w:rPr/>
              <w:t> </w:t>
            </w:r>
          </w:p>
        </w:tc>
      </w:tr>
      <w:tr>
        <w:trPr/>
        <w:tc>
          <w:tcPr>
            <w:tcW w:w="7319"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Research agreement obligations (Note 3)</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492,365</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415,998</w:t>
            </w:r>
          </w:p>
        </w:tc>
        <w:tc>
          <w:tcPr>
            <w:tcW w:w="121" w:type="dxa"/>
            <w:tcBorders/>
            <w:shd w:fill="auto" w:val="clear"/>
            <w:tcMar>
              <w:top w:w="0" w:type="dxa"/>
              <w:bottom w:w="0" w:type="dxa"/>
            </w:tcMar>
            <w:vAlign w:val="bottom"/>
          </w:tcPr>
          <w:p>
            <w:pPr>
              <w:pStyle w:val="TableContents"/>
              <w:spacing w:before="0" w:after="283"/>
              <w:jc w:val="left"/>
              <w:rPr/>
            </w:pPr>
            <w:r>
              <w:rPr/>
              <w:t> </w:t>
            </w:r>
          </w:p>
        </w:tc>
      </w:tr>
      <w:tr>
        <w:trPr/>
        <w:tc>
          <w:tcPr>
            <w:tcW w:w="7319"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Derivative liability – conversion option (Note 4)</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127,100</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867,575</w:t>
            </w:r>
          </w:p>
        </w:tc>
        <w:tc>
          <w:tcPr>
            <w:tcW w:w="121" w:type="dxa"/>
            <w:tcBorders/>
            <w:shd w:fill="auto" w:val="clear"/>
            <w:tcMar>
              <w:top w:w="0" w:type="dxa"/>
              <w:bottom w:w="0" w:type="dxa"/>
            </w:tcMar>
            <w:vAlign w:val="bottom"/>
          </w:tcPr>
          <w:p>
            <w:pPr>
              <w:pStyle w:val="TableContents"/>
              <w:spacing w:before="0" w:after="283"/>
              <w:jc w:val="left"/>
              <w:rPr/>
            </w:pPr>
            <w:r>
              <w:rPr/>
              <w:t> </w:t>
            </w:r>
          </w:p>
        </w:tc>
      </w:tr>
      <w:tr>
        <w:trPr/>
        <w:tc>
          <w:tcPr>
            <w:tcW w:w="7319"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Derivative liability – warrants (Note 4)</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152,772</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977,086</w:t>
            </w:r>
          </w:p>
        </w:tc>
        <w:tc>
          <w:tcPr>
            <w:tcW w:w="121" w:type="dxa"/>
            <w:tcBorders/>
            <w:shd w:fill="auto" w:val="clear"/>
            <w:tcMar>
              <w:top w:w="0" w:type="dxa"/>
              <w:bottom w:w="0" w:type="dxa"/>
            </w:tcMar>
            <w:vAlign w:val="bottom"/>
          </w:tcPr>
          <w:p>
            <w:pPr>
              <w:pStyle w:val="TableContents"/>
              <w:spacing w:before="0" w:after="283"/>
              <w:jc w:val="left"/>
              <w:rPr/>
            </w:pPr>
            <w:r>
              <w:rPr/>
              <w:t> </w:t>
            </w:r>
          </w:p>
        </w:tc>
      </w:tr>
      <w:tr>
        <w:trPr/>
        <w:tc>
          <w:tcPr>
            <w:tcW w:w="7319"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Convertible notes payable (Note 5)</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2,250,207</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1,376,230</w:t>
            </w:r>
          </w:p>
        </w:tc>
        <w:tc>
          <w:tcPr>
            <w:tcW w:w="121" w:type="dxa"/>
            <w:tcBorders/>
            <w:shd w:fill="auto" w:val="clear"/>
            <w:tcMar>
              <w:top w:w="0" w:type="dxa"/>
              <w:bottom w:w="0" w:type="dxa"/>
            </w:tcMar>
            <w:vAlign w:val="bottom"/>
          </w:tcPr>
          <w:p>
            <w:pPr>
              <w:pStyle w:val="TableContents"/>
              <w:spacing w:before="0" w:after="283"/>
              <w:jc w:val="left"/>
              <w:rPr/>
            </w:pPr>
            <w:r>
              <w:rPr/>
              <w:t> </w:t>
            </w:r>
          </w:p>
        </w:tc>
      </w:tr>
      <w:tr>
        <w:trPr/>
        <w:tc>
          <w:tcPr>
            <w:tcW w:w="7319"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Loans payable (Note 6)</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c>
          <w:tcPr>
            <w:tcW w:w="121" w:type="dxa"/>
            <w:tcBorders/>
            <w:shd w:fill="auto" w:val="clear"/>
            <w:tcMar>
              <w:top w:w="0" w:type="dxa"/>
              <w:bottom w:w="0" w:type="dxa"/>
            </w:tcMar>
            <w:vAlign w:val="bottom"/>
          </w:tcPr>
          <w:p>
            <w:pPr>
              <w:pStyle w:val="TableContents"/>
              <w:spacing w:before="0" w:after="283"/>
              <w:jc w:val="left"/>
              <w:rPr/>
            </w:pPr>
            <w:r>
              <w:rPr/>
              <w:t> </w:t>
            </w:r>
          </w:p>
        </w:tc>
      </w:tr>
      <w:tr>
        <w:trPr/>
        <w:tc>
          <w:tcPr>
            <w:tcW w:w="7319"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Promissory notes (Note 7)</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277,942</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167,942</w:t>
            </w:r>
          </w:p>
        </w:tc>
        <w:tc>
          <w:tcPr>
            <w:tcW w:w="121" w:type="dxa"/>
            <w:tcBorders/>
            <w:shd w:fill="auto" w:val="clear"/>
            <w:tcMar>
              <w:top w:w="0" w:type="dxa"/>
              <w:bottom w:w="0" w:type="dxa"/>
            </w:tcMar>
            <w:vAlign w:val="bottom"/>
          </w:tcPr>
          <w:p>
            <w:pPr>
              <w:pStyle w:val="TableContents"/>
              <w:spacing w:before="0" w:after="283"/>
              <w:jc w:val="left"/>
              <w:rPr/>
            </w:pPr>
            <w:r>
              <w:rPr/>
              <w:t> </w:t>
            </w:r>
          </w:p>
        </w:tc>
      </w:tr>
      <w:tr>
        <w:trPr/>
        <w:tc>
          <w:tcPr>
            <w:tcW w:w="7319" w:type="dxa"/>
            <w:tcBorders>
              <w:bottom w:val="single" w:sz="12" w:space="0" w:color="000000"/>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Due to related parties (Note 8)</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94"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263,846</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94"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373,346</w:t>
            </w:r>
          </w:p>
        </w:tc>
        <w:tc>
          <w:tcPr>
            <w:tcW w:w="121" w:type="dxa"/>
            <w:tcBorders/>
            <w:shd w:fill="auto" w:val="clear"/>
            <w:tcMar>
              <w:top w:w="0" w:type="dxa"/>
              <w:bottom w:w="0" w:type="dxa"/>
            </w:tcMar>
            <w:vAlign w:val="bottom"/>
          </w:tcPr>
          <w:p>
            <w:pPr>
              <w:pStyle w:val="TableContents"/>
              <w:spacing w:before="0" w:after="283"/>
              <w:jc w:val="left"/>
              <w:rPr/>
            </w:pPr>
            <w:r>
              <w:rPr/>
              <w:t> </w:t>
            </w:r>
          </w:p>
        </w:tc>
      </w:tr>
      <w:tr>
        <w:trPr/>
        <w:tc>
          <w:tcPr>
            <w:tcW w:w="7319" w:type="dxa"/>
            <w:tcBorders>
              <w:bottom w:val="single" w:sz="12" w:space="0" w:color="000000"/>
            </w:tcBorders>
            <w:shd w:fill="auto" w:val="clear"/>
            <w:tcMar>
              <w:top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94"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4,955,732</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94"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6,129,893</w:t>
            </w:r>
          </w:p>
        </w:tc>
        <w:tc>
          <w:tcPr>
            <w:tcW w:w="121" w:type="dxa"/>
            <w:tcBorders/>
            <w:shd w:fill="auto" w:val="clear"/>
            <w:tcMar>
              <w:top w:w="0" w:type="dxa"/>
              <w:bottom w:w="0" w:type="dxa"/>
            </w:tcMar>
            <w:vAlign w:val="bottom"/>
          </w:tcPr>
          <w:p>
            <w:pPr>
              <w:pStyle w:val="TableContents"/>
              <w:spacing w:before="0" w:after="283"/>
              <w:jc w:val="left"/>
              <w:rPr/>
            </w:pPr>
            <w:r>
              <w:rPr/>
              <w:t> </w:t>
            </w:r>
          </w:p>
        </w:tc>
      </w:tr>
      <w:tr>
        <w:trPr/>
        <w:tc>
          <w:tcPr>
            <w:tcW w:w="7319" w:type="dxa"/>
            <w:tcBorders/>
            <w:shd w:fill="auto" w:val="clear"/>
            <w:tcMar>
              <w:top w:w="0" w:type="dxa"/>
              <w:bottom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4"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4" w:type="dxa"/>
            <w:tcBorders/>
            <w:shd w:fill="auto" w:val="clear"/>
            <w:tcMar>
              <w:top w:w="0" w:type="dxa"/>
              <w:bottom w:w="0" w:type="dxa"/>
            </w:tcMar>
            <w:vAlign w:val="bottom"/>
          </w:tcPr>
          <w:p>
            <w:pPr>
              <w:pStyle w:val="TableContents"/>
              <w:spacing w:before="0" w:after="283"/>
              <w:jc w:val="right"/>
              <w:rPr/>
            </w:pPr>
            <w:r>
              <w:rPr/>
              <w:t> </w:t>
            </w:r>
          </w:p>
        </w:tc>
        <w:tc>
          <w:tcPr>
            <w:tcW w:w="121" w:type="dxa"/>
            <w:tcBorders/>
            <w:shd w:fill="auto" w:val="clear"/>
            <w:tcMar>
              <w:top w:w="0" w:type="dxa"/>
              <w:bottom w:w="0" w:type="dxa"/>
            </w:tcMar>
            <w:vAlign w:val="bottom"/>
          </w:tcPr>
          <w:p>
            <w:pPr>
              <w:pStyle w:val="TableContents"/>
              <w:spacing w:before="0" w:after="283"/>
              <w:jc w:val="left"/>
              <w:rPr/>
            </w:pPr>
            <w:r>
              <w:rPr/>
              <w:t> </w:t>
            </w:r>
          </w:p>
        </w:tc>
      </w:tr>
      <w:tr>
        <w:trPr/>
        <w:tc>
          <w:tcPr>
            <w:tcW w:w="7319"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Stockholders’ Deficit</w:t>
            </w:r>
          </w:p>
        </w:tc>
        <w:tc>
          <w:tcPr>
            <w:tcW w:w="107"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4"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4" w:type="dxa"/>
            <w:tcBorders/>
            <w:shd w:fill="auto" w:val="clear"/>
            <w:tcMar>
              <w:top w:w="0" w:type="dxa"/>
              <w:bottom w:w="0" w:type="dxa"/>
            </w:tcMar>
            <w:vAlign w:val="bottom"/>
          </w:tcPr>
          <w:p>
            <w:pPr>
              <w:pStyle w:val="TableContents"/>
              <w:spacing w:before="0" w:after="283"/>
              <w:jc w:val="right"/>
              <w:rPr/>
            </w:pPr>
            <w:r>
              <w:rPr/>
              <w:t> </w:t>
            </w:r>
          </w:p>
        </w:tc>
        <w:tc>
          <w:tcPr>
            <w:tcW w:w="121" w:type="dxa"/>
            <w:tcBorders/>
            <w:shd w:fill="auto" w:val="clear"/>
            <w:tcMar>
              <w:top w:w="0" w:type="dxa"/>
              <w:bottom w:w="0" w:type="dxa"/>
            </w:tcMar>
            <w:vAlign w:val="bottom"/>
          </w:tcPr>
          <w:p>
            <w:pPr>
              <w:pStyle w:val="TableContents"/>
              <w:spacing w:before="0" w:after="283"/>
              <w:jc w:val="left"/>
              <w:rPr/>
            </w:pPr>
            <w:r>
              <w:rPr/>
              <w:t> </w:t>
            </w:r>
          </w:p>
        </w:tc>
      </w:tr>
      <w:tr>
        <w:trPr/>
        <w:tc>
          <w:tcPr>
            <w:tcW w:w="7319"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Capital stock (Note 9)</w:t>
            </w:r>
          </w:p>
        </w:tc>
        <w:tc>
          <w:tcPr>
            <w:tcW w:w="107"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4"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4" w:type="dxa"/>
            <w:tcBorders/>
            <w:shd w:fill="auto" w:val="clear"/>
            <w:tcMar>
              <w:top w:w="0" w:type="dxa"/>
              <w:bottom w:w="0" w:type="dxa"/>
            </w:tcMar>
            <w:vAlign w:val="bottom"/>
          </w:tcPr>
          <w:p>
            <w:pPr>
              <w:pStyle w:val="TableContents"/>
              <w:spacing w:before="0" w:after="283"/>
              <w:jc w:val="right"/>
              <w:rPr/>
            </w:pPr>
            <w:r>
              <w:rPr/>
              <w:t> </w:t>
            </w:r>
          </w:p>
        </w:tc>
        <w:tc>
          <w:tcPr>
            <w:tcW w:w="121" w:type="dxa"/>
            <w:tcBorders/>
            <w:shd w:fill="auto" w:val="clear"/>
            <w:tcMar>
              <w:top w:w="0" w:type="dxa"/>
              <w:bottom w:w="0" w:type="dxa"/>
            </w:tcMar>
            <w:vAlign w:val="bottom"/>
          </w:tcPr>
          <w:p>
            <w:pPr>
              <w:pStyle w:val="TableContents"/>
              <w:spacing w:before="0" w:after="283"/>
              <w:jc w:val="left"/>
              <w:rPr/>
            </w:pPr>
            <w:r>
              <w:rPr/>
              <w:t> </w:t>
            </w:r>
          </w:p>
        </w:tc>
      </w:tr>
      <w:tr>
        <w:trPr/>
        <w:tc>
          <w:tcPr>
            <w:tcW w:w="7319"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Common stock, $0.001 par value, 150,000,000 shares authorized</w:t>
            </w:r>
          </w:p>
        </w:tc>
        <w:tc>
          <w:tcPr>
            <w:tcW w:w="107"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4"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4" w:type="dxa"/>
            <w:tcBorders/>
            <w:shd w:fill="auto" w:val="clear"/>
            <w:tcMar>
              <w:top w:w="0" w:type="dxa"/>
              <w:bottom w:w="0" w:type="dxa"/>
            </w:tcMar>
            <w:vAlign w:val="bottom"/>
          </w:tcPr>
          <w:p>
            <w:pPr>
              <w:pStyle w:val="TableContents"/>
              <w:spacing w:before="0" w:after="283"/>
              <w:jc w:val="right"/>
              <w:rPr/>
            </w:pPr>
            <w:r>
              <w:rPr/>
              <w:t> </w:t>
            </w:r>
          </w:p>
        </w:tc>
        <w:tc>
          <w:tcPr>
            <w:tcW w:w="121" w:type="dxa"/>
            <w:tcBorders/>
            <w:shd w:fill="auto" w:val="clear"/>
            <w:tcMar>
              <w:top w:w="0" w:type="dxa"/>
              <w:bottom w:w="0" w:type="dxa"/>
            </w:tcMar>
            <w:vAlign w:val="bottom"/>
          </w:tcPr>
          <w:p>
            <w:pPr>
              <w:pStyle w:val="TableContents"/>
              <w:spacing w:before="0" w:after="283"/>
              <w:jc w:val="left"/>
              <w:rPr/>
            </w:pPr>
            <w:r>
              <w:rPr/>
              <w:t> </w:t>
            </w:r>
          </w:p>
        </w:tc>
      </w:tr>
      <w:tr>
        <w:trPr/>
        <w:tc>
          <w:tcPr>
            <w:tcW w:w="7319"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115,570,909 shares issued and outstanding (2012 – 76,402,958)</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113,673</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76,404</w:t>
            </w:r>
          </w:p>
        </w:tc>
        <w:tc>
          <w:tcPr>
            <w:tcW w:w="121" w:type="dxa"/>
            <w:tcBorders/>
            <w:shd w:fill="auto" w:val="clear"/>
            <w:tcMar>
              <w:top w:w="0" w:type="dxa"/>
              <w:bottom w:w="0" w:type="dxa"/>
            </w:tcMar>
            <w:vAlign w:val="bottom"/>
          </w:tcPr>
          <w:p>
            <w:pPr>
              <w:pStyle w:val="TableContents"/>
              <w:spacing w:before="0" w:after="283"/>
              <w:jc w:val="left"/>
              <w:rPr/>
            </w:pPr>
            <w:r>
              <w:rPr/>
              <w:t> </w:t>
            </w:r>
          </w:p>
        </w:tc>
      </w:tr>
      <w:tr>
        <w:trPr/>
        <w:tc>
          <w:tcPr>
            <w:tcW w:w="7319"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Additional paid-in capital</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45,996,082</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43,483,947</w:t>
            </w:r>
          </w:p>
        </w:tc>
        <w:tc>
          <w:tcPr>
            <w:tcW w:w="121" w:type="dxa"/>
            <w:tcBorders/>
            <w:shd w:fill="auto" w:val="clear"/>
            <w:tcMar>
              <w:top w:w="0" w:type="dxa"/>
              <w:bottom w:w="0" w:type="dxa"/>
            </w:tcMar>
            <w:vAlign w:val="bottom"/>
          </w:tcPr>
          <w:p>
            <w:pPr>
              <w:pStyle w:val="TableContents"/>
              <w:spacing w:before="0" w:after="283"/>
              <w:jc w:val="left"/>
              <w:rPr/>
            </w:pPr>
            <w:r>
              <w:rPr/>
              <w:t> </w:t>
            </w:r>
          </w:p>
        </w:tc>
      </w:tr>
      <w:tr>
        <w:trPr/>
        <w:tc>
          <w:tcPr>
            <w:tcW w:w="7319"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Shares and warrants to be issued (Note 9)</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384,582</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352,859</w:t>
            </w:r>
          </w:p>
        </w:tc>
        <w:tc>
          <w:tcPr>
            <w:tcW w:w="121" w:type="dxa"/>
            <w:tcBorders/>
            <w:shd w:fill="auto" w:val="clear"/>
            <w:tcMar>
              <w:top w:w="0" w:type="dxa"/>
              <w:bottom w:w="0" w:type="dxa"/>
            </w:tcMar>
            <w:vAlign w:val="bottom"/>
          </w:tcPr>
          <w:p>
            <w:pPr>
              <w:pStyle w:val="TableContents"/>
              <w:spacing w:before="0" w:after="283"/>
              <w:jc w:val="left"/>
              <w:rPr/>
            </w:pPr>
            <w:r>
              <w:rPr/>
              <w:t> </w:t>
            </w:r>
          </w:p>
        </w:tc>
      </w:tr>
      <w:tr>
        <w:trPr/>
        <w:tc>
          <w:tcPr>
            <w:tcW w:w="7319"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Deficit accumulated during the development stage</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(51,206,320</w:t>
            </w:r>
          </w:p>
        </w:tc>
        <w:tc>
          <w:tcPr>
            <w:tcW w:w="113"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(49,894,083</w:t>
            </w:r>
          </w:p>
        </w:tc>
        <w:tc>
          <w:tcPr>
            <w:tcW w:w="121"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319" w:type="dxa"/>
            <w:tcBorders>
              <w:bottom w:val="single" w:sz="12" w:space="0" w:color="000000"/>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Accumulated other comprehensive loss</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94"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(58,443</w:t>
            </w:r>
          </w:p>
        </w:tc>
        <w:tc>
          <w:tcPr>
            <w:tcW w:w="113"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94"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(61,648</w:t>
            </w:r>
          </w:p>
        </w:tc>
        <w:tc>
          <w:tcPr>
            <w:tcW w:w="121"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319" w:type="dxa"/>
            <w:tcBorders>
              <w:bottom w:val="single" w:sz="12" w:space="0" w:color="000000"/>
            </w:tcBorders>
            <w:shd w:fill="auto" w:val="clear"/>
            <w:tcMar>
              <w:top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94"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(4,770,426</w:t>
            </w:r>
          </w:p>
        </w:tc>
        <w:tc>
          <w:tcPr>
            <w:tcW w:w="113"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94"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(6,042,521</w:t>
            </w:r>
          </w:p>
        </w:tc>
        <w:tc>
          <w:tcPr>
            <w:tcW w:w="121"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319" w:type="dxa"/>
            <w:tcBorders/>
            <w:shd w:fill="auto" w:val="clear"/>
            <w:tcMar>
              <w:top w:w="0" w:type="dxa"/>
              <w:bottom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4"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4" w:type="dxa"/>
            <w:tcBorders/>
            <w:shd w:fill="auto" w:val="clear"/>
            <w:tcMar>
              <w:top w:w="0" w:type="dxa"/>
              <w:bottom w:w="0" w:type="dxa"/>
            </w:tcMar>
            <w:vAlign w:val="bottom"/>
          </w:tcPr>
          <w:p>
            <w:pPr>
              <w:pStyle w:val="TableContents"/>
              <w:spacing w:before="0" w:after="283"/>
              <w:jc w:val="right"/>
              <w:rPr/>
            </w:pPr>
            <w:r>
              <w:rPr/>
              <w:t> </w:t>
            </w:r>
          </w:p>
        </w:tc>
        <w:tc>
          <w:tcPr>
            <w:tcW w:w="121" w:type="dxa"/>
            <w:tcBorders/>
            <w:shd w:fill="auto" w:val="clear"/>
            <w:tcMar>
              <w:top w:w="0" w:type="dxa"/>
              <w:bottom w:w="0" w:type="dxa"/>
            </w:tcMar>
            <w:vAlign w:val="bottom"/>
          </w:tcPr>
          <w:p>
            <w:pPr>
              <w:pStyle w:val="TableContents"/>
              <w:spacing w:before="0" w:after="283"/>
              <w:jc w:val="left"/>
              <w:rPr/>
            </w:pPr>
            <w:r>
              <w:rPr/>
              <w:t> </w:t>
            </w:r>
          </w:p>
        </w:tc>
      </w:tr>
      <w:tr>
        <w:trPr/>
        <w:tc>
          <w:tcPr>
            <w:tcW w:w="7319" w:type="dxa"/>
            <w:tcBorders>
              <w:bottom w:val="double" w:sz="8" w:space="0" w:color="000000"/>
            </w:tcBorders>
            <w:shd w:fill="auto" w:val="clear"/>
            <w:tcMar>
              <w:top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4"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185,306</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4"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87,372</w:t>
            </w:r>
          </w:p>
        </w:tc>
        <w:tc>
          <w:tcPr>
            <w:tcW w:w="121" w:type="dxa"/>
            <w:tcBorders/>
            <w:shd w:fill="auto" w:val="clear"/>
            <w:tcMar>
              <w:top w:w="0" w:type="dxa"/>
              <w:bottom w:w="0" w:type="dxa"/>
            </w:tcM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hanging="0"/>
        <w:jc w:val="left"/>
        <w:rPr>
          <w:rFonts w:ascii="Times New Roman" w:hAnsi="Times New Roman"/>
          <w:sz w:val="20"/>
        </w:rPr>
      </w:pPr>
      <w:r>
        <w:rPr>
          <w:rFonts w:ascii="Times New Roman" w:hAnsi="Times New Roman"/>
          <w:b/>
          <w:sz w:val="20"/>
        </w:rPr>
        <w:t>CONTINGENCIES AND COMMITMENTS</w:t>
      </w:r>
      <w:r>
        <w:rPr>
          <w:rFonts w:ascii="Times New Roman" w:hAnsi="Times New Roman"/>
          <w:sz w:val="20"/>
        </w:rPr>
        <w:t xml:space="preserve"> (Notes 1, 3, 5 and 11)</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interim consolidated financial statements.</w:t>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 w:name="PGBRK1"/>
      <w:bookmarkStart w:id="12" w:name="PGBRK1"/>
      <w:bookmarkEnd w:id="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 w:name="FTR1"/>
      <w:bookmarkStart w:id="14" w:name="FTR1"/>
      <w:bookmarkEnd w:id="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5" w:name="GLFTR1"/>
      <w:bookmarkEnd w:id="1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6" w:name="PN1"/>
      <w:bookmarkEnd w:id="16"/>
      <w:r>
        <w:rPr>
          <w:rFonts w:ascii="Times New Roman" w:hAnsi="Times New Roma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 w:name="HDR1"/>
      <w:bookmarkStart w:id="18" w:name="HDR1"/>
      <w:bookmarkEnd w:id="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9" w:name="GLHDR1"/>
      <w:bookmarkEnd w:id="1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b/>
          <w:i/>
          <w:sz w:val="20"/>
        </w:rPr>
      </w:pPr>
      <w:r>
        <w:rPr>
          <w:rFonts w:ascii="Times New Roman" w:hAnsi="Times New Roman"/>
          <w:b/>
          <w:i/>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INTERIM CONSOLIDATED STATEMENTS OF OPERATIONS</w:t>
      </w:r>
    </w:p>
    <w:p>
      <w:pPr>
        <w:pStyle w:val="TextBody"/>
        <w:spacing w:before="0" w:after="0"/>
        <w:ind w:left="0" w:right="0" w:hanging="0"/>
        <w:jc w:val="center"/>
        <w:rPr>
          <w:rFonts w:ascii="Times New Roman" w:hAnsi="Times New Roman"/>
          <w:b/>
          <w:i/>
          <w:sz w:val="20"/>
        </w:rPr>
      </w:pPr>
      <w:r>
        <w:rPr>
          <w:rFonts w:ascii="Times New Roman" w:hAnsi="Times New Roman"/>
          <w:b/>
          <w:i/>
          <w:sz w:val="20"/>
        </w:rPr>
        <w:t>(UNAUDITED)</w:t>
      </w:r>
    </w:p>
    <w:p>
      <w:pPr>
        <w:pStyle w:val="TextBody"/>
        <w:spacing w:before="0" w:after="0"/>
        <w:ind w:left="0" w:right="0" w:hanging="0"/>
        <w:rPr/>
      </w:pPr>
      <w:r>
        <w:rPr/>
      </w:r>
    </w:p>
    <w:tbl>
      <w:tblPr>
        <w:tblW w:w="5000" w:type="pct"/>
        <w:jc w:val="left"/>
        <w:tblInd w:w="0" w:type="dxa"/>
        <w:tblCellMar>
          <w:top w:w="28" w:type="dxa"/>
          <w:left w:w="0" w:type="dxa"/>
          <w:bottom w:w="0" w:type="dxa"/>
          <w:right w:w="0" w:type="dxa"/>
        </w:tblCellMar>
      </w:tblPr>
      <w:tblGrid>
        <w:gridCol w:w="3450"/>
        <w:gridCol w:w="94"/>
        <w:gridCol w:w="125"/>
        <w:gridCol w:w="953"/>
        <w:gridCol w:w="125"/>
        <w:gridCol w:w="94"/>
        <w:gridCol w:w="125"/>
        <w:gridCol w:w="1025"/>
        <w:gridCol w:w="103"/>
        <w:gridCol w:w="94"/>
        <w:gridCol w:w="124"/>
        <w:gridCol w:w="1025"/>
        <w:gridCol w:w="103"/>
        <w:gridCol w:w="94"/>
        <w:gridCol w:w="125"/>
        <w:gridCol w:w="1025"/>
        <w:gridCol w:w="103"/>
        <w:gridCol w:w="94"/>
        <w:gridCol w:w="125"/>
        <w:gridCol w:w="1076"/>
        <w:gridCol w:w="123"/>
      </w:tblGrid>
      <w:tr>
        <w:trPr/>
        <w:tc>
          <w:tcPr>
            <w:tcW w:w="3450" w:type="dxa"/>
            <w:tcBorders>
              <w:top w:val="single" w:sz="12" w:space="0" w:color="000000"/>
            </w:tcBorders>
            <w:shd w:fill="auto" w:val="clear"/>
            <w:vAlign w:val="bottom"/>
          </w:tcPr>
          <w:p>
            <w:pPr>
              <w:pStyle w:val="TableContents"/>
              <w:spacing w:before="0" w:after="283"/>
              <w:rPr/>
            </w:pPr>
            <w:r>
              <w:rPr/>
              <w:t xml:space="preserve">  </w:t>
            </w:r>
          </w:p>
        </w:tc>
        <w:tc>
          <w:tcPr>
            <w:tcW w:w="94" w:type="dxa"/>
            <w:tcBorders>
              <w:top w:val="single" w:sz="12" w:space="0" w:color="000000"/>
            </w:tcBorders>
            <w:shd w:fill="auto" w:val="clear"/>
            <w:vAlign w:val="bottom"/>
          </w:tcPr>
          <w:p>
            <w:pPr>
              <w:pStyle w:val="TableContents"/>
              <w:spacing w:before="0" w:after="283"/>
              <w:rPr/>
            </w:pPr>
            <w:r>
              <w:rPr/>
              <w:t> </w:t>
            </w:r>
          </w:p>
        </w:tc>
        <w:tc>
          <w:tcPr>
            <w:tcW w:w="2447" w:type="dxa"/>
            <w:gridSpan w:val="6"/>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Three Months Ended</w:t>
            </w:r>
          </w:p>
          <w:p>
            <w:pPr>
              <w:pStyle w:val="TableContents"/>
              <w:spacing w:before="0" w:after="0"/>
              <w:ind w:left="0" w:right="0" w:hanging="0"/>
              <w:jc w:val="center"/>
              <w:rPr>
                <w:rFonts w:ascii="times new roman" w:hAnsi="times new roman"/>
                <w:sz w:val="20"/>
              </w:rPr>
            </w:pPr>
            <w:r>
              <w:rPr>
                <w:rFonts w:ascii="times new roman" w:hAnsi="times new roman"/>
                <w:sz w:val="20"/>
              </w:rPr>
              <w:t>June 30,</w:t>
            </w:r>
          </w:p>
        </w:tc>
        <w:tc>
          <w:tcPr>
            <w:tcW w:w="103" w:type="dxa"/>
            <w:tcBorders>
              <w:top w:val="single" w:sz="12" w:space="0" w:color="000000"/>
            </w:tcBorders>
            <w:shd w:fill="auto" w:val="clear"/>
            <w:vAlign w:val="bottom"/>
          </w:tcPr>
          <w:p>
            <w:pPr>
              <w:pStyle w:val="TableContents"/>
              <w:spacing w:before="0" w:after="283"/>
              <w:jc w:val="left"/>
              <w:rPr/>
            </w:pPr>
            <w:r>
              <w:rPr/>
              <w:t> </w:t>
            </w:r>
          </w:p>
        </w:tc>
        <w:tc>
          <w:tcPr>
            <w:tcW w:w="94" w:type="dxa"/>
            <w:tcBorders>
              <w:top w:val="single" w:sz="12" w:space="0" w:color="000000"/>
            </w:tcBorders>
            <w:shd w:fill="auto" w:val="clear"/>
            <w:vAlign w:val="bottom"/>
          </w:tcPr>
          <w:p>
            <w:pPr>
              <w:pStyle w:val="TableContents"/>
              <w:spacing w:before="0" w:after="283"/>
              <w:rPr/>
            </w:pPr>
            <w:r>
              <w:rPr/>
              <w:t> </w:t>
            </w:r>
          </w:p>
        </w:tc>
        <w:tc>
          <w:tcPr>
            <w:tcW w:w="2496" w:type="dxa"/>
            <w:gridSpan w:val="6"/>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Six Months Ended</w:t>
            </w:r>
          </w:p>
          <w:p>
            <w:pPr>
              <w:pStyle w:val="TableContents"/>
              <w:spacing w:before="0" w:after="0"/>
              <w:ind w:left="0" w:right="0" w:hanging="0"/>
              <w:jc w:val="center"/>
              <w:rPr>
                <w:rFonts w:ascii="times new roman" w:hAnsi="times new roman"/>
                <w:sz w:val="20"/>
              </w:rPr>
            </w:pPr>
            <w:r>
              <w:rPr>
                <w:rFonts w:ascii="times new roman" w:hAnsi="times new roman"/>
                <w:sz w:val="20"/>
              </w:rPr>
              <w:t>June 30,</w:t>
            </w:r>
          </w:p>
        </w:tc>
        <w:tc>
          <w:tcPr>
            <w:tcW w:w="103" w:type="dxa"/>
            <w:tcBorders>
              <w:top w:val="single" w:sz="12" w:space="0" w:color="000000"/>
            </w:tcBorders>
            <w:shd w:fill="auto" w:val="clear"/>
            <w:vAlign w:val="bottom"/>
          </w:tcPr>
          <w:p>
            <w:pPr>
              <w:pStyle w:val="TableContents"/>
              <w:spacing w:before="0" w:after="283"/>
              <w:jc w:val="left"/>
              <w:rPr/>
            </w:pPr>
            <w:r>
              <w:rPr/>
              <w:t> </w:t>
            </w:r>
          </w:p>
        </w:tc>
        <w:tc>
          <w:tcPr>
            <w:tcW w:w="94" w:type="dxa"/>
            <w:tcBorders>
              <w:top w:val="single" w:sz="12" w:space="0" w:color="000000"/>
            </w:tcBorders>
            <w:shd w:fill="auto" w:val="clear"/>
            <w:vAlign w:val="bottom"/>
          </w:tcPr>
          <w:p>
            <w:pPr>
              <w:pStyle w:val="TableContents"/>
              <w:spacing w:before="0" w:after="283"/>
              <w:rPr/>
            </w:pPr>
            <w:r>
              <w:rPr/>
              <w:t> </w:t>
            </w:r>
          </w:p>
        </w:tc>
        <w:tc>
          <w:tcPr>
            <w:tcW w:w="1201"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July 27, 1999</w:t>
            </w:r>
          </w:p>
          <w:p>
            <w:pPr>
              <w:pStyle w:val="TableContents"/>
              <w:spacing w:before="0" w:after="0"/>
              <w:ind w:left="0" w:right="0" w:hanging="0"/>
              <w:jc w:val="center"/>
              <w:rPr>
                <w:rFonts w:ascii="times new roman" w:hAnsi="times new roman"/>
                <w:sz w:val="20"/>
              </w:rPr>
            </w:pPr>
            <w:r>
              <w:rPr>
                <w:rFonts w:ascii="times new roman" w:hAnsi="times new roman"/>
                <w:sz w:val="20"/>
              </w:rPr>
              <w:t>(inception) to</w:t>
            </w:r>
          </w:p>
          <w:p>
            <w:pPr>
              <w:pStyle w:val="TableContents"/>
              <w:spacing w:before="0" w:after="0"/>
              <w:ind w:left="0" w:right="0" w:hanging="0"/>
              <w:jc w:val="center"/>
              <w:rPr>
                <w:rFonts w:ascii="times new roman" w:hAnsi="times new roman"/>
                <w:sz w:val="20"/>
              </w:rPr>
            </w:pPr>
            <w:r>
              <w:rPr>
                <w:rFonts w:ascii="times new roman" w:hAnsi="times new roman"/>
                <w:sz w:val="20"/>
              </w:rPr>
              <w:t>June 30,</w:t>
            </w:r>
          </w:p>
        </w:tc>
        <w:tc>
          <w:tcPr>
            <w:tcW w:w="123" w:type="dxa"/>
            <w:tcBorders>
              <w:top w:val="single" w:sz="12" w:space="0" w:color="000000"/>
            </w:tcBorders>
            <w:shd w:fill="auto" w:val="clear"/>
            <w:vAlign w:val="bottom"/>
          </w:tcPr>
          <w:p>
            <w:pPr>
              <w:pStyle w:val="TableContents"/>
              <w:spacing w:before="0" w:after="283"/>
              <w:jc w:val="left"/>
              <w:rPr/>
            </w:pPr>
            <w:r>
              <w:rPr/>
              <w:t> </w:t>
            </w:r>
          </w:p>
        </w:tc>
      </w:tr>
      <w:tr>
        <w:trPr/>
        <w:tc>
          <w:tcPr>
            <w:tcW w:w="3450" w:type="dxa"/>
            <w:tcBorders/>
            <w:shd w:fill="auto" w:val="clear"/>
            <w:tcMar>
              <w:top w:w="0" w:type="dxa"/>
            </w:tcMar>
            <w:vAlign w:val="bottom"/>
          </w:tcPr>
          <w:p>
            <w:pPr>
              <w:pStyle w:val="TableContents"/>
              <w:spacing w:before="0" w:after="283"/>
              <w:rPr/>
            </w:pPr>
            <w:r>
              <w:rPr/>
              <w:t xml:space="preserve">  </w:t>
            </w:r>
          </w:p>
        </w:tc>
        <w:tc>
          <w:tcPr>
            <w:tcW w:w="94" w:type="dxa"/>
            <w:tcBorders/>
            <w:shd w:fill="auto" w:val="clear"/>
            <w:tcMar>
              <w:top w:w="0" w:type="dxa"/>
            </w:tcMar>
            <w:vAlign w:val="bottom"/>
          </w:tcPr>
          <w:p>
            <w:pPr>
              <w:pStyle w:val="TableContents"/>
              <w:spacing w:before="0" w:after="283"/>
              <w:rPr/>
            </w:pPr>
            <w:r>
              <w:rPr/>
              <w:t> </w:t>
            </w:r>
          </w:p>
        </w:tc>
        <w:tc>
          <w:tcPr>
            <w:tcW w:w="1078" w:type="dxa"/>
            <w:gridSpan w:val="2"/>
            <w:tcBorders/>
            <w:shd w:fill="auto" w:val="clear"/>
            <w:tcMar>
              <w:top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2013</w:t>
            </w:r>
          </w:p>
        </w:tc>
        <w:tc>
          <w:tcPr>
            <w:tcW w:w="125"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rPr/>
            </w:pPr>
            <w:r>
              <w:rPr/>
              <w:t> </w:t>
            </w:r>
          </w:p>
        </w:tc>
        <w:tc>
          <w:tcPr>
            <w:tcW w:w="1150" w:type="dxa"/>
            <w:gridSpan w:val="2"/>
            <w:tcBorders/>
            <w:shd w:fill="auto" w:val="clear"/>
            <w:tcMar>
              <w:top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rPr/>
            </w:pPr>
            <w:r>
              <w:rPr/>
              <w:t> </w:t>
            </w:r>
          </w:p>
        </w:tc>
        <w:tc>
          <w:tcPr>
            <w:tcW w:w="1149" w:type="dxa"/>
            <w:gridSpan w:val="2"/>
            <w:tcBorders/>
            <w:shd w:fill="auto" w:val="clear"/>
            <w:tcMar>
              <w:top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2013</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rPr/>
            </w:pPr>
            <w:r>
              <w:rPr/>
              <w:t> </w:t>
            </w:r>
          </w:p>
        </w:tc>
        <w:tc>
          <w:tcPr>
            <w:tcW w:w="1150" w:type="dxa"/>
            <w:gridSpan w:val="2"/>
            <w:tcBorders/>
            <w:shd w:fill="auto" w:val="clear"/>
            <w:tcMar>
              <w:top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rPr/>
            </w:pPr>
            <w:r>
              <w:rPr/>
              <w:t> </w:t>
            </w:r>
          </w:p>
        </w:tc>
        <w:tc>
          <w:tcPr>
            <w:tcW w:w="1201" w:type="dxa"/>
            <w:gridSpan w:val="2"/>
            <w:tcBorders/>
            <w:shd w:fill="auto" w:val="clear"/>
            <w:tcMar>
              <w:top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2013</w:t>
            </w:r>
          </w:p>
        </w:tc>
        <w:tc>
          <w:tcPr>
            <w:tcW w:w="123" w:type="dxa"/>
            <w:tcBorders/>
            <w:shd w:fill="auto" w:val="clear"/>
            <w:tcMar>
              <w:top w:w="0" w:type="dxa"/>
            </w:tcMar>
            <w:vAlign w:val="bottom"/>
          </w:tcPr>
          <w:p>
            <w:pPr>
              <w:pStyle w:val="TableContents"/>
              <w:spacing w:before="0" w:after="283"/>
              <w:jc w:val="left"/>
              <w:rPr/>
            </w:pPr>
            <w:r>
              <w:rPr/>
              <w:t> </w:t>
            </w:r>
          </w:p>
        </w:tc>
      </w:tr>
      <w:tr>
        <w:trPr/>
        <w:tc>
          <w:tcPr>
            <w:tcW w:w="3450" w:type="dxa"/>
            <w:tcBorders/>
            <w:shd w:fill="auto" w:val="clear"/>
            <w:tcMar>
              <w:top w:w="0" w:type="dxa"/>
            </w:tcMar>
            <w:vAlign w:val="bottom"/>
          </w:tcPr>
          <w:p>
            <w:pPr>
              <w:pStyle w:val="TableContents"/>
              <w:spacing w:before="0" w:after="283"/>
              <w:rPr/>
            </w:pPr>
            <w:r>
              <w:rPr/>
              <w:t xml:space="preserve">  </w:t>
            </w:r>
          </w:p>
        </w:tc>
        <w:tc>
          <w:tcPr>
            <w:tcW w:w="94" w:type="dxa"/>
            <w:tcBorders/>
            <w:shd w:fill="auto" w:val="clear"/>
            <w:tcMar>
              <w:top w:w="0" w:type="dxa"/>
            </w:tcMar>
            <w:vAlign w:val="bottom"/>
          </w:tcPr>
          <w:p>
            <w:pPr>
              <w:pStyle w:val="TableContents"/>
              <w:spacing w:before="0" w:after="283"/>
              <w:rPr/>
            </w:pPr>
            <w:r>
              <w:rPr/>
              <w:t> </w:t>
            </w:r>
          </w:p>
        </w:tc>
        <w:tc>
          <w:tcPr>
            <w:tcW w:w="1078" w:type="dxa"/>
            <w:gridSpan w:val="2"/>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rPr/>
            </w:pPr>
            <w:r>
              <w:rPr/>
              <w:t> </w:t>
            </w:r>
          </w:p>
        </w:tc>
        <w:tc>
          <w:tcPr>
            <w:tcW w:w="1150" w:type="dxa"/>
            <w:gridSpan w:val="2"/>
            <w:tcBorders/>
            <w:shd w:fill="auto" w:val="clear"/>
            <w:tcMar>
              <w:top w:w="0" w:type="dxa"/>
            </w:tcMar>
            <w:vAlign w:val="bottom"/>
          </w:tcPr>
          <w:p>
            <w:pPr>
              <w:pStyle w:val="TableContents"/>
              <w:spacing w:before="0" w:after="283"/>
              <w:rPr/>
            </w:pPr>
            <w:r>
              <w:rPr/>
              <w:t> </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rPr/>
            </w:pPr>
            <w:r>
              <w:rPr/>
              <w:t> </w:t>
            </w:r>
          </w:p>
        </w:tc>
        <w:tc>
          <w:tcPr>
            <w:tcW w:w="1149" w:type="dxa"/>
            <w:gridSpan w:val="2"/>
            <w:tcBorders/>
            <w:shd w:fill="auto" w:val="clear"/>
            <w:tcMar>
              <w:top w:w="0" w:type="dxa"/>
            </w:tcMar>
            <w:vAlign w:val="bottom"/>
          </w:tcPr>
          <w:p>
            <w:pPr>
              <w:pStyle w:val="TableContents"/>
              <w:spacing w:before="0" w:after="283"/>
              <w:rPr/>
            </w:pPr>
            <w:r>
              <w:rPr/>
              <w:t> </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rPr/>
            </w:pPr>
            <w:r>
              <w:rPr/>
              <w:t> </w:t>
            </w:r>
          </w:p>
        </w:tc>
        <w:tc>
          <w:tcPr>
            <w:tcW w:w="1150" w:type="dxa"/>
            <w:gridSpan w:val="2"/>
            <w:tcBorders/>
            <w:shd w:fill="auto" w:val="clear"/>
            <w:tcMar>
              <w:top w:w="0" w:type="dxa"/>
            </w:tcMar>
            <w:vAlign w:val="bottom"/>
          </w:tcPr>
          <w:p>
            <w:pPr>
              <w:pStyle w:val="TableContents"/>
              <w:spacing w:before="0" w:after="283"/>
              <w:rPr/>
            </w:pPr>
            <w:r>
              <w:rPr/>
              <w:t> </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rPr/>
            </w:pPr>
            <w:r>
              <w:rPr/>
              <w:t> </w:t>
            </w:r>
          </w:p>
        </w:tc>
        <w:tc>
          <w:tcPr>
            <w:tcW w:w="1201" w:type="dxa"/>
            <w:gridSpan w:val="2"/>
            <w:tcBorders/>
            <w:shd w:fill="auto" w:val="clear"/>
            <w:tcMar>
              <w:top w:w="0" w:type="dxa"/>
            </w:tcMar>
            <w:vAlign w:val="bottom"/>
          </w:tcPr>
          <w:p>
            <w:pPr>
              <w:pStyle w:val="TableContents"/>
              <w:spacing w:before="0" w:after="283"/>
              <w:rPr/>
            </w:pPr>
            <w:r>
              <w:rPr/>
              <w:t> </w:t>
            </w:r>
          </w:p>
        </w:tc>
        <w:tc>
          <w:tcPr>
            <w:tcW w:w="123" w:type="dxa"/>
            <w:tcBorders/>
            <w:shd w:fill="auto" w:val="clear"/>
            <w:tcMar>
              <w:top w:w="0" w:type="dxa"/>
            </w:tcMar>
            <w:vAlign w:val="bottom"/>
          </w:tcPr>
          <w:p>
            <w:pPr>
              <w:pStyle w:val="TableContents"/>
              <w:spacing w:before="0" w:after="283"/>
              <w:jc w:val="left"/>
              <w:rPr/>
            </w:pPr>
            <w:r>
              <w:rPr/>
              <w:t> </w:t>
            </w:r>
          </w:p>
        </w:tc>
      </w:tr>
      <w:tr>
        <w:trPr/>
        <w:tc>
          <w:tcPr>
            <w:tcW w:w="3450" w:type="dxa"/>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Expenses</w:t>
            </w:r>
          </w:p>
        </w:tc>
        <w:tc>
          <w:tcPr>
            <w:tcW w:w="94" w:type="dxa"/>
            <w:tcBorders/>
            <w:shd w:fill="auto" w:val="clear"/>
            <w:tcMar>
              <w:top w:w="0" w:type="dxa"/>
            </w:tcMar>
            <w:vAlign w:val="bottom"/>
          </w:tcPr>
          <w:p>
            <w:pPr>
              <w:pStyle w:val="TableContents"/>
              <w:spacing w:before="0" w:after="283"/>
              <w:rPr/>
            </w:pPr>
            <w:r>
              <w:rPr/>
              <w:t> </w:t>
            </w:r>
          </w:p>
        </w:tc>
        <w:tc>
          <w:tcPr>
            <w:tcW w:w="1078" w:type="dxa"/>
            <w:gridSpan w:val="2"/>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rPr/>
            </w:pPr>
            <w:r>
              <w:rPr/>
              <w:t> </w:t>
            </w:r>
          </w:p>
        </w:tc>
        <w:tc>
          <w:tcPr>
            <w:tcW w:w="1150" w:type="dxa"/>
            <w:gridSpan w:val="2"/>
            <w:tcBorders/>
            <w:shd w:fill="auto" w:val="clear"/>
            <w:tcMar>
              <w:top w:w="0" w:type="dxa"/>
            </w:tcMar>
            <w:vAlign w:val="bottom"/>
          </w:tcPr>
          <w:p>
            <w:pPr>
              <w:pStyle w:val="TableContents"/>
              <w:spacing w:before="0" w:after="283"/>
              <w:rPr/>
            </w:pPr>
            <w:r>
              <w:rPr/>
              <w:t> </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rPr/>
            </w:pPr>
            <w:r>
              <w:rPr/>
              <w:t> </w:t>
            </w:r>
          </w:p>
        </w:tc>
        <w:tc>
          <w:tcPr>
            <w:tcW w:w="1149" w:type="dxa"/>
            <w:gridSpan w:val="2"/>
            <w:tcBorders/>
            <w:shd w:fill="auto" w:val="clear"/>
            <w:tcMar>
              <w:top w:w="0" w:type="dxa"/>
            </w:tcMar>
            <w:vAlign w:val="bottom"/>
          </w:tcPr>
          <w:p>
            <w:pPr>
              <w:pStyle w:val="TableContents"/>
              <w:spacing w:before="0" w:after="283"/>
              <w:rPr/>
            </w:pPr>
            <w:r>
              <w:rPr/>
              <w:t> </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rPr/>
            </w:pPr>
            <w:r>
              <w:rPr/>
              <w:t> </w:t>
            </w:r>
          </w:p>
        </w:tc>
        <w:tc>
          <w:tcPr>
            <w:tcW w:w="1150" w:type="dxa"/>
            <w:gridSpan w:val="2"/>
            <w:tcBorders/>
            <w:shd w:fill="auto" w:val="clear"/>
            <w:tcMar>
              <w:top w:w="0" w:type="dxa"/>
            </w:tcMar>
            <w:vAlign w:val="bottom"/>
          </w:tcPr>
          <w:p>
            <w:pPr>
              <w:pStyle w:val="TableContents"/>
              <w:spacing w:before="0" w:after="283"/>
              <w:rPr/>
            </w:pPr>
            <w:r>
              <w:rPr/>
              <w:t> </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rPr/>
            </w:pPr>
            <w:r>
              <w:rPr/>
              <w:t> </w:t>
            </w:r>
          </w:p>
        </w:tc>
        <w:tc>
          <w:tcPr>
            <w:tcW w:w="1201" w:type="dxa"/>
            <w:gridSpan w:val="2"/>
            <w:tcBorders/>
            <w:shd w:fill="auto" w:val="clear"/>
            <w:tcMar>
              <w:top w:w="0" w:type="dxa"/>
            </w:tcMar>
            <w:vAlign w:val="bottom"/>
          </w:tcPr>
          <w:p>
            <w:pPr>
              <w:pStyle w:val="TableContents"/>
              <w:spacing w:before="0" w:after="283"/>
              <w:rPr/>
            </w:pPr>
            <w:r>
              <w:rPr/>
              <w:t> </w:t>
            </w:r>
          </w:p>
        </w:tc>
        <w:tc>
          <w:tcPr>
            <w:tcW w:w="123" w:type="dxa"/>
            <w:tcBorders/>
            <w:shd w:fill="auto" w:val="clear"/>
            <w:tcMar>
              <w:top w:w="0" w:type="dxa"/>
            </w:tcMar>
            <w:vAlign w:val="bottom"/>
          </w:tcPr>
          <w:p>
            <w:pPr>
              <w:pStyle w:val="TableContents"/>
              <w:spacing w:before="0" w:after="283"/>
              <w:jc w:val="left"/>
              <w:rPr/>
            </w:pPr>
            <w:r>
              <w:rPr/>
              <w:t> </w:t>
            </w:r>
          </w:p>
        </w:tc>
      </w:tr>
      <w:tr>
        <w:trPr/>
        <w:tc>
          <w:tcPr>
            <w:tcW w:w="3450"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Consulting fees</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36,367</w:t>
            </w:r>
          </w:p>
        </w:tc>
        <w:tc>
          <w:tcPr>
            <w:tcW w:w="125"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62,530</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jc w:val="right"/>
              <w:rPr/>
            </w:pPr>
            <w:r>
              <w:rPr/>
              <w:t> </w:t>
            </w:r>
          </w:p>
        </w:tc>
        <w:tc>
          <w:tcPr>
            <w:tcW w:w="124"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66,367</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62,530</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2,287,867</w:t>
            </w:r>
          </w:p>
        </w:tc>
        <w:tc>
          <w:tcPr>
            <w:tcW w:w="123" w:type="dxa"/>
            <w:tcBorders/>
            <w:shd w:fill="auto" w:val="clear"/>
            <w:tcMar>
              <w:top w:w="0" w:type="dxa"/>
            </w:tcMar>
            <w:vAlign w:val="bottom"/>
          </w:tcPr>
          <w:p>
            <w:pPr>
              <w:pStyle w:val="TableContents"/>
              <w:spacing w:before="0" w:after="283"/>
              <w:jc w:val="left"/>
              <w:rPr/>
            </w:pPr>
            <w:r>
              <w:rPr/>
              <w:t> </w:t>
            </w:r>
          </w:p>
        </w:tc>
      </w:tr>
      <w:tr>
        <w:trPr/>
        <w:tc>
          <w:tcPr>
            <w:tcW w:w="3450"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Consulting fees – stock-based (Note 9)</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95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15,956</w:t>
            </w:r>
          </w:p>
        </w:tc>
        <w:tc>
          <w:tcPr>
            <w:tcW w:w="125"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2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2,039,925</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jc w:val="right"/>
              <w:rPr/>
            </w:pPr>
            <w:r>
              <w:rPr/>
              <w:t> </w:t>
            </w:r>
          </w:p>
        </w:tc>
        <w:tc>
          <w:tcPr>
            <w:tcW w:w="124" w:type="dxa"/>
            <w:tcBorders/>
            <w:shd w:fill="auto" w:val="clear"/>
            <w:tcMar>
              <w:top w:w="0" w:type="dxa"/>
            </w:tcMar>
            <w:vAlign w:val="bottom"/>
          </w:tcPr>
          <w:p>
            <w:pPr>
              <w:pStyle w:val="TableContents"/>
              <w:spacing w:before="0" w:after="283"/>
              <w:jc w:val="left"/>
              <w:rPr/>
            </w:pPr>
            <w:r>
              <w:rPr/>
              <w:t> </w:t>
            </w:r>
          </w:p>
        </w:tc>
        <w:tc>
          <w:tcPr>
            <w:tcW w:w="102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83,768</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2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2,173,833</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8,122,140</w:t>
            </w:r>
          </w:p>
        </w:tc>
        <w:tc>
          <w:tcPr>
            <w:tcW w:w="123" w:type="dxa"/>
            <w:tcBorders/>
            <w:shd w:fill="auto" w:val="clear"/>
            <w:tcMar>
              <w:top w:w="0" w:type="dxa"/>
            </w:tcMar>
            <w:vAlign w:val="bottom"/>
          </w:tcPr>
          <w:p>
            <w:pPr>
              <w:pStyle w:val="TableContents"/>
              <w:spacing w:before="0" w:after="283"/>
              <w:jc w:val="left"/>
              <w:rPr/>
            </w:pPr>
            <w:r>
              <w:rPr/>
              <w:t> </w:t>
            </w:r>
          </w:p>
        </w:tc>
      </w:tr>
      <w:tr>
        <w:trPr/>
        <w:tc>
          <w:tcPr>
            <w:tcW w:w="3450"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Depreciation</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95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2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jc w:val="right"/>
              <w:rPr/>
            </w:pPr>
            <w:r>
              <w:rPr/>
              <w:t> </w:t>
            </w:r>
          </w:p>
        </w:tc>
        <w:tc>
          <w:tcPr>
            <w:tcW w:w="124" w:type="dxa"/>
            <w:tcBorders/>
            <w:shd w:fill="auto" w:val="clear"/>
            <w:tcMar>
              <w:top w:w="0" w:type="dxa"/>
            </w:tcMar>
            <w:vAlign w:val="bottom"/>
          </w:tcPr>
          <w:p>
            <w:pPr>
              <w:pStyle w:val="TableContents"/>
              <w:spacing w:before="0" w:after="283"/>
              <w:jc w:val="left"/>
              <w:rPr/>
            </w:pPr>
            <w:r>
              <w:rPr/>
              <w:t> </w:t>
            </w:r>
          </w:p>
        </w:tc>
        <w:tc>
          <w:tcPr>
            <w:tcW w:w="102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2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213,227</w:t>
            </w:r>
          </w:p>
        </w:tc>
        <w:tc>
          <w:tcPr>
            <w:tcW w:w="123" w:type="dxa"/>
            <w:tcBorders/>
            <w:shd w:fill="auto" w:val="clear"/>
            <w:tcMar>
              <w:top w:w="0" w:type="dxa"/>
            </w:tcMar>
            <w:vAlign w:val="bottom"/>
          </w:tcPr>
          <w:p>
            <w:pPr>
              <w:pStyle w:val="TableContents"/>
              <w:spacing w:before="0" w:after="283"/>
              <w:jc w:val="left"/>
              <w:rPr/>
            </w:pPr>
            <w:r>
              <w:rPr/>
              <w:t> </w:t>
            </w:r>
          </w:p>
        </w:tc>
      </w:tr>
      <w:tr>
        <w:trPr/>
        <w:tc>
          <w:tcPr>
            <w:tcW w:w="3450"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General and administrative</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95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88,114</w:t>
            </w:r>
          </w:p>
        </w:tc>
        <w:tc>
          <w:tcPr>
            <w:tcW w:w="125"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2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468,207</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jc w:val="right"/>
              <w:rPr/>
            </w:pPr>
            <w:r>
              <w:rPr/>
              <w:t> </w:t>
            </w:r>
          </w:p>
        </w:tc>
        <w:tc>
          <w:tcPr>
            <w:tcW w:w="124" w:type="dxa"/>
            <w:tcBorders/>
            <w:shd w:fill="auto" w:val="clear"/>
            <w:tcMar>
              <w:top w:w="0" w:type="dxa"/>
            </w:tcMar>
            <w:vAlign w:val="bottom"/>
          </w:tcPr>
          <w:p>
            <w:pPr>
              <w:pStyle w:val="TableContents"/>
              <w:spacing w:before="0" w:after="283"/>
              <w:jc w:val="left"/>
              <w:rPr/>
            </w:pPr>
            <w:r>
              <w:rPr/>
              <w:t> </w:t>
            </w:r>
          </w:p>
        </w:tc>
        <w:tc>
          <w:tcPr>
            <w:tcW w:w="102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295,432</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2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612,067</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4,224,784</w:t>
            </w:r>
          </w:p>
        </w:tc>
        <w:tc>
          <w:tcPr>
            <w:tcW w:w="123" w:type="dxa"/>
            <w:tcBorders/>
            <w:shd w:fill="auto" w:val="clear"/>
            <w:tcMar>
              <w:top w:w="0" w:type="dxa"/>
            </w:tcMar>
            <w:vAlign w:val="bottom"/>
          </w:tcPr>
          <w:p>
            <w:pPr>
              <w:pStyle w:val="TableContents"/>
              <w:spacing w:before="0" w:after="283"/>
              <w:jc w:val="left"/>
              <w:rPr/>
            </w:pPr>
            <w:r>
              <w:rPr/>
              <w:t> </w:t>
            </w:r>
          </w:p>
        </w:tc>
      </w:tr>
      <w:tr>
        <w:trPr/>
        <w:tc>
          <w:tcPr>
            <w:tcW w:w="3450"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Interest and finance charges (Note 4)</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95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291,212</w:t>
            </w:r>
          </w:p>
        </w:tc>
        <w:tc>
          <w:tcPr>
            <w:tcW w:w="125"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2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100,246</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jc w:val="right"/>
              <w:rPr/>
            </w:pPr>
            <w:r>
              <w:rPr/>
              <w:t> </w:t>
            </w:r>
          </w:p>
        </w:tc>
        <w:tc>
          <w:tcPr>
            <w:tcW w:w="124" w:type="dxa"/>
            <w:tcBorders/>
            <w:shd w:fill="auto" w:val="clear"/>
            <w:tcMar>
              <w:top w:w="0" w:type="dxa"/>
            </w:tcMar>
            <w:vAlign w:val="bottom"/>
          </w:tcPr>
          <w:p>
            <w:pPr>
              <w:pStyle w:val="TableContents"/>
              <w:spacing w:before="0" w:after="283"/>
              <w:jc w:val="left"/>
              <w:rPr/>
            </w:pPr>
            <w:r>
              <w:rPr/>
              <w:t> </w:t>
            </w:r>
          </w:p>
        </w:tc>
        <w:tc>
          <w:tcPr>
            <w:tcW w:w="102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626,100</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2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196,972</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7,202,187</w:t>
            </w:r>
          </w:p>
        </w:tc>
        <w:tc>
          <w:tcPr>
            <w:tcW w:w="123" w:type="dxa"/>
            <w:tcBorders/>
            <w:shd w:fill="auto" w:val="clear"/>
            <w:tcMar>
              <w:top w:w="0" w:type="dxa"/>
            </w:tcMar>
            <w:vAlign w:val="bottom"/>
          </w:tcPr>
          <w:p>
            <w:pPr>
              <w:pStyle w:val="TableContents"/>
              <w:spacing w:before="0" w:after="283"/>
              <w:jc w:val="left"/>
              <w:rPr/>
            </w:pPr>
            <w:r>
              <w:rPr/>
              <w:t> </w:t>
            </w:r>
          </w:p>
        </w:tc>
      </w:tr>
      <w:tr>
        <w:trPr/>
        <w:tc>
          <w:tcPr>
            <w:tcW w:w="3450"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Management fees (Note 8)</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95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58,500</w:t>
            </w:r>
          </w:p>
        </w:tc>
        <w:tc>
          <w:tcPr>
            <w:tcW w:w="125"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2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22,500</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jc w:val="right"/>
              <w:rPr/>
            </w:pPr>
            <w:r>
              <w:rPr/>
              <w:t> </w:t>
            </w:r>
          </w:p>
        </w:tc>
        <w:tc>
          <w:tcPr>
            <w:tcW w:w="124" w:type="dxa"/>
            <w:tcBorders/>
            <w:shd w:fill="auto" w:val="clear"/>
            <w:tcMar>
              <w:top w:w="0" w:type="dxa"/>
            </w:tcMar>
            <w:vAlign w:val="bottom"/>
          </w:tcPr>
          <w:p>
            <w:pPr>
              <w:pStyle w:val="TableContents"/>
              <w:spacing w:before="0" w:after="283"/>
              <w:jc w:val="left"/>
              <w:rPr/>
            </w:pPr>
            <w:r>
              <w:rPr/>
              <w:t> </w:t>
            </w:r>
          </w:p>
        </w:tc>
        <w:tc>
          <w:tcPr>
            <w:tcW w:w="102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117,000</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2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102,600</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3,191,303</w:t>
            </w:r>
          </w:p>
        </w:tc>
        <w:tc>
          <w:tcPr>
            <w:tcW w:w="123" w:type="dxa"/>
            <w:tcBorders/>
            <w:shd w:fill="auto" w:val="clear"/>
            <w:tcMar>
              <w:top w:w="0" w:type="dxa"/>
            </w:tcMar>
            <w:vAlign w:val="bottom"/>
          </w:tcPr>
          <w:p>
            <w:pPr>
              <w:pStyle w:val="TableContents"/>
              <w:spacing w:before="0" w:after="283"/>
              <w:jc w:val="left"/>
              <w:rPr/>
            </w:pPr>
            <w:r>
              <w:rPr/>
              <w:t> </w:t>
            </w:r>
          </w:p>
        </w:tc>
      </w:tr>
      <w:tr>
        <w:trPr/>
        <w:tc>
          <w:tcPr>
            <w:tcW w:w="3450"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Management fees – stock-based</w:t>
            </w:r>
          </w:p>
          <w:p>
            <w:pPr>
              <w:pStyle w:val="TableContents"/>
              <w:spacing w:before="0" w:after="0"/>
              <w:ind w:left="0" w:right="0" w:hanging="0"/>
              <w:jc w:val="left"/>
              <w:rPr/>
            </w:pPr>
            <w:r>
              <w:rPr/>
              <w:t>    </w:t>
            </w:r>
            <w:r>
              <w:rPr>
                <w:rFonts w:ascii="times new roman" w:hAnsi="times new roman"/>
                <w:sz w:val="20"/>
              </w:rPr>
              <w:t>(Notes 8 and 9)</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95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11,926</w:t>
            </w:r>
          </w:p>
        </w:tc>
        <w:tc>
          <w:tcPr>
            <w:tcW w:w="125"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2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86,063</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jc w:val="right"/>
              <w:rPr/>
            </w:pPr>
            <w:r>
              <w:rPr/>
              <w:t> </w:t>
            </w:r>
          </w:p>
        </w:tc>
        <w:tc>
          <w:tcPr>
            <w:tcW w:w="124" w:type="dxa"/>
            <w:tcBorders/>
            <w:shd w:fill="auto" w:val="clear"/>
            <w:tcMar>
              <w:top w:w="0" w:type="dxa"/>
            </w:tcMar>
            <w:vAlign w:val="bottom"/>
          </w:tcPr>
          <w:p>
            <w:pPr>
              <w:pStyle w:val="TableContents"/>
              <w:spacing w:before="0" w:after="283"/>
              <w:jc w:val="left"/>
              <w:rPr/>
            </w:pPr>
            <w:r>
              <w:rPr/>
              <w:t> </w:t>
            </w:r>
          </w:p>
        </w:tc>
        <w:tc>
          <w:tcPr>
            <w:tcW w:w="102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27,489</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2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115,626</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4,476,487</w:t>
            </w:r>
          </w:p>
        </w:tc>
        <w:tc>
          <w:tcPr>
            <w:tcW w:w="123" w:type="dxa"/>
            <w:tcBorders/>
            <w:shd w:fill="auto" w:val="clear"/>
            <w:tcMar>
              <w:top w:w="0" w:type="dxa"/>
            </w:tcMar>
            <w:vAlign w:val="bottom"/>
          </w:tcPr>
          <w:p>
            <w:pPr>
              <w:pStyle w:val="TableContents"/>
              <w:spacing w:before="0" w:after="283"/>
              <w:jc w:val="left"/>
              <w:rPr/>
            </w:pPr>
            <w:r>
              <w:rPr/>
              <w:t> </w:t>
            </w:r>
          </w:p>
        </w:tc>
      </w:tr>
      <w:tr>
        <w:trPr/>
        <w:tc>
          <w:tcPr>
            <w:tcW w:w="3450"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Professional fees</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95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118,658</w:t>
            </w:r>
          </w:p>
        </w:tc>
        <w:tc>
          <w:tcPr>
            <w:tcW w:w="125"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2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112,980</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jc w:val="right"/>
              <w:rPr/>
            </w:pPr>
            <w:r>
              <w:rPr/>
              <w:t> </w:t>
            </w:r>
          </w:p>
        </w:tc>
        <w:tc>
          <w:tcPr>
            <w:tcW w:w="124" w:type="dxa"/>
            <w:tcBorders/>
            <w:shd w:fill="auto" w:val="clear"/>
            <w:tcMar>
              <w:top w:w="0" w:type="dxa"/>
            </w:tcMar>
            <w:vAlign w:val="bottom"/>
          </w:tcPr>
          <w:p>
            <w:pPr>
              <w:pStyle w:val="TableContents"/>
              <w:spacing w:before="0" w:after="283"/>
              <w:jc w:val="left"/>
              <w:rPr/>
            </w:pPr>
            <w:r>
              <w:rPr/>
              <w:t> </w:t>
            </w:r>
          </w:p>
        </w:tc>
        <w:tc>
          <w:tcPr>
            <w:tcW w:w="102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385,288</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2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187,109</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5,801,397</w:t>
            </w:r>
          </w:p>
        </w:tc>
        <w:tc>
          <w:tcPr>
            <w:tcW w:w="123" w:type="dxa"/>
            <w:tcBorders/>
            <w:shd w:fill="auto" w:val="clear"/>
            <w:tcMar>
              <w:top w:w="0" w:type="dxa"/>
            </w:tcMar>
            <w:vAlign w:val="bottom"/>
          </w:tcPr>
          <w:p>
            <w:pPr>
              <w:pStyle w:val="TableContents"/>
              <w:spacing w:before="0" w:after="283"/>
              <w:jc w:val="left"/>
              <w:rPr/>
            </w:pPr>
            <w:r>
              <w:rPr/>
              <w:t> </w:t>
            </w:r>
          </w:p>
        </w:tc>
      </w:tr>
      <w:tr>
        <w:trPr/>
        <w:tc>
          <w:tcPr>
            <w:tcW w:w="3450"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Research and development (Note 8)</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95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54,398</w:t>
            </w:r>
          </w:p>
        </w:tc>
        <w:tc>
          <w:tcPr>
            <w:tcW w:w="125"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2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245,763</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jc w:val="right"/>
              <w:rPr/>
            </w:pPr>
            <w:r>
              <w:rPr/>
              <w:t> </w:t>
            </w:r>
          </w:p>
        </w:tc>
        <w:tc>
          <w:tcPr>
            <w:tcW w:w="124" w:type="dxa"/>
            <w:tcBorders/>
            <w:shd w:fill="auto" w:val="clear"/>
            <w:tcMar>
              <w:top w:w="0" w:type="dxa"/>
            </w:tcMar>
            <w:vAlign w:val="bottom"/>
          </w:tcPr>
          <w:p>
            <w:pPr>
              <w:pStyle w:val="TableContents"/>
              <w:spacing w:before="0" w:after="283"/>
              <w:jc w:val="left"/>
              <w:rPr/>
            </w:pPr>
            <w:r>
              <w:rPr/>
              <w:t> </w:t>
            </w:r>
          </w:p>
        </w:tc>
        <w:tc>
          <w:tcPr>
            <w:tcW w:w="102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188,778</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2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361,228</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7,157,373</w:t>
            </w:r>
          </w:p>
        </w:tc>
        <w:tc>
          <w:tcPr>
            <w:tcW w:w="123" w:type="dxa"/>
            <w:tcBorders/>
            <w:shd w:fill="auto" w:val="clear"/>
            <w:tcMar>
              <w:top w:w="0" w:type="dxa"/>
            </w:tcMar>
            <w:vAlign w:val="bottom"/>
          </w:tcPr>
          <w:p>
            <w:pPr>
              <w:pStyle w:val="TableContents"/>
              <w:spacing w:before="0" w:after="283"/>
              <w:jc w:val="left"/>
              <w:rPr/>
            </w:pPr>
            <w:r>
              <w:rPr/>
              <w:t> </w:t>
            </w:r>
          </w:p>
        </w:tc>
      </w:tr>
      <w:tr>
        <w:trPr/>
        <w:tc>
          <w:tcPr>
            <w:tcW w:w="3450"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pPr>
            <w:r>
              <w:rPr/>
              <w:t>  </w:t>
            </w:r>
            <w:r>
              <w:rPr>
                <w:rFonts w:ascii="times new roman" w:hAnsi="times new roman"/>
                <w:sz w:val="20"/>
              </w:rPr>
              <w:t>Research and development</w:t>
            </w:r>
          </w:p>
          <w:p>
            <w:pPr>
              <w:pStyle w:val="TableContents"/>
              <w:spacing w:before="0" w:after="0"/>
              <w:ind w:left="0" w:right="0" w:hanging="0"/>
              <w:jc w:val="left"/>
              <w:rPr/>
            </w:pPr>
            <w:r>
              <w:rPr/>
              <w:t xml:space="preserve">    – </w:t>
            </w:r>
            <w:r>
              <w:rPr>
                <w:rFonts w:ascii="times new roman" w:hAnsi="times new roman"/>
                <w:sz w:val="20"/>
              </w:rPr>
              <w:t>stock-based</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953"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25"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jc w:val="right"/>
              <w:rPr/>
            </w:pPr>
            <w:r>
              <w:rPr/>
              <w:t> </w:t>
            </w:r>
          </w:p>
        </w:tc>
        <w:tc>
          <w:tcPr>
            <w:tcW w:w="12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25"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25"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76"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612,000</w:t>
            </w:r>
          </w:p>
        </w:tc>
        <w:tc>
          <w:tcPr>
            <w:tcW w:w="123" w:type="dxa"/>
            <w:tcBorders/>
            <w:shd w:fill="auto" w:val="clear"/>
            <w:tcMar>
              <w:top w:w="0" w:type="dxa"/>
            </w:tcMar>
            <w:vAlign w:val="bottom"/>
          </w:tcPr>
          <w:p>
            <w:pPr>
              <w:pStyle w:val="TableContents"/>
              <w:spacing w:before="0" w:after="283"/>
              <w:jc w:val="left"/>
              <w:rPr/>
            </w:pPr>
            <w:r>
              <w:rPr/>
              <w:t> </w:t>
            </w:r>
          </w:p>
        </w:tc>
      </w:tr>
      <w:tr>
        <w:trPr/>
        <w:tc>
          <w:tcPr>
            <w:tcW w:w="3450" w:type="dxa"/>
            <w:tcBorders>
              <w:bottom w:val="single" w:sz="12" w:space="0" w:color="000000"/>
            </w:tcBorders>
            <w:shd w:fill="auto" w:val="clear"/>
            <w:tcMar>
              <w:top w:w="0" w:type="dxa"/>
              <w:bottom w:w="28" w:type="dxa"/>
            </w:tcMar>
            <w:vAlign w:val="bottom"/>
          </w:tcPr>
          <w:p>
            <w:pPr>
              <w:pStyle w:val="TableContents"/>
              <w:spacing w:before="0" w:after="283"/>
              <w:rPr/>
            </w:pPr>
            <w:r>
              <w:rPr/>
              <w:t xml:space="preserve">  </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953"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675,131</w:t>
            </w:r>
          </w:p>
        </w:tc>
        <w:tc>
          <w:tcPr>
            <w:tcW w:w="125"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25"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3,138,214</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jc w:val="right"/>
              <w:rPr/>
            </w:pPr>
            <w:r>
              <w:rPr/>
              <w:t> </w:t>
            </w:r>
          </w:p>
        </w:tc>
        <w:tc>
          <w:tcPr>
            <w:tcW w:w="12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25"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1,790,222</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25"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3,811,965</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76"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43,288,765</w:t>
            </w:r>
          </w:p>
        </w:tc>
        <w:tc>
          <w:tcPr>
            <w:tcW w:w="123" w:type="dxa"/>
            <w:tcBorders/>
            <w:shd w:fill="auto" w:val="clear"/>
            <w:tcMar>
              <w:top w:w="0" w:type="dxa"/>
            </w:tcMar>
            <w:vAlign w:val="bottom"/>
          </w:tcPr>
          <w:p>
            <w:pPr>
              <w:pStyle w:val="TableContents"/>
              <w:spacing w:before="0" w:after="283"/>
              <w:jc w:val="left"/>
              <w:rPr/>
            </w:pPr>
            <w:r>
              <w:rPr/>
              <w:t> </w:t>
            </w:r>
          </w:p>
        </w:tc>
      </w:tr>
      <w:tr>
        <w:trPr/>
        <w:tc>
          <w:tcPr>
            <w:tcW w:w="3450" w:type="dxa"/>
            <w:tcBorders/>
            <w:shd w:fill="auto" w:val="clear"/>
            <w:tcMar>
              <w:top w:w="0" w:type="dxa"/>
            </w:tcMar>
            <w:vAlign w:val="bottom"/>
          </w:tcPr>
          <w:p>
            <w:pPr>
              <w:pStyle w:val="TableContents"/>
              <w:spacing w:before="0" w:after="283"/>
              <w:rPr/>
            </w:pPr>
            <w:r>
              <w:rPr/>
              <w:t xml:space="preserve">  </w:t>
            </w:r>
          </w:p>
        </w:tc>
        <w:tc>
          <w:tcPr>
            <w:tcW w:w="94"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953"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25" w:type="dxa"/>
            <w:tcBorders/>
            <w:shd w:fill="auto" w:val="clear"/>
            <w:tcMar>
              <w:top w:w="0" w:type="dxa"/>
            </w:tcMar>
            <w:vAlign w:val="bottom"/>
          </w:tcPr>
          <w:p>
            <w:pPr>
              <w:pStyle w:val="TableContents"/>
              <w:spacing w:before="0" w:after="283"/>
              <w:jc w:val="right"/>
              <w:rPr/>
            </w:pPr>
            <w:r>
              <w:rPr/>
              <w:t> </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rPr/>
            </w:pPr>
            <w:r>
              <w:rPr/>
              <w:t> </w:t>
            </w:r>
          </w:p>
        </w:tc>
        <w:tc>
          <w:tcPr>
            <w:tcW w:w="124" w:type="dxa"/>
            <w:tcBorders/>
            <w:shd w:fill="auto" w:val="clear"/>
            <w:tcMar>
              <w:top w:w="0" w:type="dxa"/>
            </w:tcMar>
            <w:vAlign w:val="bottom"/>
          </w:tcPr>
          <w:p>
            <w:pPr>
              <w:pStyle w:val="TableContents"/>
              <w:spacing w:before="0" w:after="283"/>
              <w:jc w:val="left"/>
              <w:rPr/>
            </w:pPr>
            <w:r>
              <w:rPr/>
              <w:t> </w:t>
            </w:r>
          </w:p>
        </w:tc>
        <w:tc>
          <w:tcPr>
            <w:tcW w:w="1025" w:type="dxa"/>
            <w:tcBorders/>
            <w:shd w:fill="auto" w:val="clear"/>
            <w:tcMar>
              <w:top w:w="0" w:type="dxa"/>
            </w:tcMar>
            <w:vAlign w:val="bottom"/>
          </w:tcPr>
          <w:p>
            <w:pPr>
              <w:pStyle w:val="TableContents"/>
              <w:spacing w:before="0" w:after="283"/>
              <w:jc w:val="right"/>
              <w:rPr/>
            </w:pPr>
            <w:r>
              <w:rPr/>
              <w:t> </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25" w:type="dxa"/>
            <w:tcBorders/>
            <w:shd w:fill="auto" w:val="clear"/>
            <w:tcMar>
              <w:top w:w="0" w:type="dxa"/>
            </w:tcMar>
            <w:vAlign w:val="bottom"/>
          </w:tcPr>
          <w:p>
            <w:pPr>
              <w:pStyle w:val="TableContents"/>
              <w:spacing w:before="0" w:after="283"/>
              <w:jc w:val="right"/>
              <w:rPr/>
            </w:pPr>
            <w:r>
              <w:rPr/>
              <w:t> </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6" w:type="dxa"/>
            <w:tcBorders/>
            <w:shd w:fill="auto" w:val="clear"/>
            <w:tcMar>
              <w:top w:w="0" w:type="dxa"/>
            </w:tcMar>
            <w:vAlign w:val="bottom"/>
          </w:tcPr>
          <w:p>
            <w:pPr>
              <w:pStyle w:val="TableContents"/>
              <w:spacing w:before="0" w:after="283"/>
              <w:jc w:val="right"/>
              <w:rPr/>
            </w:pPr>
            <w:r>
              <w:rPr/>
              <w:t> </w:t>
            </w:r>
          </w:p>
        </w:tc>
        <w:tc>
          <w:tcPr>
            <w:tcW w:w="123" w:type="dxa"/>
            <w:tcBorders/>
            <w:shd w:fill="auto" w:val="clear"/>
            <w:tcMar>
              <w:top w:w="0" w:type="dxa"/>
            </w:tcMar>
            <w:vAlign w:val="bottom"/>
          </w:tcPr>
          <w:p>
            <w:pPr>
              <w:pStyle w:val="TableContents"/>
              <w:spacing w:before="0" w:after="283"/>
              <w:jc w:val="left"/>
              <w:rPr/>
            </w:pPr>
            <w:r>
              <w:rPr/>
              <w:t> </w:t>
            </w:r>
          </w:p>
        </w:tc>
      </w:tr>
      <w:tr>
        <w:trPr/>
        <w:tc>
          <w:tcPr>
            <w:tcW w:w="3450" w:type="dxa"/>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Loss Before Other Items</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95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(675,131</w:t>
            </w:r>
          </w:p>
        </w:tc>
        <w:tc>
          <w:tcPr>
            <w:tcW w:w="12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2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(3,138,214</w:t>
            </w:r>
          </w:p>
        </w:tc>
        <w:tc>
          <w:tcPr>
            <w:tcW w:w="10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right"/>
              <w:rPr/>
            </w:pPr>
            <w:r>
              <w:rPr/>
              <w:t> </w:t>
            </w:r>
          </w:p>
        </w:tc>
        <w:tc>
          <w:tcPr>
            <w:tcW w:w="124" w:type="dxa"/>
            <w:tcBorders/>
            <w:shd w:fill="auto" w:val="clear"/>
            <w:tcMar>
              <w:top w:w="0" w:type="dxa"/>
            </w:tcMar>
            <w:vAlign w:val="bottom"/>
          </w:tcPr>
          <w:p>
            <w:pPr>
              <w:pStyle w:val="TableContents"/>
              <w:spacing w:before="0" w:after="283"/>
              <w:jc w:val="left"/>
              <w:rPr/>
            </w:pPr>
            <w:r>
              <w:rPr/>
              <w:t> </w:t>
            </w:r>
          </w:p>
        </w:tc>
        <w:tc>
          <w:tcPr>
            <w:tcW w:w="102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(1,790,222</w:t>
            </w:r>
          </w:p>
        </w:tc>
        <w:tc>
          <w:tcPr>
            <w:tcW w:w="10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2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(3,811,965</w:t>
            </w:r>
          </w:p>
        </w:tc>
        <w:tc>
          <w:tcPr>
            <w:tcW w:w="10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(43,288,765</w:t>
            </w:r>
          </w:p>
        </w:tc>
        <w:tc>
          <w:tcPr>
            <w:tcW w:w="12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450" w:type="dxa"/>
            <w:tcBorders/>
            <w:shd w:fill="auto" w:val="clear"/>
            <w:tcMar>
              <w:top w:w="0" w:type="dxa"/>
            </w:tcMar>
            <w:vAlign w:val="bottom"/>
          </w:tcPr>
          <w:p>
            <w:pPr>
              <w:pStyle w:val="TableContents"/>
              <w:spacing w:before="0" w:after="283"/>
              <w:rPr/>
            </w:pPr>
            <w:r>
              <w:rPr/>
              <w:t xml:space="preserve">  </w:t>
            </w:r>
          </w:p>
        </w:tc>
        <w:tc>
          <w:tcPr>
            <w:tcW w:w="94"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953"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25" w:type="dxa"/>
            <w:tcBorders/>
            <w:shd w:fill="auto" w:val="clear"/>
            <w:tcMar>
              <w:top w:w="0" w:type="dxa"/>
            </w:tcMar>
            <w:vAlign w:val="bottom"/>
          </w:tcPr>
          <w:p>
            <w:pPr>
              <w:pStyle w:val="TableContents"/>
              <w:spacing w:before="0" w:after="283"/>
              <w:jc w:val="right"/>
              <w:rPr/>
            </w:pPr>
            <w:r>
              <w:rPr/>
              <w:t> </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rPr/>
            </w:pPr>
            <w:r>
              <w:rPr/>
              <w:t> </w:t>
            </w:r>
          </w:p>
        </w:tc>
        <w:tc>
          <w:tcPr>
            <w:tcW w:w="124" w:type="dxa"/>
            <w:tcBorders/>
            <w:shd w:fill="auto" w:val="clear"/>
            <w:tcMar>
              <w:top w:w="0" w:type="dxa"/>
            </w:tcMar>
            <w:vAlign w:val="bottom"/>
          </w:tcPr>
          <w:p>
            <w:pPr>
              <w:pStyle w:val="TableContents"/>
              <w:spacing w:before="0" w:after="283"/>
              <w:jc w:val="left"/>
              <w:rPr/>
            </w:pPr>
            <w:r>
              <w:rPr/>
              <w:t> </w:t>
            </w:r>
          </w:p>
        </w:tc>
        <w:tc>
          <w:tcPr>
            <w:tcW w:w="1025" w:type="dxa"/>
            <w:tcBorders/>
            <w:shd w:fill="auto" w:val="clear"/>
            <w:tcMar>
              <w:top w:w="0" w:type="dxa"/>
            </w:tcMar>
            <w:vAlign w:val="bottom"/>
          </w:tcPr>
          <w:p>
            <w:pPr>
              <w:pStyle w:val="TableContents"/>
              <w:spacing w:before="0" w:after="283"/>
              <w:jc w:val="right"/>
              <w:rPr/>
            </w:pPr>
            <w:r>
              <w:rPr/>
              <w:t> </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25" w:type="dxa"/>
            <w:tcBorders/>
            <w:shd w:fill="auto" w:val="clear"/>
            <w:tcMar>
              <w:top w:w="0" w:type="dxa"/>
            </w:tcMar>
            <w:vAlign w:val="bottom"/>
          </w:tcPr>
          <w:p>
            <w:pPr>
              <w:pStyle w:val="TableContents"/>
              <w:spacing w:before="0" w:after="283"/>
              <w:jc w:val="right"/>
              <w:rPr/>
            </w:pPr>
            <w:r>
              <w:rPr/>
              <w:t> </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6" w:type="dxa"/>
            <w:tcBorders/>
            <w:shd w:fill="auto" w:val="clear"/>
            <w:tcMar>
              <w:top w:w="0" w:type="dxa"/>
            </w:tcMar>
            <w:vAlign w:val="bottom"/>
          </w:tcPr>
          <w:p>
            <w:pPr>
              <w:pStyle w:val="TableContents"/>
              <w:spacing w:before="0" w:after="283"/>
              <w:jc w:val="right"/>
              <w:rPr/>
            </w:pPr>
            <w:r>
              <w:rPr/>
              <w:t> </w:t>
            </w:r>
          </w:p>
        </w:tc>
        <w:tc>
          <w:tcPr>
            <w:tcW w:w="123" w:type="dxa"/>
            <w:tcBorders/>
            <w:shd w:fill="auto" w:val="clear"/>
            <w:tcMar>
              <w:top w:w="0" w:type="dxa"/>
            </w:tcMar>
            <w:vAlign w:val="bottom"/>
          </w:tcPr>
          <w:p>
            <w:pPr>
              <w:pStyle w:val="TableContents"/>
              <w:spacing w:before="0" w:after="283"/>
              <w:jc w:val="left"/>
              <w:rPr/>
            </w:pPr>
            <w:r>
              <w:rPr/>
              <w:t> </w:t>
            </w:r>
          </w:p>
        </w:tc>
      </w:tr>
      <w:tr>
        <w:trPr/>
        <w:tc>
          <w:tcPr>
            <w:tcW w:w="3450" w:type="dxa"/>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Other Items</w:t>
            </w:r>
          </w:p>
        </w:tc>
        <w:tc>
          <w:tcPr>
            <w:tcW w:w="94"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953"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25" w:type="dxa"/>
            <w:tcBorders/>
            <w:shd w:fill="auto" w:val="clear"/>
            <w:tcMar>
              <w:top w:w="0" w:type="dxa"/>
            </w:tcMar>
            <w:vAlign w:val="bottom"/>
          </w:tcPr>
          <w:p>
            <w:pPr>
              <w:pStyle w:val="TableContents"/>
              <w:spacing w:before="0" w:after="283"/>
              <w:jc w:val="right"/>
              <w:rPr/>
            </w:pPr>
            <w:r>
              <w:rPr/>
              <w:t> </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rPr/>
            </w:pPr>
            <w:r>
              <w:rPr/>
              <w:t> </w:t>
            </w:r>
          </w:p>
        </w:tc>
        <w:tc>
          <w:tcPr>
            <w:tcW w:w="124" w:type="dxa"/>
            <w:tcBorders/>
            <w:shd w:fill="auto" w:val="clear"/>
            <w:tcMar>
              <w:top w:w="0" w:type="dxa"/>
            </w:tcMar>
            <w:vAlign w:val="bottom"/>
          </w:tcPr>
          <w:p>
            <w:pPr>
              <w:pStyle w:val="TableContents"/>
              <w:spacing w:before="0" w:after="283"/>
              <w:jc w:val="left"/>
              <w:rPr/>
            </w:pPr>
            <w:r>
              <w:rPr/>
              <w:t> </w:t>
            </w:r>
          </w:p>
        </w:tc>
        <w:tc>
          <w:tcPr>
            <w:tcW w:w="1025" w:type="dxa"/>
            <w:tcBorders/>
            <w:shd w:fill="auto" w:val="clear"/>
            <w:tcMar>
              <w:top w:w="0" w:type="dxa"/>
            </w:tcMar>
            <w:vAlign w:val="bottom"/>
          </w:tcPr>
          <w:p>
            <w:pPr>
              <w:pStyle w:val="TableContents"/>
              <w:spacing w:before="0" w:after="283"/>
              <w:jc w:val="right"/>
              <w:rPr/>
            </w:pPr>
            <w:r>
              <w:rPr/>
              <w:t> </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25" w:type="dxa"/>
            <w:tcBorders/>
            <w:shd w:fill="auto" w:val="clear"/>
            <w:tcMar>
              <w:top w:w="0" w:type="dxa"/>
            </w:tcMar>
            <w:vAlign w:val="bottom"/>
          </w:tcPr>
          <w:p>
            <w:pPr>
              <w:pStyle w:val="TableContents"/>
              <w:spacing w:before="0" w:after="283"/>
              <w:jc w:val="right"/>
              <w:rPr/>
            </w:pPr>
            <w:r>
              <w:rPr/>
              <w:t> </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6" w:type="dxa"/>
            <w:tcBorders/>
            <w:shd w:fill="auto" w:val="clear"/>
            <w:tcMar>
              <w:top w:w="0" w:type="dxa"/>
            </w:tcMar>
            <w:vAlign w:val="bottom"/>
          </w:tcPr>
          <w:p>
            <w:pPr>
              <w:pStyle w:val="TableContents"/>
              <w:spacing w:before="0" w:after="283"/>
              <w:jc w:val="right"/>
              <w:rPr/>
            </w:pPr>
            <w:r>
              <w:rPr/>
              <w:t> </w:t>
            </w:r>
          </w:p>
        </w:tc>
        <w:tc>
          <w:tcPr>
            <w:tcW w:w="123" w:type="dxa"/>
            <w:tcBorders/>
            <w:shd w:fill="auto" w:val="clear"/>
            <w:tcMar>
              <w:top w:w="0" w:type="dxa"/>
            </w:tcMar>
            <w:vAlign w:val="bottom"/>
          </w:tcPr>
          <w:p>
            <w:pPr>
              <w:pStyle w:val="TableContents"/>
              <w:spacing w:before="0" w:after="283"/>
              <w:jc w:val="left"/>
              <w:rPr/>
            </w:pPr>
            <w:r>
              <w:rPr/>
              <w:t> </w:t>
            </w:r>
          </w:p>
        </w:tc>
      </w:tr>
      <w:tr>
        <w:trPr/>
        <w:tc>
          <w:tcPr>
            <w:tcW w:w="3450"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Foreign exchange (loss) gain</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95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(6,637</w:t>
            </w:r>
          </w:p>
        </w:tc>
        <w:tc>
          <w:tcPr>
            <w:tcW w:w="12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 </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2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 xml:space="preserve">17,280 </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jc w:val="right"/>
              <w:rPr/>
            </w:pPr>
            <w:r>
              <w:rPr/>
              <w:t> </w:t>
            </w:r>
          </w:p>
        </w:tc>
        <w:tc>
          <w:tcPr>
            <w:tcW w:w="124" w:type="dxa"/>
            <w:tcBorders/>
            <w:shd w:fill="auto" w:val="clear"/>
            <w:tcMar>
              <w:top w:w="0" w:type="dxa"/>
            </w:tcMar>
            <w:vAlign w:val="bottom"/>
          </w:tcPr>
          <w:p>
            <w:pPr>
              <w:pStyle w:val="TableContents"/>
              <w:spacing w:before="0" w:after="283"/>
              <w:jc w:val="left"/>
              <w:rPr/>
            </w:pPr>
            <w:r>
              <w:rPr/>
              <w:t> </w:t>
            </w:r>
          </w:p>
        </w:tc>
        <w:tc>
          <w:tcPr>
            <w:tcW w:w="102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 xml:space="preserve">5,896 </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2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 xml:space="preserve">9,497 </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51,583</w:t>
            </w:r>
          </w:p>
        </w:tc>
        <w:tc>
          <w:tcPr>
            <w:tcW w:w="123" w:type="dxa"/>
            <w:tcBorders/>
            <w:shd w:fill="auto" w:val="clear"/>
            <w:tcMar>
              <w:top w:w="0" w:type="dxa"/>
            </w:tcMar>
            <w:vAlign w:val="bottom"/>
          </w:tcPr>
          <w:p>
            <w:pPr>
              <w:pStyle w:val="TableContents"/>
              <w:spacing w:before="0" w:after="283"/>
              <w:jc w:val="left"/>
              <w:rPr/>
            </w:pPr>
            <w:r>
              <w:rPr/>
              <w:t> </w:t>
            </w:r>
          </w:p>
        </w:tc>
      </w:tr>
      <w:tr>
        <w:trPr/>
        <w:tc>
          <w:tcPr>
            <w:tcW w:w="3450" w:type="dxa"/>
            <w:tcBorders/>
            <w:shd w:fill="auto" w:val="clear"/>
            <w:tcMar>
              <w:top w:w="0" w:type="dxa"/>
            </w:tcMar>
            <w:vAlign w:val="bottom"/>
          </w:tcPr>
          <w:p>
            <w:pPr>
              <w:pStyle w:val="TableContents"/>
              <w:spacing w:before="0" w:after="0"/>
              <w:ind w:left="180" w:right="0" w:hanging="180"/>
              <w:jc w:val="left"/>
              <w:rPr/>
            </w:pPr>
            <w:r>
              <w:rPr/>
              <w:t>  </w:t>
            </w:r>
            <w:r>
              <w:rPr>
                <w:rFonts w:ascii="times new roman" w:hAnsi="times new roman"/>
                <w:sz w:val="20"/>
              </w:rPr>
              <w:t>Changes in fair value of derivative      liabilities (Note 4)</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95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781,321</w:t>
            </w:r>
          </w:p>
        </w:tc>
        <w:tc>
          <w:tcPr>
            <w:tcW w:w="125"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2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352,129</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jc w:val="right"/>
              <w:rPr/>
            </w:pPr>
            <w:r>
              <w:rPr/>
              <w:t> </w:t>
            </w:r>
          </w:p>
        </w:tc>
        <w:tc>
          <w:tcPr>
            <w:tcW w:w="124" w:type="dxa"/>
            <w:tcBorders/>
            <w:shd w:fill="auto" w:val="clear"/>
            <w:tcMar>
              <w:top w:w="0" w:type="dxa"/>
            </w:tcMar>
            <w:vAlign w:val="bottom"/>
          </w:tcPr>
          <w:p>
            <w:pPr>
              <w:pStyle w:val="TableContents"/>
              <w:spacing w:before="0" w:after="283"/>
              <w:jc w:val="left"/>
              <w:rPr/>
            </w:pPr>
            <w:r>
              <w:rPr/>
              <w:t> </w:t>
            </w:r>
          </w:p>
        </w:tc>
        <w:tc>
          <w:tcPr>
            <w:tcW w:w="102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1,878,489</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2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423,191</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6,182,881</w:t>
            </w:r>
          </w:p>
        </w:tc>
        <w:tc>
          <w:tcPr>
            <w:tcW w:w="123" w:type="dxa"/>
            <w:tcBorders/>
            <w:shd w:fill="auto" w:val="clear"/>
            <w:tcMar>
              <w:top w:w="0" w:type="dxa"/>
            </w:tcMar>
            <w:vAlign w:val="bottom"/>
          </w:tcPr>
          <w:p>
            <w:pPr>
              <w:pStyle w:val="TableContents"/>
              <w:spacing w:before="0" w:after="283"/>
              <w:jc w:val="left"/>
              <w:rPr/>
            </w:pPr>
            <w:r>
              <w:rPr/>
              <w:t> </w:t>
            </w:r>
          </w:p>
        </w:tc>
      </w:tr>
      <w:tr>
        <w:trPr/>
        <w:tc>
          <w:tcPr>
            <w:tcW w:w="3450"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Loss on debt financing</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95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(96,000</w:t>
            </w:r>
          </w:p>
        </w:tc>
        <w:tc>
          <w:tcPr>
            <w:tcW w:w="12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2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jc w:val="right"/>
              <w:rPr/>
            </w:pPr>
            <w:r>
              <w:rPr/>
              <w:t> </w:t>
            </w:r>
          </w:p>
        </w:tc>
        <w:tc>
          <w:tcPr>
            <w:tcW w:w="124" w:type="dxa"/>
            <w:tcBorders/>
            <w:shd w:fill="auto" w:val="clear"/>
            <w:tcMar>
              <w:top w:w="0" w:type="dxa"/>
            </w:tcMar>
            <w:vAlign w:val="bottom"/>
          </w:tcPr>
          <w:p>
            <w:pPr>
              <w:pStyle w:val="TableContents"/>
              <w:spacing w:before="0" w:after="283"/>
              <w:jc w:val="left"/>
              <w:rPr/>
            </w:pPr>
            <w:r>
              <w:rPr/>
              <w:t> </w:t>
            </w:r>
          </w:p>
        </w:tc>
        <w:tc>
          <w:tcPr>
            <w:tcW w:w="102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2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(1,469,263</w:t>
            </w:r>
          </w:p>
        </w:tc>
        <w:tc>
          <w:tcPr>
            <w:tcW w:w="12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450"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Gain (loss) on settlement of debt (Note 9)</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95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(874,358</w:t>
            </w:r>
          </w:p>
        </w:tc>
        <w:tc>
          <w:tcPr>
            <w:tcW w:w="12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2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18,758</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jc w:val="right"/>
              <w:rPr/>
            </w:pPr>
            <w:r>
              <w:rPr/>
              <w:t> </w:t>
            </w:r>
          </w:p>
        </w:tc>
        <w:tc>
          <w:tcPr>
            <w:tcW w:w="124" w:type="dxa"/>
            <w:tcBorders/>
            <w:shd w:fill="auto" w:val="clear"/>
            <w:tcMar>
              <w:top w:w="0" w:type="dxa"/>
            </w:tcMar>
            <w:vAlign w:val="bottom"/>
          </w:tcPr>
          <w:p>
            <w:pPr>
              <w:pStyle w:val="TableContents"/>
              <w:spacing w:before="0" w:after="283"/>
              <w:jc w:val="left"/>
              <w:rPr/>
            </w:pPr>
            <w:r>
              <w:rPr/>
              <w:t> </w:t>
            </w:r>
          </w:p>
        </w:tc>
        <w:tc>
          <w:tcPr>
            <w:tcW w:w="102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(1,310,400</w:t>
            </w:r>
          </w:p>
        </w:tc>
        <w:tc>
          <w:tcPr>
            <w:tcW w:w="10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2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28,688</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(13,001,201</w:t>
            </w:r>
          </w:p>
        </w:tc>
        <w:tc>
          <w:tcPr>
            <w:tcW w:w="12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450" w:type="dxa"/>
            <w:tcBorders/>
            <w:shd w:fill="auto" w:val="clear"/>
            <w:tcMar>
              <w:top w:w="0" w:type="dxa"/>
            </w:tcMar>
            <w:vAlign w:val="bottom"/>
          </w:tcPr>
          <w:p>
            <w:pPr>
              <w:pStyle w:val="TableContents"/>
              <w:spacing w:before="0" w:after="0"/>
              <w:ind w:left="180" w:right="0" w:hanging="180"/>
              <w:jc w:val="left"/>
              <w:rPr/>
            </w:pPr>
            <w:r>
              <w:rPr/>
              <w:t>  </w:t>
            </w:r>
            <w:r>
              <w:rPr>
                <w:rFonts w:ascii="times new roman" w:hAnsi="times new roman"/>
                <w:sz w:val="20"/>
              </w:rPr>
              <w:t>Gain on extinguishment of derivative  liabilities -  warrants (Note 4)</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95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2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jc w:val="right"/>
              <w:rPr/>
            </w:pPr>
            <w:r>
              <w:rPr/>
              <w:t> </w:t>
            </w:r>
          </w:p>
        </w:tc>
        <w:tc>
          <w:tcPr>
            <w:tcW w:w="124" w:type="dxa"/>
            <w:tcBorders/>
            <w:shd w:fill="auto" w:val="clear"/>
            <w:tcMar>
              <w:top w:w="0" w:type="dxa"/>
            </w:tcMar>
            <w:vAlign w:val="bottom"/>
          </w:tcPr>
          <w:p>
            <w:pPr>
              <w:pStyle w:val="TableContents"/>
              <w:spacing w:before="0" w:after="283"/>
              <w:jc w:val="left"/>
              <w:rPr/>
            </w:pPr>
            <w:r>
              <w:rPr/>
              <w:t> </w:t>
            </w:r>
          </w:p>
        </w:tc>
        <w:tc>
          <w:tcPr>
            <w:tcW w:w="102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2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290,500</w:t>
            </w:r>
          </w:p>
        </w:tc>
        <w:tc>
          <w:tcPr>
            <w:tcW w:w="123" w:type="dxa"/>
            <w:tcBorders/>
            <w:shd w:fill="auto" w:val="clear"/>
            <w:tcMar>
              <w:top w:w="0" w:type="dxa"/>
            </w:tcMar>
            <w:vAlign w:val="bottom"/>
          </w:tcPr>
          <w:p>
            <w:pPr>
              <w:pStyle w:val="TableContents"/>
              <w:spacing w:before="0" w:after="283"/>
              <w:jc w:val="left"/>
              <w:rPr/>
            </w:pPr>
            <w:r>
              <w:rPr/>
              <w:t> </w:t>
            </w:r>
          </w:p>
        </w:tc>
      </w:tr>
      <w:tr>
        <w:trPr/>
        <w:tc>
          <w:tcPr>
            <w:tcW w:w="3450"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Interest income</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95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2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jc w:val="right"/>
              <w:rPr/>
            </w:pPr>
            <w:r>
              <w:rPr/>
              <w:t> </w:t>
            </w:r>
          </w:p>
        </w:tc>
        <w:tc>
          <w:tcPr>
            <w:tcW w:w="124" w:type="dxa"/>
            <w:tcBorders/>
            <w:shd w:fill="auto" w:val="clear"/>
            <w:tcMar>
              <w:top w:w="0" w:type="dxa"/>
            </w:tcMar>
            <w:vAlign w:val="bottom"/>
          </w:tcPr>
          <w:p>
            <w:pPr>
              <w:pStyle w:val="TableContents"/>
              <w:spacing w:before="0" w:after="283"/>
              <w:jc w:val="left"/>
              <w:rPr/>
            </w:pPr>
            <w:r>
              <w:rPr/>
              <w:t> </w:t>
            </w:r>
          </w:p>
        </w:tc>
        <w:tc>
          <w:tcPr>
            <w:tcW w:w="102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2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33,344</w:t>
            </w:r>
          </w:p>
        </w:tc>
        <w:tc>
          <w:tcPr>
            <w:tcW w:w="123" w:type="dxa"/>
            <w:tcBorders/>
            <w:shd w:fill="auto" w:val="clear"/>
            <w:tcMar>
              <w:top w:w="0" w:type="dxa"/>
            </w:tcMar>
            <w:vAlign w:val="bottom"/>
          </w:tcPr>
          <w:p>
            <w:pPr>
              <w:pStyle w:val="TableContents"/>
              <w:spacing w:before="0" w:after="283"/>
              <w:jc w:val="left"/>
              <w:rPr/>
            </w:pPr>
            <w:r>
              <w:rPr/>
              <w:t> </w:t>
            </w:r>
          </w:p>
        </w:tc>
      </w:tr>
      <w:tr>
        <w:trPr/>
        <w:tc>
          <w:tcPr>
            <w:tcW w:w="3450"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Loss on disposal of assets</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95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2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jc w:val="right"/>
              <w:rPr/>
            </w:pPr>
            <w:r>
              <w:rPr/>
              <w:t> </w:t>
            </w:r>
          </w:p>
        </w:tc>
        <w:tc>
          <w:tcPr>
            <w:tcW w:w="124" w:type="dxa"/>
            <w:tcBorders/>
            <w:shd w:fill="auto" w:val="clear"/>
            <w:tcMar>
              <w:top w:w="0" w:type="dxa"/>
            </w:tcMar>
            <w:vAlign w:val="bottom"/>
          </w:tcPr>
          <w:p>
            <w:pPr>
              <w:pStyle w:val="TableContents"/>
              <w:spacing w:before="0" w:after="283"/>
              <w:jc w:val="left"/>
              <w:rPr/>
            </w:pPr>
            <w:r>
              <w:rPr/>
              <w:t> </w:t>
            </w:r>
          </w:p>
        </w:tc>
        <w:tc>
          <w:tcPr>
            <w:tcW w:w="102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2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(5,399</w:t>
            </w:r>
          </w:p>
        </w:tc>
        <w:tc>
          <w:tcPr>
            <w:tcW w:w="12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450" w:type="dxa"/>
            <w:tcBorders>
              <w:bottom w:val="single" w:sz="12" w:space="0" w:color="000000"/>
            </w:tcBorders>
            <w:shd w:fill="auto" w:val="clear"/>
            <w:tcMar>
              <w:top w:w="0" w:type="dxa"/>
              <w:bottom w:w="28" w:type="dxa"/>
            </w:tcMar>
            <w:vAlign w:val="bottom"/>
          </w:tcPr>
          <w:p>
            <w:pPr>
              <w:pStyle w:val="TableContents"/>
              <w:spacing w:before="0" w:after="283"/>
              <w:rPr/>
            </w:pPr>
            <w:r>
              <w:rPr/>
              <w:t xml:space="preserve">  </w:t>
            </w:r>
          </w:p>
        </w:tc>
        <w:tc>
          <w:tcPr>
            <w:tcW w:w="94" w:type="dxa"/>
            <w:tcBorders/>
            <w:shd w:fill="auto" w:val="clear"/>
            <w:tcMar>
              <w:top w:w="0" w:type="dxa"/>
            </w:tcMar>
            <w:vAlign w:val="bottom"/>
          </w:tcPr>
          <w:p>
            <w:pPr>
              <w:pStyle w:val="TableContents"/>
              <w:spacing w:before="0" w:after="283"/>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953" w:type="dxa"/>
            <w:tcBorders>
              <w:bottom w:val="single" w:sz="12" w:space="0" w:color="000000"/>
            </w:tcBorders>
            <w:shd w:fill="auto" w:val="clear"/>
            <w:tcMar>
              <w:top w:w="0" w:type="dxa"/>
              <w:bottom w:w="28"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25" w:type="dxa"/>
            <w:tcBorders>
              <w:bottom w:val="single" w:sz="12" w:space="0" w:color="000000"/>
            </w:tcBorders>
            <w:shd w:fill="auto" w:val="clear"/>
            <w:tcMar>
              <w:top w:w="0" w:type="dxa"/>
              <w:bottom w:w="28" w:type="dxa"/>
            </w:tcMar>
            <w:vAlign w:val="bottom"/>
          </w:tcPr>
          <w:p>
            <w:pPr>
              <w:pStyle w:val="TableContents"/>
              <w:spacing w:before="0" w:after="283"/>
              <w:jc w:val="right"/>
              <w:rPr/>
            </w:pPr>
            <w:r>
              <w:rPr/>
              <w:t> </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rPr/>
            </w:pPr>
            <w:r>
              <w:rPr/>
              <w:t> </w:t>
            </w:r>
          </w:p>
        </w:tc>
        <w:tc>
          <w:tcPr>
            <w:tcW w:w="12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25" w:type="dxa"/>
            <w:tcBorders>
              <w:bottom w:val="single" w:sz="12" w:space="0" w:color="000000"/>
            </w:tcBorders>
            <w:shd w:fill="auto" w:val="clear"/>
            <w:tcMar>
              <w:top w:w="0" w:type="dxa"/>
              <w:bottom w:w="28" w:type="dxa"/>
            </w:tcMar>
            <w:vAlign w:val="bottom"/>
          </w:tcPr>
          <w:p>
            <w:pPr>
              <w:pStyle w:val="TableContents"/>
              <w:spacing w:before="0" w:after="283"/>
              <w:jc w:val="right"/>
              <w:rPr/>
            </w:pPr>
            <w:r>
              <w:rPr/>
              <w:t> </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25" w:type="dxa"/>
            <w:tcBorders>
              <w:bottom w:val="single" w:sz="12" w:space="0" w:color="000000"/>
            </w:tcBorders>
            <w:shd w:fill="auto" w:val="clear"/>
            <w:tcMar>
              <w:top w:w="0" w:type="dxa"/>
              <w:bottom w:w="28" w:type="dxa"/>
            </w:tcMar>
            <w:vAlign w:val="bottom"/>
          </w:tcPr>
          <w:p>
            <w:pPr>
              <w:pStyle w:val="TableContents"/>
              <w:spacing w:before="0" w:after="283"/>
              <w:jc w:val="right"/>
              <w:rPr/>
            </w:pPr>
            <w:r>
              <w:rPr/>
              <w:t> </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76" w:type="dxa"/>
            <w:tcBorders>
              <w:bottom w:val="single" w:sz="12" w:space="0" w:color="000000"/>
            </w:tcBorders>
            <w:shd w:fill="auto" w:val="clear"/>
            <w:tcMar>
              <w:top w:w="0" w:type="dxa"/>
              <w:bottom w:w="28" w:type="dxa"/>
            </w:tcMar>
            <w:vAlign w:val="bottom"/>
          </w:tcPr>
          <w:p>
            <w:pPr>
              <w:pStyle w:val="TableContents"/>
              <w:spacing w:before="0" w:after="283"/>
              <w:jc w:val="right"/>
              <w:rPr/>
            </w:pPr>
            <w:r>
              <w:rPr/>
              <w:t> </w:t>
            </w:r>
          </w:p>
        </w:tc>
        <w:tc>
          <w:tcPr>
            <w:tcW w:w="123" w:type="dxa"/>
            <w:tcBorders/>
            <w:shd w:fill="auto" w:val="clear"/>
            <w:tcMar>
              <w:top w:w="0" w:type="dxa"/>
            </w:tcMar>
            <w:vAlign w:val="bottom"/>
          </w:tcPr>
          <w:p>
            <w:pPr>
              <w:pStyle w:val="TableContents"/>
              <w:spacing w:before="0" w:after="283"/>
              <w:jc w:val="left"/>
              <w:rPr/>
            </w:pPr>
            <w:r>
              <w:rPr/>
              <w:t> </w:t>
            </w:r>
          </w:p>
        </w:tc>
      </w:tr>
      <w:tr>
        <w:trPr/>
        <w:tc>
          <w:tcPr>
            <w:tcW w:w="3450"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Loss for the Period</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3"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(870, 805</w:t>
            </w:r>
          </w:p>
        </w:tc>
        <w:tc>
          <w:tcPr>
            <w:tcW w:w="12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(2,750,047</w:t>
            </w:r>
          </w:p>
        </w:tc>
        <w:tc>
          <w:tcPr>
            <w:tcW w:w="10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right"/>
              <w:rPr/>
            </w:pPr>
            <w:r>
              <w:rPr/>
              <w:t> </w:t>
            </w:r>
          </w:p>
        </w:tc>
        <w:tc>
          <w:tcPr>
            <w:tcW w:w="124" w:type="dxa"/>
            <w:tcBorders>
              <w:bottom w:val="single" w:sz="12"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(1,312,237</w:t>
            </w:r>
          </w:p>
        </w:tc>
        <w:tc>
          <w:tcPr>
            <w:tcW w:w="10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(3,350,589</w:t>
            </w:r>
          </w:p>
        </w:tc>
        <w:tc>
          <w:tcPr>
            <w:tcW w:w="10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6"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(51,206,320</w:t>
            </w:r>
          </w:p>
        </w:tc>
        <w:tc>
          <w:tcPr>
            <w:tcW w:w="12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450" w:type="dxa"/>
            <w:tcBorders/>
            <w:shd w:fill="auto" w:val="clear"/>
            <w:tcMar>
              <w:top w:w="0" w:type="dxa"/>
            </w:tcMar>
            <w:vAlign w:val="bottom"/>
          </w:tcPr>
          <w:p>
            <w:pPr>
              <w:pStyle w:val="TableContents"/>
              <w:spacing w:before="0" w:after="283"/>
              <w:rPr/>
            </w:pPr>
            <w:r>
              <w:rPr/>
              <w:t xml:space="preserve">  </w:t>
            </w:r>
          </w:p>
        </w:tc>
        <w:tc>
          <w:tcPr>
            <w:tcW w:w="94"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953"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25" w:type="dxa"/>
            <w:tcBorders/>
            <w:shd w:fill="auto" w:val="clear"/>
            <w:tcMar>
              <w:top w:w="0" w:type="dxa"/>
            </w:tcMar>
            <w:vAlign w:val="bottom"/>
          </w:tcPr>
          <w:p>
            <w:pPr>
              <w:pStyle w:val="TableContents"/>
              <w:spacing w:before="0" w:after="283"/>
              <w:jc w:val="right"/>
              <w:rPr/>
            </w:pPr>
            <w:r>
              <w:rPr/>
              <w:t> </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rPr/>
            </w:pPr>
            <w:r>
              <w:rPr/>
              <w:t> </w:t>
            </w:r>
          </w:p>
        </w:tc>
        <w:tc>
          <w:tcPr>
            <w:tcW w:w="124" w:type="dxa"/>
            <w:tcBorders/>
            <w:shd w:fill="auto" w:val="clear"/>
            <w:tcMar>
              <w:top w:w="0" w:type="dxa"/>
            </w:tcMar>
            <w:vAlign w:val="bottom"/>
          </w:tcPr>
          <w:p>
            <w:pPr>
              <w:pStyle w:val="TableContents"/>
              <w:spacing w:before="0" w:after="283"/>
              <w:jc w:val="left"/>
              <w:rPr/>
            </w:pPr>
            <w:r>
              <w:rPr/>
              <w:t> </w:t>
            </w:r>
          </w:p>
        </w:tc>
        <w:tc>
          <w:tcPr>
            <w:tcW w:w="1025" w:type="dxa"/>
            <w:tcBorders/>
            <w:shd w:fill="auto" w:val="clear"/>
            <w:tcMar>
              <w:top w:w="0" w:type="dxa"/>
            </w:tcMar>
            <w:vAlign w:val="bottom"/>
          </w:tcPr>
          <w:p>
            <w:pPr>
              <w:pStyle w:val="TableContents"/>
              <w:spacing w:before="0" w:after="283"/>
              <w:jc w:val="right"/>
              <w:rPr/>
            </w:pPr>
            <w:r>
              <w:rPr/>
              <w:t> </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25" w:type="dxa"/>
            <w:tcBorders/>
            <w:shd w:fill="auto" w:val="clear"/>
            <w:tcMar>
              <w:top w:w="0" w:type="dxa"/>
            </w:tcMar>
            <w:vAlign w:val="bottom"/>
          </w:tcPr>
          <w:p>
            <w:pPr>
              <w:pStyle w:val="TableContents"/>
              <w:spacing w:before="0" w:after="283"/>
              <w:jc w:val="right"/>
              <w:rPr/>
            </w:pPr>
            <w:r>
              <w:rPr/>
              <w:t> </w:t>
            </w:r>
          </w:p>
        </w:tc>
        <w:tc>
          <w:tcPr>
            <w:tcW w:w="103" w:type="dxa"/>
            <w:tcBorders/>
            <w:shd w:fill="auto" w:val="clear"/>
            <w:tcMar>
              <w:top w:w="0" w:type="dxa"/>
            </w:tcMar>
            <w:vAlign w:val="bottom"/>
          </w:tcPr>
          <w:p>
            <w:pPr>
              <w:pStyle w:val="TableContents"/>
              <w:spacing w:before="0" w:after="283"/>
              <w:jc w:val="left"/>
              <w:rPr/>
            </w:pPr>
            <w:r>
              <w:rPr/>
              <w:t> </w:t>
            </w:r>
          </w:p>
        </w:tc>
        <w:tc>
          <w:tcPr>
            <w:tcW w:w="94"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6" w:type="dxa"/>
            <w:tcBorders/>
            <w:shd w:fill="auto" w:val="clear"/>
            <w:tcMar>
              <w:top w:w="0" w:type="dxa"/>
            </w:tcMar>
            <w:vAlign w:val="bottom"/>
          </w:tcPr>
          <w:p>
            <w:pPr>
              <w:pStyle w:val="TableContents"/>
              <w:spacing w:before="0" w:after="283"/>
              <w:jc w:val="right"/>
              <w:rPr/>
            </w:pPr>
            <w:r>
              <w:rPr/>
              <w:t> </w:t>
            </w:r>
          </w:p>
        </w:tc>
        <w:tc>
          <w:tcPr>
            <w:tcW w:w="123" w:type="dxa"/>
            <w:tcBorders/>
            <w:shd w:fill="auto" w:val="clear"/>
            <w:tcMar>
              <w:top w:w="0" w:type="dxa"/>
            </w:tcMar>
            <w:vAlign w:val="bottom"/>
          </w:tcPr>
          <w:p>
            <w:pPr>
              <w:pStyle w:val="TableContents"/>
              <w:spacing w:before="0" w:after="283"/>
              <w:jc w:val="left"/>
              <w:rPr/>
            </w:pPr>
            <w:r>
              <w:rPr/>
              <w:t> </w:t>
            </w:r>
          </w:p>
        </w:tc>
      </w:tr>
    </w:tbl>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3540"/>
        <w:gridCol w:w="100"/>
        <w:gridCol w:w="125"/>
        <w:gridCol w:w="1103"/>
        <w:gridCol w:w="108"/>
        <w:gridCol w:w="100"/>
        <w:gridCol w:w="125"/>
        <w:gridCol w:w="1063"/>
        <w:gridCol w:w="108"/>
        <w:gridCol w:w="100"/>
        <w:gridCol w:w="125"/>
        <w:gridCol w:w="1063"/>
        <w:gridCol w:w="108"/>
        <w:gridCol w:w="99"/>
        <w:gridCol w:w="125"/>
        <w:gridCol w:w="1063"/>
        <w:gridCol w:w="108"/>
        <w:gridCol w:w="100"/>
        <w:gridCol w:w="100"/>
        <w:gridCol w:w="728"/>
        <w:gridCol w:w="114"/>
      </w:tblGrid>
      <w:tr>
        <w:trPr/>
        <w:tc>
          <w:tcPr>
            <w:tcW w:w="3540"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Basic and Diluted Net Loss per Share</w:t>
            </w:r>
          </w:p>
        </w:tc>
        <w:tc>
          <w:tcPr>
            <w:tcW w:w="100" w:type="dxa"/>
            <w:tcBorders/>
            <w:shd w:fill="auto" w:val="clear"/>
            <w:tcMar>
              <w:bottom w:w="0" w:type="dxa"/>
            </w:tcMar>
            <w:vAlign w:val="bottom"/>
          </w:tcPr>
          <w:p>
            <w:pPr>
              <w:pStyle w:val="TableContents"/>
              <w:spacing w:before="0" w:after="283"/>
              <w:jc w:val="right"/>
              <w:rPr/>
            </w:pPr>
            <w:r>
              <w:rPr/>
              <w:t> </w:t>
            </w:r>
          </w:p>
        </w:tc>
        <w:tc>
          <w:tcPr>
            <w:tcW w:w="125" w:type="dxa"/>
            <w:tcBorders>
              <w:bottom w:val="double" w:sz="8" w:space="0" w:color="000000"/>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3" w:type="dxa"/>
            <w:tcBorders>
              <w:bottom w:val="double" w:sz="8"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(0.01</w:t>
            </w:r>
          </w:p>
        </w:tc>
        <w:tc>
          <w:tcPr>
            <w:tcW w:w="108"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Mar>
              <w:bottom w:w="0" w:type="dxa"/>
            </w:tcMar>
            <w:vAlign w:val="bottom"/>
          </w:tcPr>
          <w:p>
            <w:pPr>
              <w:pStyle w:val="TableContents"/>
              <w:spacing w:before="0" w:after="283"/>
              <w:jc w:val="right"/>
              <w:rPr/>
            </w:pPr>
            <w:r>
              <w:rPr/>
              <w:t> </w:t>
            </w:r>
          </w:p>
        </w:tc>
        <w:tc>
          <w:tcPr>
            <w:tcW w:w="125" w:type="dxa"/>
            <w:tcBorders>
              <w:bottom w:val="double" w:sz="8" w:space="0" w:color="000000"/>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3" w:type="dxa"/>
            <w:tcBorders>
              <w:bottom w:val="double" w:sz="8"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(0.04</w:t>
            </w:r>
          </w:p>
        </w:tc>
        <w:tc>
          <w:tcPr>
            <w:tcW w:w="108"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Mar>
              <w:bottom w:w="0" w:type="dxa"/>
            </w:tcMar>
            <w:vAlign w:val="bottom"/>
          </w:tcPr>
          <w:p>
            <w:pPr>
              <w:pStyle w:val="TableContents"/>
              <w:spacing w:before="0" w:after="283"/>
              <w:jc w:val="right"/>
              <w:rPr/>
            </w:pPr>
            <w:r>
              <w:rPr/>
              <w:t> </w:t>
            </w:r>
          </w:p>
        </w:tc>
        <w:tc>
          <w:tcPr>
            <w:tcW w:w="125" w:type="dxa"/>
            <w:tcBorders>
              <w:bottom w:val="double" w:sz="8" w:space="0" w:color="000000"/>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3" w:type="dxa"/>
            <w:tcBorders>
              <w:bottom w:val="double" w:sz="8"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(0.01</w:t>
            </w:r>
          </w:p>
        </w:tc>
        <w:tc>
          <w:tcPr>
            <w:tcW w:w="108"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 w:type="dxa"/>
            <w:tcBorders/>
            <w:shd w:fill="auto" w:val="clear"/>
            <w:tcMar>
              <w:bottom w:w="0" w:type="dxa"/>
            </w:tcMar>
            <w:vAlign w:val="bottom"/>
          </w:tcPr>
          <w:p>
            <w:pPr>
              <w:pStyle w:val="TableContents"/>
              <w:spacing w:before="0" w:after="283"/>
              <w:jc w:val="right"/>
              <w:rPr/>
            </w:pPr>
            <w:r>
              <w:rPr/>
              <w:t> </w:t>
            </w:r>
          </w:p>
        </w:tc>
        <w:tc>
          <w:tcPr>
            <w:tcW w:w="125" w:type="dxa"/>
            <w:tcBorders>
              <w:bottom w:val="double" w:sz="8" w:space="0" w:color="000000"/>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3" w:type="dxa"/>
            <w:tcBorders>
              <w:bottom w:val="double" w:sz="8"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(0.06</w:t>
            </w:r>
          </w:p>
        </w:tc>
        <w:tc>
          <w:tcPr>
            <w:tcW w:w="108"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Mar>
              <w:bottom w:w="0" w:type="dxa"/>
            </w:tcMar>
            <w:vAlign w:val="bottom"/>
          </w:tcPr>
          <w:p>
            <w:pPr>
              <w:pStyle w:val="TableContents"/>
              <w:spacing w:before="0" w:after="283"/>
              <w:jc w:val="right"/>
              <w:rPr/>
            </w:pPr>
            <w:r>
              <w:rPr/>
              <w:t> </w:t>
            </w:r>
          </w:p>
        </w:tc>
        <w:tc>
          <w:tcPr>
            <w:tcW w:w="100" w:type="dxa"/>
            <w:tcBorders/>
            <w:shd w:fill="auto" w:val="clear"/>
            <w:tcMar>
              <w:bottom w:w="0" w:type="dxa"/>
            </w:tcMar>
            <w:vAlign w:val="bottom"/>
          </w:tcPr>
          <w:p>
            <w:pPr>
              <w:pStyle w:val="TableContents"/>
              <w:spacing w:before="0" w:after="283"/>
              <w:jc w:val="left"/>
              <w:rPr/>
            </w:pPr>
            <w:r>
              <w:rPr/>
              <w:t> </w:t>
            </w:r>
          </w:p>
        </w:tc>
        <w:tc>
          <w:tcPr>
            <w:tcW w:w="728" w:type="dxa"/>
            <w:tcBorders/>
            <w:shd w:fill="auto" w:val="clear"/>
            <w:tcMar>
              <w:bottom w:w="0" w:type="dxa"/>
            </w:tcMar>
            <w:vAlign w:val="bottom"/>
          </w:tcPr>
          <w:p>
            <w:pPr>
              <w:pStyle w:val="TableContents"/>
              <w:spacing w:before="0" w:after="283"/>
              <w:jc w:val="right"/>
              <w:rPr/>
            </w:pPr>
            <w:r>
              <w:rPr/>
              <w:t> </w:t>
            </w:r>
          </w:p>
        </w:tc>
        <w:tc>
          <w:tcPr>
            <w:tcW w:w="114" w:type="dxa"/>
            <w:tcBorders/>
            <w:shd w:fill="auto" w:val="clear"/>
            <w:tcMar>
              <w:bottom w:w="0" w:type="dxa"/>
            </w:tcMar>
            <w:vAlign w:val="bottom"/>
          </w:tcPr>
          <w:p>
            <w:pPr>
              <w:pStyle w:val="TableContents"/>
              <w:spacing w:before="0" w:after="283"/>
              <w:jc w:val="left"/>
              <w:rPr/>
            </w:pPr>
            <w:r>
              <w:rPr/>
              <w:t> </w:t>
            </w:r>
          </w:p>
        </w:tc>
      </w:tr>
      <w:tr>
        <w:trPr/>
        <w:tc>
          <w:tcPr>
            <w:tcW w:w="3540" w:type="dxa"/>
            <w:tcBorders/>
            <w:shd w:fill="auto" w:val="clear"/>
            <w:tcMar>
              <w:bottom w:w="0" w:type="dxa"/>
            </w:tcMar>
            <w:vAlign w:val="bottom"/>
          </w:tcPr>
          <w:p>
            <w:pPr>
              <w:pStyle w:val="TableContents"/>
              <w:spacing w:before="0" w:after="283"/>
              <w:rPr/>
            </w:pPr>
            <w:r>
              <w:rPr/>
              <w:t xml:space="preserve">  </w:t>
            </w:r>
          </w:p>
        </w:tc>
        <w:tc>
          <w:tcPr>
            <w:tcW w:w="100" w:type="dxa"/>
            <w:tcBorders/>
            <w:shd w:fill="auto" w:val="clear"/>
            <w:tcMar>
              <w:bottom w:w="0" w:type="dxa"/>
            </w:tcMar>
            <w:vAlign w:val="bottom"/>
          </w:tcPr>
          <w:p>
            <w:pPr>
              <w:pStyle w:val="TableContents"/>
              <w:spacing w:before="0" w:after="283"/>
              <w:rPr/>
            </w:pPr>
            <w:r>
              <w:rPr/>
              <w:t> </w:t>
            </w:r>
          </w:p>
        </w:tc>
        <w:tc>
          <w:tcPr>
            <w:tcW w:w="125" w:type="dxa"/>
            <w:tcBorders/>
            <w:shd w:fill="auto" w:val="clear"/>
            <w:tcMar>
              <w:bottom w:w="0" w:type="dxa"/>
            </w:tcMar>
            <w:vAlign w:val="bottom"/>
          </w:tcPr>
          <w:p>
            <w:pPr>
              <w:pStyle w:val="TableContents"/>
              <w:spacing w:before="0" w:after="283"/>
              <w:jc w:val="left"/>
              <w:rPr/>
            </w:pPr>
            <w:r>
              <w:rPr/>
              <w:t> </w:t>
            </w:r>
          </w:p>
        </w:tc>
        <w:tc>
          <w:tcPr>
            <w:tcW w:w="1103" w:type="dxa"/>
            <w:tcBorders/>
            <w:shd w:fill="auto" w:val="clear"/>
            <w:tcMar>
              <w:bottom w:w="0" w:type="dxa"/>
            </w:tcMar>
            <w:vAlign w:val="bottom"/>
          </w:tcPr>
          <w:p>
            <w:pPr>
              <w:pStyle w:val="TableContents"/>
              <w:spacing w:before="0" w:after="283"/>
              <w:jc w:val="right"/>
              <w:rPr/>
            </w:pPr>
            <w:r>
              <w:rPr/>
              <w:t> </w:t>
            </w:r>
          </w:p>
        </w:tc>
        <w:tc>
          <w:tcPr>
            <w:tcW w:w="108" w:type="dxa"/>
            <w:tcBorders/>
            <w:shd w:fill="auto" w:val="clear"/>
            <w:tcMar>
              <w:bottom w:w="0" w:type="dxa"/>
            </w:tcMar>
            <w:vAlign w:val="bottom"/>
          </w:tcPr>
          <w:p>
            <w:pPr>
              <w:pStyle w:val="TableContents"/>
              <w:spacing w:before="0" w:after="283"/>
              <w:jc w:val="left"/>
              <w:rPr/>
            </w:pPr>
            <w:r>
              <w:rPr/>
              <w:t> </w:t>
            </w:r>
          </w:p>
        </w:tc>
        <w:tc>
          <w:tcPr>
            <w:tcW w:w="100" w:type="dxa"/>
            <w:tcBorders/>
            <w:shd w:fill="auto" w:val="clear"/>
            <w:tcMar>
              <w:bottom w:w="0" w:type="dxa"/>
            </w:tcMar>
            <w:vAlign w:val="bottom"/>
          </w:tcPr>
          <w:p>
            <w:pPr>
              <w:pStyle w:val="TableContents"/>
              <w:spacing w:before="0" w:after="283"/>
              <w:rPr/>
            </w:pPr>
            <w:r>
              <w:rPr/>
              <w:t> </w:t>
            </w:r>
          </w:p>
        </w:tc>
        <w:tc>
          <w:tcPr>
            <w:tcW w:w="125" w:type="dxa"/>
            <w:tcBorders/>
            <w:shd w:fill="auto" w:val="clear"/>
            <w:tcMar>
              <w:bottom w:w="0" w:type="dxa"/>
            </w:tcMar>
            <w:vAlign w:val="bottom"/>
          </w:tcPr>
          <w:p>
            <w:pPr>
              <w:pStyle w:val="TableContents"/>
              <w:spacing w:before="0" w:after="283"/>
              <w:jc w:val="left"/>
              <w:rPr/>
            </w:pPr>
            <w:r>
              <w:rPr/>
              <w:t> </w:t>
            </w:r>
          </w:p>
        </w:tc>
        <w:tc>
          <w:tcPr>
            <w:tcW w:w="1063" w:type="dxa"/>
            <w:tcBorders/>
            <w:shd w:fill="auto" w:val="clear"/>
            <w:tcMar>
              <w:bottom w:w="0" w:type="dxa"/>
            </w:tcMar>
            <w:vAlign w:val="bottom"/>
          </w:tcPr>
          <w:p>
            <w:pPr>
              <w:pStyle w:val="TableContents"/>
              <w:spacing w:before="0" w:after="283"/>
              <w:jc w:val="right"/>
              <w:rPr/>
            </w:pPr>
            <w:r>
              <w:rPr/>
              <w:t> </w:t>
            </w:r>
          </w:p>
        </w:tc>
        <w:tc>
          <w:tcPr>
            <w:tcW w:w="108" w:type="dxa"/>
            <w:tcBorders/>
            <w:shd w:fill="auto" w:val="clear"/>
            <w:tcMar>
              <w:bottom w:w="0" w:type="dxa"/>
            </w:tcMar>
            <w:vAlign w:val="bottom"/>
          </w:tcPr>
          <w:p>
            <w:pPr>
              <w:pStyle w:val="TableContents"/>
              <w:spacing w:before="0" w:after="283"/>
              <w:jc w:val="left"/>
              <w:rPr/>
            </w:pPr>
            <w:r>
              <w:rPr/>
              <w:t> </w:t>
            </w:r>
          </w:p>
        </w:tc>
        <w:tc>
          <w:tcPr>
            <w:tcW w:w="100" w:type="dxa"/>
            <w:tcBorders/>
            <w:shd w:fill="auto" w:val="clear"/>
            <w:tcMar>
              <w:bottom w:w="0" w:type="dxa"/>
            </w:tcMar>
            <w:vAlign w:val="bottom"/>
          </w:tcPr>
          <w:p>
            <w:pPr>
              <w:pStyle w:val="TableContents"/>
              <w:spacing w:before="0" w:after="283"/>
              <w:rPr/>
            </w:pPr>
            <w:r>
              <w:rPr/>
              <w:t> </w:t>
            </w:r>
          </w:p>
        </w:tc>
        <w:tc>
          <w:tcPr>
            <w:tcW w:w="125" w:type="dxa"/>
            <w:tcBorders/>
            <w:shd w:fill="auto" w:val="clear"/>
            <w:tcMar>
              <w:bottom w:w="0" w:type="dxa"/>
            </w:tcMar>
            <w:vAlign w:val="bottom"/>
          </w:tcPr>
          <w:p>
            <w:pPr>
              <w:pStyle w:val="TableContents"/>
              <w:spacing w:before="0" w:after="283"/>
              <w:jc w:val="left"/>
              <w:rPr/>
            </w:pPr>
            <w:r>
              <w:rPr/>
              <w:t> </w:t>
            </w:r>
          </w:p>
        </w:tc>
        <w:tc>
          <w:tcPr>
            <w:tcW w:w="1063" w:type="dxa"/>
            <w:tcBorders/>
            <w:shd w:fill="auto" w:val="clear"/>
            <w:tcMar>
              <w:bottom w:w="0" w:type="dxa"/>
            </w:tcMar>
            <w:vAlign w:val="bottom"/>
          </w:tcPr>
          <w:p>
            <w:pPr>
              <w:pStyle w:val="TableContents"/>
              <w:spacing w:before="0" w:after="283"/>
              <w:jc w:val="right"/>
              <w:rPr/>
            </w:pPr>
            <w:r>
              <w:rPr/>
              <w:t> </w:t>
            </w:r>
          </w:p>
        </w:tc>
        <w:tc>
          <w:tcPr>
            <w:tcW w:w="108" w:type="dxa"/>
            <w:tcBorders/>
            <w:shd w:fill="auto" w:val="clear"/>
            <w:tcMar>
              <w:bottom w:w="0" w:type="dxa"/>
            </w:tcMar>
            <w:vAlign w:val="bottom"/>
          </w:tcPr>
          <w:p>
            <w:pPr>
              <w:pStyle w:val="TableContents"/>
              <w:spacing w:before="0" w:after="283"/>
              <w:jc w:val="left"/>
              <w:rPr/>
            </w:pPr>
            <w:r>
              <w:rPr/>
              <w:t> </w:t>
            </w:r>
          </w:p>
        </w:tc>
        <w:tc>
          <w:tcPr>
            <w:tcW w:w="99" w:type="dxa"/>
            <w:tcBorders/>
            <w:shd w:fill="auto" w:val="clear"/>
            <w:tcMar>
              <w:bottom w:w="0" w:type="dxa"/>
            </w:tcMar>
            <w:vAlign w:val="bottom"/>
          </w:tcPr>
          <w:p>
            <w:pPr>
              <w:pStyle w:val="TableContents"/>
              <w:spacing w:before="0" w:after="283"/>
              <w:rPr/>
            </w:pPr>
            <w:r>
              <w:rPr/>
              <w:t> </w:t>
            </w:r>
          </w:p>
        </w:tc>
        <w:tc>
          <w:tcPr>
            <w:tcW w:w="125" w:type="dxa"/>
            <w:tcBorders/>
            <w:shd w:fill="auto" w:val="clear"/>
            <w:tcMar>
              <w:bottom w:w="0" w:type="dxa"/>
            </w:tcMar>
            <w:vAlign w:val="bottom"/>
          </w:tcPr>
          <w:p>
            <w:pPr>
              <w:pStyle w:val="TableContents"/>
              <w:spacing w:before="0" w:after="283"/>
              <w:jc w:val="left"/>
              <w:rPr/>
            </w:pPr>
            <w:r>
              <w:rPr/>
              <w:t> </w:t>
            </w:r>
          </w:p>
        </w:tc>
        <w:tc>
          <w:tcPr>
            <w:tcW w:w="1063" w:type="dxa"/>
            <w:tcBorders/>
            <w:shd w:fill="auto" w:val="clear"/>
            <w:tcMar>
              <w:bottom w:w="0" w:type="dxa"/>
            </w:tcMar>
            <w:vAlign w:val="bottom"/>
          </w:tcPr>
          <w:p>
            <w:pPr>
              <w:pStyle w:val="TableContents"/>
              <w:spacing w:before="0" w:after="283"/>
              <w:jc w:val="right"/>
              <w:rPr/>
            </w:pPr>
            <w:r>
              <w:rPr/>
              <w:t> </w:t>
            </w:r>
          </w:p>
        </w:tc>
        <w:tc>
          <w:tcPr>
            <w:tcW w:w="108" w:type="dxa"/>
            <w:tcBorders/>
            <w:shd w:fill="auto" w:val="clear"/>
            <w:tcMar>
              <w:bottom w:w="0" w:type="dxa"/>
            </w:tcMar>
            <w:vAlign w:val="bottom"/>
          </w:tcPr>
          <w:p>
            <w:pPr>
              <w:pStyle w:val="TableContents"/>
              <w:spacing w:before="0" w:after="283"/>
              <w:jc w:val="left"/>
              <w:rPr/>
            </w:pPr>
            <w:r>
              <w:rPr/>
              <w:t> </w:t>
            </w:r>
          </w:p>
        </w:tc>
        <w:tc>
          <w:tcPr>
            <w:tcW w:w="100" w:type="dxa"/>
            <w:tcBorders/>
            <w:shd w:fill="auto" w:val="clear"/>
            <w:tcMar>
              <w:bottom w:w="0" w:type="dxa"/>
            </w:tcMar>
            <w:vAlign w:val="bottom"/>
          </w:tcPr>
          <w:p>
            <w:pPr>
              <w:pStyle w:val="TableContents"/>
              <w:spacing w:before="0" w:after="283"/>
              <w:rPr/>
            </w:pPr>
            <w:r>
              <w:rPr/>
              <w:t> </w:t>
            </w:r>
          </w:p>
        </w:tc>
        <w:tc>
          <w:tcPr>
            <w:tcW w:w="100" w:type="dxa"/>
            <w:tcBorders/>
            <w:shd w:fill="auto" w:val="clear"/>
            <w:tcMar>
              <w:bottom w:w="0" w:type="dxa"/>
            </w:tcMar>
            <w:vAlign w:val="bottom"/>
          </w:tcPr>
          <w:p>
            <w:pPr>
              <w:pStyle w:val="TableContents"/>
              <w:spacing w:before="0" w:after="283"/>
              <w:jc w:val="left"/>
              <w:rPr/>
            </w:pPr>
            <w:r>
              <w:rPr/>
              <w:t> </w:t>
            </w:r>
          </w:p>
        </w:tc>
        <w:tc>
          <w:tcPr>
            <w:tcW w:w="728" w:type="dxa"/>
            <w:tcBorders/>
            <w:shd w:fill="auto" w:val="clear"/>
            <w:tcMar>
              <w:bottom w:w="0" w:type="dxa"/>
            </w:tcMar>
            <w:vAlign w:val="bottom"/>
          </w:tcPr>
          <w:p>
            <w:pPr>
              <w:pStyle w:val="TableContents"/>
              <w:spacing w:before="0" w:after="283"/>
              <w:jc w:val="right"/>
              <w:rPr/>
            </w:pPr>
            <w:r>
              <w:rPr/>
              <w:t> </w:t>
            </w:r>
          </w:p>
        </w:tc>
        <w:tc>
          <w:tcPr>
            <w:tcW w:w="114" w:type="dxa"/>
            <w:tcBorders/>
            <w:shd w:fill="auto" w:val="clear"/>
            <w:tcMar>
              <w:bottom w:w="0" w:type="dxa"/>
            </w:tcMar>
            <w:vAlign w:val="bottom"/>
          </w:tcPr>
          <w:p>
            <w:pPr>
              <w:pStyle w:val="TableContents"/>
              <w:spacing w:before="0" w:after="283"/>
              <w:jc w:val="left"/>
              <w:rPr/>
            </w:pPr>
            <w:r>
              <w:rPr/>
              <w:t> </w:t>
            </w:r>
          </w:p>
        </w:tc>
      </w:tr>
      <w:tr>
        <w:trPr/>
        <w:tc>
          <w:tcPr>
            <w:tcW w:w="3540"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Weighted Average Number of Common Shares Outstanding</w:t>
            </w:r>
          </w:p>
        </w:tc>
        <w:tc>
          <w:tcPr>
            <w:tcW w:w="100" w:type="dxa"/>
            <w:tcBorders/>
            <w:shd w:fill="auto" w:val="clear"/>
            <w:tcMar>
              <w:bottom w:w="0" w:type="dxa"/>
            </w:tcMar>
            <w:vAlign w:val="bottom"/>
          </w:tcPr>
          <w:p>
            <w:pPr>
              <w:pStyle w:val="TableContents"/>
              <w:spacing w:before="0" w:after="283"/>
              <w:jc w:val="right"/>
              <w:rPr/>
            </w:pPr>
            <w:r>
              <w:rPr/>
              <w:t> </w:t>
            </w:r>
          </w:p>
        </w:tc>
        <w:tc>
          <w:tcPr>
            <w:tcW w:w="125" w:type="dxa"/>
            <w:tcBorders>
              <w:bottom w:val="double" w:sz="8" w:space="0" w:color="000000"/>
            </w:tcBorders>
            <w:shd w:fill="auto" w:val="clear"/>
            <w:vAlign w:val="bottom"/>
          </w:tcPr>
          <w:p>
            <w:pPr>
              <w:pStyle w:val="TableContents"/>
              <w:spacing w:before="0" w:after="283"/>
              <w:jc w:val="left"/>
              <w:rPr/>
            </w:pPr>
            <w:r>
              <w:rPr/>
              <w:t> </w:t>
            </w:r>
          </w:p>
        </w:tc>
        <w:tc>
          <w:tcPr>
            <w:tcW w:w="1103" w:type="dxa"/>
            <w:tcBorders>
              <w:bottom w:val="double" w:sz="8"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100,088,149</w:t>
            </w:r>
          </w:p>
        </w:tc>
        <w:tc>
          <w:tcPr>
            <w:tcW w:w="108" w:type="dxa"/>
            <w:tcBorders/>
            <w:shd w:fill="auto" w:val="clear"/>
            <w:tcMar>
              <w:bottom w:w="0" w:type="dxa"/>
            </w:tcMar>
            <w:vAlign w:val="bottom"/>
          </w:tcPr>
          <w:p>
            <w:pPr>
              <w:pStyle w:val="TableContents"/>
              <w:spacing w:before="0" w:after="283"/>
              <w:jc w:val="left"/>
              <w:rPr/>
            </w:pPr>
            <w:r>
              <w:rPr/>
              <w:t> </w:t>
            </w:r>
          </w:p>
        </w:tc>
        <w:tc>
          <w:tcPr>
            <w:tcW w:w="100" w:type="dxa"/>
            <w:tcBorders/>
            <w:shd w:fill="auto" w:val="clear"/>
            <w:tcMar>
              <w:bottom w:w="0" w:type="dxa"/>
            </w:tcMar>
            <w:vAlign w:val="bottom"/>
          </w:tcPr>
          <w:p>
            <w:pPr>
              <w:pStyle w:val="TableContents"/>
              <w:spacing w:before="0" w:after="283"/>
              <w:jc w:val="right"/>
              <w:rPr/>
            </w:pPr>
            <w:r>
              <w:rPr/>
              <w:t> </w:t>
            </w:r>
          </w:p>
        </w:tc>
        <w:tc>
          <w:tcPr>
            <w:tcW w:w="125" w:type="dxa"/>
            <w:tcBorders>
              <w:bottom w:val="double" w:sz="8" w:space="0" w:color="000000"/>
            </w:tcBorders>
            <w:shd w:fill="auto" w:val="clear"/>
            <w:vAlign w:val="bottom"/>
          </w:tcPr>
          <w:p>
            <w:pPr>
              <w:pStyle w:val="TableContents"/>
              <w:spacing w:before="0" w:after="283"/>
              <w:jc w:val="left"/>
              <w:rPr/>
            </w:pPr>
            <w:r>
              <w:rPr/>
              <w:t> </w:t>
            </w:r>
          </w:p>
        </w:tc>
        <w:tc>
          <w:tcPr>
            <w:tcW w:w="1063" w:type="dxa"/>
            <w:tcBorders>
              <w:bottom w:val="double" w:sz="8"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61,966,500</w:t>
            </w:r>
          </w:p>
        </w:tc>
        <w:tc>
          <w:tcPr>
            <w:tcW w:w="108" w:type="dxa"/>
            <w:tcBorders/>
            <w:shd w:fill="auto" w:val="clear"/>
            <w:tcMar>
              <w:bottom w:w="0" w:type="dxa"/>
            </w:tcMar>
            <w:vAlign w:val="bottom"/>
          </w:tcPr>
          <w:p>
            <w:pPr>
              <w:pStyle w:val="TableContents"/>
              <w:spacing w:before="0" w:after="283"/>
              <w:jc w:val="left"/>
              <w:rPr/>
            </w:pPr>
            <w:r>
              <w:rPr/>
              <w:t> </w:t>
            </w:r>
          </w:p>
        </w:tc>
        <w:tc>
          <w:tcPr>
            <w:tcW w:w="100" w:type="dxa"/>
            <w:tcBorders/>
            <w:shd w:fill="auto" w:val="clear"/>
            <w:tcMar>
              <w:bottom w:w="0" w:type="dxa"/>
            </w:tcMar>
            <w:vAlign w:val="bottom"/>
          </w:tcPr>
          <w:p>
            <w:pPr>
              <w:pStyle w:val="TableContents"/>
              <w:spacing w:before="0" w:after="283"/>
              <w:jc w:val="right"/>
              <w:rPr/>
            </w:pPr>
            <w:r>
              <w:rPr/>
              <w:t> </w:t>
            </w:r>
          </w:p>
        </w:tc>
        <w:tc>
          <w:tcPr>
            <w:tcW w:w="125" w:type="dxa"/>
            <w:tcBorders>
              <w:bottom w:val="double" w:sz="8" w:space="0" w:color="000000"/>
            </w:tcBorders>
            <w:shd w:fill="auto" w:val="clear"/>
            <w:vAlign w:val="bottom"/>
          </w:tcPr>
          <w:p>
            <w:pPr>
              <w:pStyle w:val="TableContents"/>
              <w:spacing w:before="0" w:after="283"/>
              <w:jc w:val="left"/>
              <w:rPr/>
            </w:pPr>
            <w:r>
              <w:rPr/>
              <w:t> </w:t>
            </w:r>
          </w:p>
        </w:tc>
        <w:tc>
          <w:tcPr>
            <w:tcW w:w="1063" w:type="dxa"/>
            <w:tcBorders>
              <w:bottom w:val="double" w:sz="8"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90,444,988</w:t>
            </w:r>
          </w:p>
        </w:tc>
        <w:tc>
          <w:tcPr>
            <w:tcW w:w="108" w:type="dxa"/>
            <w:tcBorders/>
            <w:shd w:fill="auto" w:val="clear"/>
            <w:tcMar>
              <w:bottom w:w="0" w:type="dxa"/>
            </w:tcMar>
            <w:vAlign w:val="bottom"/>
          </w:tcPr>
          <w:p>
            <w:pPr>
              <w:pStyle w:val="TableContents"/>
              <w:spacing w:before="0" w:after="283"/>
              <w:jc w:val="left"/>
              <w:rPr/>
            </w:pPr>
            <w:r>
              <w:rPr/>
              <w:t> </w:t>
            </w:r>
          </w:p>
        </w:tc>
        <w:tc>
          <w:tcPr>
            <w:tcW w:w="99" w:type="dxa"/>
            <w:tcBorders/>
            <w:shd w:fill="auto" w:val="clear"/>
            <w:tcMar>
              <w:bottom w:w="0" w:type="dxa"/>
            </w:tcMar>
            <w:vAlign w:val="bottom"/>
          </w:tcPr>
          <w:p>
            <w:pPr>
              <w:pStyle w:val="TableContents"/>
              <w:spacing w:before="0" w:after="283"/>
              <w:jc w:val="right"/>
              <w:rPr/>
            </w:pPr>
            <w:r>
              <w:rPr/>
              <w:t> </w:t>
            </w:r>
          </w:p>
        </w:tc>
        <w:tc>
          <w:tcPr>
            <w:tcW w:w="125" w:type="dxa"/>
            <w:tcBorders>
              <w:bottom w:val="double" w:sz="8" w:space="0" w:color="000000"/>
            </w:tcBorders>
            <w:shd w:fill="auto" w:val="clear"/>
            <w:vAlign w:val="bottom"/>
          </w:tcPr>
          <w:p>
            <w:pPr>
              <w:pStyle w:val="TableContents"/>
              <w:spacing w:before="0" w:after="283"/>
              <w:jc w:val="left"/>
              <w:rPr/>
            </w:pPr>
            <w:r>
              <w:rPr/>
              <w:t> </w:t>
            </w:r>
          </w:p>
        </w:tc>
        <w:tc>
          <w:tcPr>
            <w:tcW w:w="1063" w:type="dxa"/>
            <w:tcBorders>
              <w:bottom w:val="double" w:sz="8"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57,218,349</w:t>
            </w:r>
          </w:p>
        </w:tc>
        <w:tc>
          <w:tcPr>
            <w:tcW w:w="108" w:type="dxa"/>
            <w:tcBorders/>
            <w:shd w:fill="auto" w:val="clear"/>
            <w:tcMar>
              <w:bottom w:w="0" w:type="dxa"/>
            </w:tcMar>
            <w:vAlign w:val="bottom"/>
          </w:tcPr>
          <w:p>
            <w:pPr>
              <w:pStyle w:val="TableContents"/>
              <w:spacing w:before="0" w:after="283"/>
              <w:jc w:val="left"/>
              <w:rPr/>
            </w:pPr>
            <w:r>
              <w:rPr/>
              <w:t> </w:t>
            </w:r>
          </w:p>
        </w:tc>
        <w:tc>
          <w:tcPr>
            <w:tcW w:w="100" w:type="dxa"/>
            <w:tcBorders/>
            <w:shd w:fill="auto" w:val="clear"/>
            <w:tcMar>
              <w:bottom w:w="0" w:type="dxa"/>
            </w:tcMar>
            <w:vAlign w:val="bottom"/>
          </w:tcPr>
          <w:p>
            <w:pPr>
              <w:pStyle w:val="TableContents"/>
              <w:spacing w:before="0" w:after="283"/>
              <w:jc w:val="right"/>
              <w:rPr/>
            </w:pPr>
            <w:r>
              <w:rPr/>
              <w:t> </w:t>
            </w:r>
          </w:p>
        </w:tc>
        <w:tc>
          <w:tcPr>
            <w:tcW w:w="100" w:type="dxa"/>
            <w:tcBorders/>
            <w:shd w:fill="auto" w:val="clear"/>
            <w:tcMar>
              <w:bottom w:w="0" w:type="dxa"/>
            </w:tcMar>
            <w:vAlign w:val="bottom"/>
          </w:tcPr>
          <w:p>
            <w:pPr>
              <w:pStyle w:val="TableContents"/>
              <w:spacing w:before="0" w:after="283"/>
              <w:jc w:val="left"/>
              <w:rPr/>
            </w:pPr>
            <w:r>
              <w:rPr/>
              <w:t> </w:t>
            </w:r>
          </w:p>
        </w:tc>
        <w:tc>
          <w:tcPr>
            <w:tcW w:w="728" w:type="dxa"/>
            <w:tcBorders/>
            <w:shd w:fill="auto" w:val="clear"/>
            <w:tcMar>
              <w:bottom w:w="0" w:type="dxa"/>
            </w:tcMar>
            <w:vAlign w:val="bottom"/>
          </w:tcPr>
          <w:p>
            <w:pPr>
              <w:pStyle w:val="TableContents"/>
              <w:spacing w:before="0" w:after="283"/>
              <w:jc w:val="right"/>
              <w:rPr/>
            </w:pPr>
            <w:r>
              <w:rPr/>
              <w:t> </w:t>
            </w:r>
          </w:p>
        </w:tc>
        <w:tc>
          <w:tcPr>
            <w:tcW w:w="114" w:type="dxa"/>
            <w:tcBorders/>
            <w:shd w:fill="auto" w:val="clear"/>
            <w:tcMar>
              <w:bottom w:w="0" w:type="dxa"/>
            </w:tcM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interim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 w:name="PGBRK2"/>
      <w:bookmarkStart w:id="21" w:name="PGBRK2"/>
      <w:bookmarkEnd w:id="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 w:name="FTR2"/>
      <w:bookmarkStart w:id="23" w:name="FTR2"/>
      <w:bookmarkEnd w:id="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4" w:name="GLFTR2"/>
      <w:bookmarkEnd w:id="2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5" w:name="PN2"/>
      <w:bookmarkEnd w:id="25"/>
      <w:r>
        <w:rPr>
          <w:rFonts w:ascii="Times New Roman" w:hAnsi="Times New Roma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 w:name="HDR2"/>
      <w:bookmarkStart w:id="27" w:name="HDR2"/>
      <w:bookmarkEnd w:id="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8" w:name="GLHDR2"/>
      <w:bookmarkEnd w:id="2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i/>
          <w:sz w:val="20"/>
        </w:rPr>
      </w:pPr>
      <w:r>
        <w:rPr>
          <w:rFonts w:ascii="Times New Roman" w:hAnsi="Times New Roman"/>
          <w:b/>
          <w:i/>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jc w:val="center"/>
        <w:rPr>
          <w:rFonts w:ascii="Times New Roman" w:hAnsi="Times New Roman"/>
          <w:b/>
          <w:i/>
          <w:sz w:val="20"/>
        </w:rPr>
      </w:pPr>
      <w:r>
        <w:rPr>
          <w:rFonts w:ascii="Times New Roman" w:hAnsi="Times New Roman"/>
          <w:b/>
          <w:i/>
          <w:sz w:val="20"/>
        </w:rPr>
        <w:t>INTERIM CONSOLIDATED STATEMENTS OF CASH FLOWS</w:t>
      </w:r>
    </w:p>
    <w:p>
      <w:pPr>
        <w:pStyle w:val="TextBody"/>
        <w:spacing w:before="0" w:after="0"/>
        <w:ind w:left="0" w:right="0" w:hanging="0"/>
        <w:jc w:val="center"/>
        <w:rPr>
          <w:rFonts w:ascii="Times New Roman" w:hAnsi="Times New Roman"/>
          <w:b/>
          <w:i/>
          <w:sz w:val="20"/>
        </w:rPr>
      </w:pPr>
      <w:r>
        <w:rPr>
          <w:rFonts w:ascii="Times New Roman" w:hAnsi="Times New Roman"/>
          <w:b/>
          <w:i/>
          <w:sz w:val="20"/>
        </w:rPr>
        <w:t>(UNAUDITED)</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9547"/>
        <w:gridCol w:w="219"/>
        <w:gridCol w:w="219"/>
        <w:gridCol w:w="220"/>
      </w:tblGrid>
      <w:tr>
        <w:trPr/>
        <w:tc>
          <w:tcPr>
            <w:tcW w:w="9547" w:type="dxa"/>
            <w:tcBorders/>
            <w:shd w:fill="auto" w:val="clear"/>
            <w:vAlign w:val="bottom"/>
          </w:tcPr>
          <w:p>
            <w:pPr>
              <w:pStyle w:val="TableContents"/>
              <w:spacing w:before="0" w:after="283"/>
              <w:rPr/>
            </w:pPr>
            <w:r>
              <w:rPr/>
              <w:t xml:space="preserve">  </w:t>
            </w:r>
          </w:p>
        </w:tc>
        <w:tc>
          <w:tcPr>
            <w:tcW w:w="219" w:type="dxa"/>
            <w:tcBorders/>
            <w:shd w:fill="auto" w:val="clear"/>
            <w:vAlign w:val="bottom"/>
          </w:tcPr>
          <w:p>
            <w:pPr>
              <w:pStyle w:val="TableContents"/>
              <w:spacing w:before="0" w:after="283"/>
              <w:rPr/>
            </w:pPr>
            <w:r>
              <w:rPr/>
              <w:t xml:space="preserve">  </w:t>
            </w:r>
          </w:p>
        </w:tc>
        <w:tc>
          <w:tcPr>
            <w:tcW w:w="219" w:type="dxa"/>
            <w:tcBorders/>
            <w:shd w:fill="auto" w:val="clear"/>
            <w:vAlign w:val="bottom"/>
          </w:tcPr>
          <w:p>
            <w:pPr>
              <w:pStyle w:val="TableContents"/>
              <w:spacing w:before="0" w:after="283"/>
              <w:rPr/>
            </w:pPr>
            <w:r>
              <w:rPr/>
              <w:t xml:space="preserve">  </w:t>
            </w:r>
          </w:p>
        </w:tc>
        <w:tc>
          <w:tcPr>
            <w:tcW w:w="220" w:type="dxa"/>
            <w:tcBorders/>
            <w:shd w:fill="auto" w:val="clear"/>
            <w:vAlign w:val="bottom"/>
          </w:tcPr>
          <w:p>
            <w:pPr>
              <w:pStyle w:val="TableContents"/>
              <w:spacing w:before="0" w:after="283"/>
              <w:rPr/>
            </w:pPr>
            <w:r>
              <w:rPr/>
              <w:t xml:space="preserve">  </w:t>
            </w:r>
          </w:p>
        </w:tc>
      </w:tr>
    </w:tbl>
    <w:p>
      <w:pPr>
        <w:pStyle w:val="TextBody"/>
        <w:spacing w:before="0" w:after="0"/>
        <w:ind w:left="0" w:right="0" w:hanging="0"/>
        <w:rPr/>
      </w:pPr>
      <w:r>
        <w:rPr/>
      </w:r>
    </w:p>
    <w:tbl>
      <w:tblPr>
        <w:tblW w:w="5000" w:type="pct"/>
        <w:jc w:val="left"/>
        <w:tblInd w:w="0" w:type="dxa"/>
        <w:tblCellMar>
          <w:top w:w="28" w:type="dxa"/>
          <w:left w:w="0" w:type="dxa"/>
          <w:bottom w:w="28" w:type="dxa"/>
          <w:right w:w="0" w:type="dxa"/>
        </w:tblCellMar>
      </w:tblPr>
      <w:tblGrid>
        <w:gridCol w:w="5948"/>
        <w:gridCol w:w="104"/>
        <w:gridCol w:w="125"/>
        <w:gridCol w:w="1064"/>
        <w:gridCol w:w="111"/>
        <w:gridCol w:w="104"/>
        <w:gridCol w:w="125"/>
        <w:gridCol w:w="1064"/>
        <w:gridCol w:w="110"/>
        <w:gridCol w:w="104"/>
        <w:gridCol w:w="125"/>
        <w:gridCol w:w="1098"/>
        <w:gridCol w:w="123"/>
      </w:tblGrid>
      <w:tr>
        <w:trPr/>
        <w:tc>
          <w:tcPr>
            <w:tcW w:w="5948" w:type="dxa"/>
            <w:tcBorders>
              <w:top w:val="single" w:sz="12" w:space="0" w:color="000000"/>
              <w:bottom w:val="single" w:sz="12" w:space="0" w:color="000000"/>
            </w:tcBorders>
            <w:shd w:fill="auto" w:val="clear"/>
            <w:vAlign w:val="bottom"/>
          </w:tcPr>
          <w:p>
            <w:pPr>
              <w:pStyle w:val="TableContents"/>
              <w:spacing w:before="0" w:after="283"/>
              <w:rPr/>
            </w:pPr>
            <w:r>
              <w:rPr/>
              <w:t xml:space="preserve">  </w:t>
            </w:r>
          </w:p>
        </w:tc>
        <w:tc>
          <w:tcPr>
            <w:tcW w:w="104" w:type="dxa"/>
            <w:tcBorders>
              <w:top w:val="single" w:sz="12" w:space="0" w:color="000000"/>
            </w:tcBorders>
            <w:shd w:fill="auto" w:val="clear"/>
            <w:tcMar>
              <w:bottom w:w="0" w:type="dxa"/>
            </w:tcMar>
            <w:vAlign w:val="bottom"/>
          </w:tcPr>
          <w:p>
            <w:pPr>
              <w:pStyle w:val="TableContents"/>
              <w:spacing w:before="0" w:after="283"/>
              <w:rPr/>
            </w:pPr>
            <w:r>
              <w:rPr/>
              <w:t> </w:t>
            </w:r>
          </w:p>
        </w:tc>
        <w:tc>
          <w:tcPr>
            <w:tcW w:w="1189"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Six Months Ended</w:t>
            </w:r>
          </w:p>
          <w:p>
            <w:pPr>
              <w:pStyle w:val="TableContents"/>
              <w:spacing w:before="0" w:after="0"/>
              <w:ind w:left="0" w:right="0" w:hanging="0"/>
              <w:jc w:val="center"/>
              <w:rPr>
                <w:rFonts w:ascii="times new roman" w:hAnsi="times new roman"/>
                <w:sz w:val="20"/>
              </w:rPr>
            </w:pPr>
            <w:r>
              <w:rPr>
                <w:rFonts w:ascii="times new roman" w:hAnsi="times new roman"/>
                <w:sz w:val="20"/>
              </w:rPr>
              <w:t>June 30,</w:t>
            </w:r>
          </w:p>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111"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04" w:type="dxa"/>
            <w:tcBorders>
              <w:top w:val="single" w:sz="12" w:space="0" w:color="000000"/>
            </w:tcBorders>
            <w:shd w:fill="auto" w:val="clear"/>
            <w:tcMar>
              <w:bottom w:w="0" w:type="dxa"/>
            </w:tcMar>
            <w:vAlign w:val="bottom"/>
          </w:tcPr>
          <w:p>
            <w:pPr>
              <w:pStyle w:val="TableContents"/>
              <w:spacing w:before="0" w:after="283"/>
              <w:rPr/>
            </w:pPr>
            <w:r>
              <w:rPr/>
              <w:t> </w:t>
            </w:r>
          </w:p>
        </w:tc>
        <w:tc>
          <w:tcPr>
            <w:tcW w:w="1189"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pPr>
            <w:r>
              <w:rPr/>
              <w:t> </w:t>
            </w:r>
            <w:r>
              <w:rPr>
                <w:rFonts w:ascii="times new roman" w:hAnsi="times new roman"/>
                <w:sz w:val="20"/>
              </w:rPr>
              <w:t>Six Months Ended</w:t>
            </w:r>
          </w:p>
          <w:p>
            <w:pPr>
              <w:pStyle w:val="TableContents"/>
              <w:spacing w:before="0" w:after="0"/>
              <w:ind w:left="0" w:right="0" w:hanging="0"/>
              <w:jc w:val="center"/>
              <w:rPr>
                <w:rFonts w:ascii="times new roman" w:hAnsi="times new roman"/>
                <w:sz w:val="20"/>
              </w:rPr>
            </w:pPr>
            <w:r>
              <w:rPr>
                <w:rFonts w:ascii="times new roman" w:hAnsi="times new roman"/>
                <w:sz w:val="20"/>
              </w:rPr>
              <w:t>June 30,</w:t>
            </w:r>
          </w:p>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110"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04" w:type="dxa"/>
            <w:tcBorders>
              <w:top w:val="single" w:sz="12" w:space="0" w:color="000000"/>
            </w:tcBorders>
            <w:shd w:fill="auto" w:val="clear"/>
            <w:tcMar>
              <w:bottom w:w="0" w:type="dxa"/>
            </w:tcMar>
            <w:vAlign w:val="bottom"/>
          </w:tcPr>
          <w:p>
            <w:pPr>
              <w:pStyle w:val="TableContents"/>
              <w:spacing w:before="0" w:after="283"/>
              <w:rPr/>
            </w:pPr>
            <w:r>
              <w:rPr/>
              <w:t> </w:t>
            </w:r>
          </w:p>
        </w:tc>
        <w:tc>
          <w:tcPr>
            <w:tcW w:w="1223"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Period from</w:t>
            </w:r>
          </w:p>
          <w:p>
            <w:pPr>
              <w:pStyle w:val="TableContents"/>
              <w:spacing w:before="0" w:after="0"/>
              <w:ind w:left="0" w:right="0" w:hanging="0"/>
              <w:jc w:val="center"/>
              <w:rPr>
                <w:rFonts w:ascii="times new roman" w:hAnsi="times new roman"/>
                <w:sz w:val="20"/>
              </w:rPr>
            </w:pPr>
            <w:r>
              <w:rPr>
                <w:rFonts w:ascii="times new roman" w:hAnsi="times new roman"/>
                <w:sz w:val="20"/>
              </w:rPr>
              <w:t>July 27, 1999</w:t>
            </w:r>
          </w:p>
          <w:p>
            <w:pPr>
              <w:pStyle w:val="TableContents"/>
              <w:spacing w:before="0" w:after="0"/>
              <w:ind w:left="0" w:right="0" w:hanging="0"/>
              <w:jc w:val="center"/>
              <w:rPr>
                <w:rFonts w:ascii="times new roman" w:hAnsi="times new roman"/>
                <w:sz w:val="20"/>
              </w:rPr>
            </w:pPr>
            <w:r>
              <w:rPr>
                <w:rFonts w:ascii="times new roman" w:hAnsi="times new roman"/>
                <w:sz w:val="20"/>
              </w:rPr>
              <w:t>(inception) to</w:t>
            </w:r>
          </w:p>
          <w:p>
            <w:pPr>
              <w:pStyle w:val="TableContents"/>
              <w:spacing w:before="0" w:after="0"/>
              <w:ind w:left="0" w:right="0" w:hanging="0"/>
              <w:jc w:val="center"/>
              <w:rPr>
                <w:rFonts w:ascii="times new roman" w:hAnsi="times new roman"/>
                <w:sz w:val="20"/>
              </w:rPr>
            </w:pPr>
            <w:r>
              <w:rPr>
                <w:rFonts w:ascii="times new roman" w:hAnsi="times new roman"/>
                <w:sz w:val="20"/>
              </w:rPr>
              <w:t>June 30,</w:t>
            </w:r>
          </w:p>
          <w:p>
            <w:pPr>
              <w:pStyle w:val="TableContents"/>
              <w:spacing w:before="0" w:after="0"/>
              <w:ind w:left="0" w:right="0" w:hanging="0"/>
              <w:jc w:val="center"/>
              <w:rPr>
                <w:rFonts w:ascii="times new roman" w:hAnsi="times new roman"/>
                <w:sz w:val="20"/>
              </w:rPr>
            </w:pPr>
            <w:r>
              <w:rPr>
                <w:rFonts w:ascii="times new roman" w:hAnsi="times new roman"/>
                <w:sz w:val="20"/>
              </w:rPr>
              <w:t>2013</w:t>
            </w:r>
          </w:p>
        </w:tc>
        <w:tc>
          <w:tcPr>
            <w:tcW w:w="123" w:type="dxa"/>
            <w:tcBorders>
              <w:top w:val="single" w:sz="12" w:space="0" w:color="000000"/>
            </w:tcBorders>
            <w:shd w:fill="auto" w:val="clear"/>
            <w:tcMar>
              <w:bottom w:w="0" w:type="dxa"/>
            </w:tcMar>
            <w:vAlign w:val="bottom"/>
          </w:tcPr>
          <w:p>
            <w:pPr>
              <w:pStyle w:val="TableContents"/>
              <w:spacing w:before="0" w:after="283"/>
              <w:jc w:val="left"/>
              <w:rPr/>
            </w:pPr>
            <w:r>
              <w:rPr/>
              <w:t> </w:t>
            </w:r>
          </w:p>
        </w:tc>
      </w:tr>
      <w:tr>
        <w:trPr/>
        <w:tc>
          <w:tcPr>
            <w:tcW w:w="5948" w:type="dxa"/>
            <w:tcBorders/>
            <w:shd w:fill="auto" w:val="clear"/>
            <w:tcMar>
              <w:top w:w="0" w:type="dxa"/>
              <w:bottom w:w="0" w:type="dxa"/>
            </w:tcMar>
            <w:vAlign w:val="bottom"/>
          </w:tcPr>
          <w:p>
            <w:pPr>
              <w:pStyle w:val="TableContents"/>
              <w:spacing w:before="0" w:after="283"/>
              <w:rPr/>
            </w:pPr>
            <w:r>
              <w:rPr/>
              <w:t xml:space="preserve">  </w:t>
            </w:r>
          </w:p>
        </w:tc>
        <w:tc>
          <w:tcPr>
            <w:tcW w:w="104" w:type="dxa"/>
            <w:tcBorders/>
            <w:shd w:fill="auto" w:val="clear"/>
            <w:tcMar>
              <w:top w:w="0" w:type="dxa"/>
              <w:bottom w:w="0" w:type="dxa"/>
            </w:tcMar>
            <w:vAlign w:val="bottom"/>
          </w:tcPr>
          <w:p>
            <w:pPr>
              <w:pStyle w:val="TableContents"/>
              <w:spacing w:before="0" w:after="283"/>
              <w:rPr/>
            </w:pPr>
            <w:r>
              <w:rPr/>
              <w:t> </w:t>
            </w:r>
          </w:p>
        </w:tc>
        <w:tc>
          <w:tcPr>
            <w:tcW w:w="1189" w:type="dxa"/>
            <w:gridSpan w:val="2"/>
            <w:tcBorders/>
            <w:shd w:fill="auto" w:val="clear"/>
            <w:tcMar>
              <w:top w:w="0" w:type="dxa"/>
              <w:bottom w:w="0" w:type="dxa"/>
            </w:tcMar>
            <w:vAlign w:val="bottom"/>
          </w:tcPr>
          <w:p>
            <w:pPr>
              <w:pStyle w:val="TableContents"/>
              <w:spacing w:before="0" w:after="283"/>
              <w:rPr/>
            </w:pPr>
            <w:r>
              <w:rPr/>
              <w:t> </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rPr/>
            </w:pPr>
            <w:r>
              <w:rPr/>
              <w:t> </w:t>
            </w:r>
          </w:p>
        </w:tc>
        <w:tc>
          <w:tcPr>
            <w:tcW w:w="1189" w:type="dxa"/>
            <w:gridSpan w:val="2"/>
            <w:tcBorders/>
            <w:shd w:fill="auto" w:val="clear"/>
            <w:tcMar>
              <w:top w:w="0" w:type="dxa"/>
              <w:bottom w:w="0" w:type="dxa"/>
            </w:tcMar>
            <w:vAlign w:val="bottom"/>
          </w:tcPr>
          <w:p>
            <w:pPr>
              <w:pStyle w:val="TableContents"/>
              <w:spacing w:before="0" w:after="283"/>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rPr/>
            </w:pPr>
            <w:r>
              <w:rPr/>
              <w:t> </w:t>
            </w:r>
          </w:p>
        </w:tc>
        <w:tc>
          <w:tcPr>
            <w:tcW w:w="1223" w:type="dxa"/>
            <w:gridSpan w:val="2"/>
            <w:tcBorders/>
            <w:shd w:fill="auto" w:val="clear"/>
            <w:tcMar>
              <w:top w:w="0" w:type="dxa"/>
              <w:bottom w:w="0" w:type="dxa"/>
            </w:tcMar>
            <w:vAlign w:val="bottom"/>
          </w:tcPr>
          <w:p>
            <w:pPr>
              <w:pStyle w:val="TableContents"/>
              <w:spacing w:before="0" w:after="283"/>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10082" w:type="dxa"/>
            <w:gridSpan w:val="12"/>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FLOWS FROM OPERATING ACTIVITIES</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4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(1,312,237</w:t>
            </w:r>
          </w:p>
        </w:tc>
        <w:tc>
          <w:tcPr>
            <w:tcW w:w="111"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(3,350,589</w:t>
            </w:r>
          </w:p>
        </w:tc>
        <w:tc>
          <w:tcPr>
            <w:tcW w:w="110"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(51,206,320</w:t>
            </w:r>
          </w:p>
        </w:tc>
        <w:tc>
          <w:tcPr>
            <w:tcW w:w="123"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4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Adjustments to reconcile net loss to</w:t>
            </w:r>
          </w:p>
          <w:p>
            <w:pPr>
              <w:pStyle w:val="TableContents"/>
              <w:spacing w:before="0" w:after="0"/>
              <w:ind w:left="0" w:right="0" w:hanging="0"/>
              <w:jc w:val="left"/>
              <w:rPr>
                <w:rFonts w:ascii="times new roman" w:hAnsi="times new roman"/>
                <w:sz w:val="20"/>
              </w:rPr>
            </w:pPr>
            <w:r>
              <w:rPr>
                <w:rFonts w:ascii="times new roman" w:hAnsi="times new roman"/>
                <w:sz w:val="20"/>
              </w:rPr>
              <w:t>net cash from operating activities:</w:t>
            </w:r>
          </w:p>
        </w:tc>
        <w:tc>
          <w:tcPr>
            <w:tcW w:w="104"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4" w:type="dxa"/>
            <w:tcBorders/>
            <w:shd w:fill="auto" w:val="clear"/>
            <w:tcMar>
              <w:top w:w="0" w:type="dxa"/>
              <w:bottom w:w="0" w:type="dxa"/>
            </w:tcMar>
            <w:vAlign w:val="bottom"/>
          </w:tcPr>
          <w:p>
            <w:pPr>
              <w:pStyle w:val="TableContents"/>
              <w:spacing w:before="0" w:after="283"/>
              <w:jc w:val="right"/>
              <w:rPr/>
            </w:pPr>
            <w:r>
              <w:rPr/>
              <w:t> </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4" w:type="dxa"/>
            <w:tcBorders/>
            <w:shd w:fill="auto" w:val="clear"/>
            <w:tcMar>
              <w:top w:w="0" w:type="dxa"/>
              <w:bottom w:w="0" w:type="dxa"/>
            </w:tcMar>
            <w:vAlign w:val="bottom"/>
          </w:tcPr>
          <w:p>
            <w:pPr>
              <w:pStyle w:val="TableContents"/>
              <w:spacing w:before="0" w:after="283"/>
              <w:jc w:val="right"/>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8" w:type="dxa"/>
            <w:tcBorders/>
            <w:shd w:fill="auto" w:val="clear"/>
            <w:tcMar>
              <w:top w:w="0" w:type="dxa"/>
              <w:bottom w:w="0" w:type="dxa"/>
            </w:tcMar>
            <w:vAlign w:val="bottom"/>
          </w:tcPr>
          <w:p>
            <w:pPr>
              <w:pStyle w:val="TableContents"/>
              <w:spacing w:before="0" w:after="283"/>
              <w:jc w:val="right"/>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48"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Depreciation</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213,228</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48"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Non-cash loss on debt financing</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96,000</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1,469,263</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48"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Changes in fair value of derivative liabilities</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(1,878,489</w:t>
            </w:r>
          </w:p>
        </w:tc>
        <w:tc>
          <w:tcPr>
            <w:tcW w:w="111"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(423,191</w:t>
            </w:r>
          </w:p>
        </w:tc>
        <w:tc>
          <w:tcPr>
            <w:tcW w:w="110"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(6,182,881</w:t>
            </w:r>
          </w:p>
        </w:tc>
        <w:tc>
          <w:tcPr>
            <w:tcW w:w="123"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48"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Loss (gain) on settlement of debt</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1,310,400</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(28,688</w:t>
            </w:r>
          </w:p>
        </w:tc>
        <w:tc>
          <w:tcPr>
            <w:tcW w:w="110"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13,001,201</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48"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Gain on extinguishment of derivative liabilities - warrants</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(290,500</w:t>
            </w:r>
          </w:p>
        </w:tc>
        <w:tc>
          <w:tcPr>
            <w:tcW w:w="123"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48"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Loss on disposal of assets</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5,399</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48"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Non-cash interest and financing charges</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5,468,499</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48"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Stock based compensation</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111,257</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2,289,459</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13,226,877</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48"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Changes in operating assets and liabilities:</w:t>
            </w:r>
          </w:p>
        </w:tc>
        <w:tc>
          <w:tcPr>
            <w:tcW w:w="104"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4" w:type="dxa"/>
            <w:tcBorders/>
            <w:shd w:fill="auto" w:val="clear"/>
            <w:tcMar>
              <w:top w:w="0" w:type="dxa"/>
              <w:bottom w:w="0" w:type="dxa"/>
            </w:tcMar>
            <w:vAlign w:val="bottom"/>
          </w:tcPr>
          <w:p>
            <w:pPr>
              <w:pStyle w:val="TableContents"/>
              <w:spacing w:before="0" w:after="283"/>
              <w:jc w:val="right"/>
              <w:rPr/>
            </w:pPr>
            <w:r>
              <w:rPr/>
              <w:t> </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4" w:type="dxa"/>
            <w:tcBorders/>
            <w:shd w:fill="auto" w:val="clear"/>
            <w:tcMar>
              <w:top w:w="0" w:type="dxa"/>
              <w:bottom w:w="0" w:type="dxa"/>
            </w:tcMar>
            <w:vAlign w:val="bottom"/>
          </w:tcPr>
          <w:p>
            <w:pPr>
              <w:pStyle w:val="TableContents"/>
              <w:spacing w:before="0" w:after="283"/>
              <w:jc w:val="right"/>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8" w:type="dxa"/>
            <w:tcBorders/>
            <w:shd w:fill="auto" w:val="clear"/>
            <w:tcMar>
              <w:top w:w="0" w:type="dxa"/>
              <w:bottom w:w="0" w:type="dxa"/>
            </w:tcMar>
            <w:vAlign w:val="bottom"/>
          </w:tcPr>
          <w:p>
            <w:pPr>
              <w:pStyle w:val="TableContents"/>
              <w:spacing w:before="0" w:after="283"/>
              <w:jc w:val="right"/>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48"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Due from government agency</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(1,055</w:t>
            </w:r>
          </w:p>
        </w:tc>
        <w:tc>
          <w:tcPr>
            <w:tcW w:w="123"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48"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Prepaid expenses and deposits</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(103,950</w:t>
            </w:r>
          </w:p>
        </w:tc>
        <w:tc>
          <w:tcPr>
            <w:tcW w:w="111"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30,152</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(142,954</w:t>
            </w:r>
          </w:p>
        </w:tc>
        <w:tc>
          <w:tcPr>
            <w:tcW w:w="123"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48"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Deferred financing costs</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17,307</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7,654</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5,104</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48"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Accounts payable and accrued liabilities</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1,063,734</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589,812</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6,661,015</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48" w:type="dxa"/>
            <w:tcBorders>
              <w:bottom w:val="single" w:sz="12" w:space="0" w:color="000000"/>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Research agreement obligations</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64"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76,367</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64"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61,684</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98"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710,496</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48"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CASH USED IN OPERATING ACTIVITIES</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64"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(619,611</w:t>
            </w:r>
          </w:p>
        </w:tc>
        <w:tc>
          <w:tcPr>
            <w:tcW w:w="111"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64"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(823,707</w:t>
            </w:r>
          </w:p>
        </w:tc>
        <w:tc>
          <w:tcPr>
            <w:tcW w:w="110"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98"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(17,062,628</w:t>
            </w:r>
          </w:p>
        </w:tc>
        <w:tc>
          <w:tcPr>
            <w:tcW w:w="123"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48" w:type="dxa"/>
            <w:tcBorders/>
            <w:shd w:fill="auto" w:val="clear"/>
            <w:tcMar>
              <w:top w:w="0" w:type="dxa"/>
              <w:bottom w:w="0" w:type="dxa"/>
            </w:tcMar>
            <w:vAlign w:val="bottom"/>
          </w:tcPr>
          <w:p>
            <w:pPr>
              <w:pStyle w:val="TableContents"/>
              <w:spacing w:before="0" w:after="283"/>
              <w:rPr/>
            </w:pPr>
            <w:r>
              <w:rPr/>
              <w:t xml:space="preserve">  </w:t>
            </w:r>
          </w:p>
        </w:tc>
        <w:tc>
          <w:tcPr>
            <w:tcW w:w="104"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4" w:type="dxa"/>
            <w:tcBorders/>
            <w:shd w:fill="auto" w:val="clear"/>
            <w:tcMar>
              <w:top w:w="0" w:type="dxa"/>
              <w:bottom w:w="0" w:type="dxa"/>
            </w:tcMar>
            <w:vAlign w:val="bottom"/>
          </w:tcPr>
          <w:p>
            <w:pPr>
              <w:pStyle w:val="TableContents"/>
              <w:spacing w:before="0" w:after="283"/>
              <w:jc w:val="right"/>
              <w:rPr/>
            </w:pPr>
            <w:r>
              <w:rPr/>
              <w:t> </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4" w:type="dxa"/>
            <w:tcBorders/>
            <w:shd w:fill="auto" w:val="clear"/>
            <w:tcMar>
              <w:top w:w="0" w:type="dxa"/>
              <w:bottom w:w="0" w:type="dxa"/>
            </w:tcMar>
            <w:vAlign w:val="bottom"/>
          </w:tcPr>
          <w:p>
            <w:pPr>
              <w:pStyle w:val="TableContents"/>
              <w:spacing w:before="0" w:after="283"/>
              <w:jc w:val="right"/>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8" w:type="dxa"/>
            <w:tcBorders/>
            <w:shd w:fill="auto" w:val="clear"/>
            <w:tcMar>
              <w:top w:w="0" w:type="dxa"/>
              <w:bottom w:w="0" w:type="dxa"/>
            </w:tcMar>
            <w:vAlign w:val="bottom"/>
          </w:tcPr>
          <w:p>
            <w:pPr>
              <w:pStyle w:val="TableContents"/>
              <w:spacing w:before="0" w:after="283"/>
              <w:jc w:val="right"/>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10082" w:type="dxa"/>
            <w:gridSpan w:val="12"/>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FLOWS FROM FINANCING ACTIVITIES</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4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Issuance of shares, net</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235,951</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455,000</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11,096,526</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4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Convertible notes, net</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236,000</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2,359,906</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4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Proceeds from promissory notes</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52,942</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4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Proceeds from loans payable</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18,000</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428,000</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4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Notes and loans payable</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919,845</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4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Advances from (to) related parties</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159,000</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59,544</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1,958,783</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48"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 subscriptions</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64"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64"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98"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140,000</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48"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CASH PROVIDED BY FINANCING ACTIVITIES</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64"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630,951</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64"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585,486</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98"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16,903,060</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48" w:type="dxa"/>
            <w:tcBorders/>
            <w:shd w:fill="auto" w:val="clear"/>
            <w:tcMar>
              <w:top w:w="0" w:type="dxa"/>
              <w:bottom w:w="0" w:type="dxa"/>
            </w:tcMar>
            <w:vAlign w:val="bottom"/>
          </w:tcPr>
          <w:p>
            <w:pPr>
              <w:pStyle w:val="TableContents"/>
              <w:spacing w:before="0" w:after="283"/>
              <w:rPr/>
            </w:pPr>
            <w:r>
              <w:rPr/>
              <w:t xml:space="preserve">  </w:t>
            </w:r>
          </w:p>
        </w:tc>
        <w:tc>
          <w:tcPr>
            <w:tcW w:w="104"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4" w:type="dxa"/>
            <w:tcBorders/>
            <w:shd w:fill="auto" w:val="clear"/>
            <w:tcMar>
              <w:top w:w="0" w:type="dxa"/>
              <w:bottom w:w="0" w:type="dxa"/>
            </w:tcMar>
            <w:vAlign w:val="bottom"/>
          </w:tcPr>
          <w:p>
            <w:pPr>
              <w:pStyle w:val="TableContents"/>
              <w:spacing w:before="0" w:after="283"/>
              <w:jc w:val="right"/>
              <w:rPr/>
            </w:pPr>
            <w:r>
              <w:rPr/>
              <w:t> </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4" w:type="dxa"/>
            <w:tcBorders/>
            <w:shd w:fill="auto" w:val="clear"/>
            <w:tcMar>
              <w:top w:w="0" w:type="dxa"/>
              <w:bottom w:w="0" w:type="dxa"/>
            </w:tcMar>
            <w:vAlign w:val="bottom"/>
          </w:tcPr>
          <w:p>
            <w:pPr>
              <w:pStyle w:val="TableContents"/>
              <w:spacing w:before="0" w:after="283"/>
              <w:jc w:val="right"/>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8" w:type="dxa"/>
            <w:tcBorders/>
            <w:shd w:fill="auto" w:val="clear"/>
            <w:tcMar>
              <w:top w:w="0" w:type="dxa"/>
              <w:bottom w:w="0" w:type="dxa"/>
            </w:tcMar>
            <w:vAlign w:val="bottom"/>
          </w:tcPr>
          <w:p>
            <w:pPr>
              <w:pStyle w:val="TableContents"/>
              <w:spacing w:before="0" w:after="283"/>
              <w:jc w:val="right"/>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10082" w:type="dxa"/>
            <w:gridSpan w:val="12"/>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FLOWS FROM INVESTING ACTIVITIES</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4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Purchase of furniture and equipment</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(218,626</w:t>
            </w:r>
          </w:p>
        </w:tc>
        <w:tc>
          <w:tcPr>
            <w:tcW w:w="123"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48"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acquired on reverse acquisition</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64"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64"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98"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423,373</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48" w:type="dxa"/>
            <w:tcBorders>
              <w:bottom w:val="single" w:sz="12" w:space="0" w:color="000000"/>
            </w:tcBorders>
            <w:shd w:fill="auto" w:val="clear"/>
            <w:tcMar>
              <w:top w:w="0" w:type="dxa"/>
            </w:tcMar>
            <w:vAlign w:val="bottom"/>
          </w:tcPr>
          <w:p>
            <w:pPr>
              <w:pStyle w:val="TableContents"/>
              <w:spacing w:before="0" w:after="0"/>
              <w:ind w:left="0" w:right="0" w:hanging="0"/>
              <w:jc w:val="left"/>
              <w:rPr/>
            </w:pPr>
            <w:r>
              <w:rPr>
                <w:rFonts w:ascii="times new roman" w:hAnsi="times new roman"/>
                <w:b/>
                <w:sz w:val="20"/>
              </w:rPr>
              <w:t>NET CASH PROVIDED BY</w:t>
            </w:r>
            <w:r>
              <w:rPr/>
              <w:t> </w:t>
            </w:r>
            <w:r>
              <w:rPr>
                <w:rFonts w:ascii="times new roman" w:hAnsi="times new roman"/>
                <w:b/>
                <w:sz w:val="20"/>
              </w:rPr>
              <w:t>INVESTING ACTIVITIES</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64"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64"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98"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204,747</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48" w:type="dxa"/>
            <w:tcBorders/>
            <w:shd w:fill="auto" w:val="clear"/>
            <w:tcMar>
              <w:top w:w="0" w:type="dxa"/>
              <w:bottom w:w="0" w:type="dxa"/>
            </w:tcMar>
            <w:vAlign w:val="bottom"/>
          </w:tcPr>
          <w:p>
            <w:pPr>
              <w:pStyle w:val="TableContents"/>
              <w:spacing w:before="0" w:after="283"/>
              <w:rPr/>
            </w:pPr>
            <w:r>
              <w:rPr/>
              <w:t xml:space="preserve">  </w:t>
            </w:r>
          </w:p>
        </w:tc>
        <w:tc>
          <w:tcPr>
            <w:tcW w:w="104"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4" w:type="dxa"/>
            <w:tcBorders/>
            <w:shd w:fill="auto" w:val="clear"/>
            <w:tcMar>
              <w:top w:w="0" w:type="dxa"/>
              <w:bottom w:w="0" w:type="dxa"/>
            </w:tcMar>
            <w:vAlign w:val="bottom"/>
          </w:tcPr>
          <w:p>
            <w:pPr>
              <w:pStyle w:val="TableContents"/>
              <w:spacing w:before="0" w:after="283"/>
              <w:jc w:val="right"/>
              <w:rPr/>
            </w:pPr>
            <w:r>
              <w:rPr/>
              <w:t> </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4" w:type="dxa"/>
            <w:tcBorders/>
            <w:shd w:fill="auto" w:val="clear"/>
            <w:tcMar>
              <w:top w:w="0" w:type="dxa"/>
              <w:bottom w:w="0" w:type="dxa"/>
            </w:tcMar>
            <w:vAlign w:val="bottom"/>
          </w:tcPr>
          <w:p>
            <w:pPr>
              <w:pStyle w:val="TableContents"/>
              <w:spacing w:before="0" w:after="283"/>
              <w:jc w:val="right"/>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8" w:type="dxa"/>
            <w:tcBorders/>
            <w:shd w:fill="auto" w:val="clear"/>
            <w:tcMar>
              <w:top w:w="0" w:type="dxa"/>
              <w:bottom w:w="0" w:type="dxa"/>
            </w:tcMar>
            <w:vAlign w:val="bottom"/>
          </w:tcPr>
          <w:p>
            <w:pPr>
              <w:pStyle w:val="TableContents"/>
              <w:spacing w:before="0" w:after="283"/>
              <w:jc w:val="right"/>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4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INCREASE (DECREASE) IN CASH</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11,340</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(238,221</w:t>
            </w:r>
          </w:p>
        </w:tc>
        <w:tc>
          <w:tcPr>
            <w:tcW w:w="110"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45,179</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48"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BEGINNING OF PERIOD</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64"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33,839</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64"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250,234</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98"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48"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END OF PERIOD</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4"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45,179</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4"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12,013</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8"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45,179</w:t>
            </w:r>
          </w:p>
        </w:tc>
        <w:tc>
          <w:tcPr>
            <w:tcW w:w="123" w:type="dxa"/>
            <w:tcBorders/>
            <w:shd w:fill="auto" w:val="clear"/>
            <w:tcMar>
              <w:top w:w="0" w:type="dxa"/>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b/>
          <w:sz w:val="20"/>
        </w:rPr>
        <w:t>Supplemental cash flow information and non-cash investing and financing activities:</w:t>
      </w:r>
      <w:r>
        <w:rPr>
          <w:rFonts w:ascii="Times New Roman" w:hAnsi="Times New Roman"/>
          <w:sz w:val="20"/>
        </w:rPr>
        <w:t xml:space="preserve"> (Note 10)</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interim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9" w:name="PGBRK3"/>
      <w:bookmarkStart w:id="30" w:name="PGBRK3"/>
      <w:bookmarkEnd w:id="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 w:name="FTR3"/>
      <w:bookmarkStart w:id="32" w:name="FTR3"/>
      <w:bookmarkEnd w:id="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3" w:name="GLFTR3"/>
      <w:bookmarkEnd w:id="3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4" w:name="PN3"/>
      <w:bookmarkEnd w:id="34"/>
      <w:r>
        <w:rPr>
          <w:rFonts w:ascii="Times New Roman" w:hAnsi="Times New Roman"/>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 w:name="HDR3"/>
      <w:bookmarkStart w:id="36" w:name="HDR3"/>
      <w:bookmarkEnd w:id="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7" w:name="GLHDR3"/>
      <w:bookmarkEnd w:id="3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i/>
          <w:sz w:val="20"/>
        </w:rPr>
      </w:pPr>
      <w:r>
        <w:rPr>
          <w:rFonts w:ascii="Times New Roman" w:hAnsi="Times New Roman"/>
          <w:b/>
          <w:i/>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NOTES TO INTERIM CONSOLIDATED FINANCIAL STATEMENTS</w:t>
      </w:r>
    </w:p>
    <w:p>
      <w:pPr>
        <w:pStyle w:val="TextBody"/>
        <w:spacing w:before="0" w:after="0"/>
        <w:ind w:left="0" w:right="0" w:hanging="0"/>
        <w:jc w:val="center"/>
        <w:rPr>
          <w:rFonts w:ascii="Times New Roman" w:hAnsi="Times New Roman"/>
          <w:b/>
          <w:i/>
          <w:sz w:val="20"/>
        </w:rPr>
      </w:pPr>
      <w:r>
        <w:rPr>
          <w:rFonts w:ascii="Times New Roman" w:hAnsi="Times New Roman"/>
          <w:b/>
          <w:i/>
          <w:sz w:val="20"/>
        </w:rPr>
        <w:t>JUNE 30, 2013 (UNAUDITED)</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NOTE 1A:  RESTATEMENT OF CONSOLIDATED FINANCIAL STATEMENTS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have restated our consolidated financial statements as of and for the year ended December 31, 2012 relating to the Company’s accounting for derivative liabilities and other accounts. We had recorded the derivative liabilities without accurately reflecting the effect of conversion of certain convertible notes and proper classification of some of the liabilities.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impact of the restatement on the consolidated financial statements as of and for the year ended December 31, 2012, is shown in the following table:</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679"/>
        <w:gridCol w:w="105"/>
        <w:gridCol w:w="133"/>
        <w:gridCol w:w="1153"/>
        <w:gridCol w:w="114"/>
        <w:gridCol w:w="105"/>
        <w:gridCol w:w="138"/>
        <w:gridCol w:w="1077"/>
        <w:gridCol w:w="114"/>
        <w:gridCol w:w="105"/>
        <w:gridCol w:w="133"/>
        <w:gridCol w:w="1153"/>
        <w:gridCol w:w="114"/>
        <w:gridCol w:w="82"/>
      </w:tblGrid>
      <w:tr>
        <w:trPr/>
        <w:tc>
          <w:tcPr>
            <w:tcW w:w="7070" w:type="dxa"/>
            <w:gridSpan w:val="4"/>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As reported</w:t>
            </w:r>
          </w:p>
        </w:tc>
        <w:tc>
          <w:tcPr>
            <w:tcW w:w="114"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right"/>
              <w:rPr/>
            </w:pPr>
            <w:r>
              <w:rPr/>
              <w:t> </w:t>
            </w:r>
          </w:p>
        </w:tc>
        <w:tc>
          <w:tcPr>
            <w:tcW w:w="1215" w:type="dxa"/>
            <w:gridSpan w:val="2"/>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Adjustment</w:t>
            </w:r>
          </w:p>
        </w:tc>
        <w:tc>
          <w:tcPr>
            <w:tcW w:w="114"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right"/>
              <w:rPr/>
            </w:pPr>
            <w:r>
              <w:rPr/>
              <w:t> </w:t>
            </w:r>
          </w:p>
        </w:tc>
        <w:tc>
          <w:tcPr>
            <w:tcW w:w="1482" w:type="dxa"/>
            <w:gridSpan w:val="4"/>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As restated</w:t>
            </w:r>
          </w:p>
        </w:tc>
      </w:tr>
      <w:tr>
        <w:trPr/>
        <w:tc>
          <w:tcPr>
            <w:tcW w:w="10205" w:type="dxa"/>
            <w:gridSpan w:val="14"/>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Balance sheet data — December 31, 2012</w:t>
            </w:r>
          </w:p>
        </w:tc>
      </w:tr>
      <w:tr>
        <w:trPr/>
        <w:tc>
          <w:tcPr>
            <w:tcW w:w="5679"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w:t>
            </w:r>
          </w:p>
        </w:tc>
        <w:tc>
          <w:tcPr>
            <w:tcW w:w="1286" w:type="dxa"/>
            <w:gridSpan w:val="2"/>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2720" w:type="dxa"/>
            <w:gridSpan w:val="6"/>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jc w:val="left"/>
              <w:rPr/>
            </w:pPr>
            <w:r>
              <w:rPr/>
              <w:t> </w:t>
            </w:r>
          </w:p>
        </w:tc>
        <w:tc>
          <w:tcPr>
            <w:tcW w:w="82" w:type="dxa"/>
            <w:tcBorders/>
            <w:shd w:fill="auto" w:val="clear"/>
            <w:vAlign w:val="bottom"/>
          </w:tcPr>
          <w:p>
            <w:pPr>
              <w:pStyle w:val="TableContents"/>
              <w:spacing w:before="0" w:after="283"/>
              <w:rPr/>
            </w:pPr>
            <w:r>
              <w:rPr/>
              <w:t xml:space="preserve">  </w:t>
            </w:r>
          </w:p>
        </w:tc>
      </w:tr>
      <w:tr>
        <w:trPr/>
        <w:tc>
          <w:tcPr>
            <w:tcW w:w="5679" w:type="dxa"/>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w:t>
            </w:r>
          </w:p>
        </w:tc>
        <w:tc>
          <w:tcPr>
            <w:tcW w:w="105" w:type="dxa"/>
            <w:tcBorders/>
            <w:shd w:fill="auto" w:val="clear"/>
            <w:vAlign w:val="bottom"/>
          </w:tcPr>
          <w:p>
            <w:pPr>
              <w:pStyle w:val="TableContents"/>
              <w:spacing w:before="0" w:after="283"/>
              <w:jc w:val="right"/>
              <w:rPr/>
            </w:pPr>
            <w:r>
              <w:rPr/>
              <w:t> </w:t>
            </w:r>
          </w:p>
        </w:tc>
        <w:tc>
          <w:tcPr>
            <w:tcW w:w="133" w:type="dxa"/>
            <w:tcBorders>
              <w:bottom w:val="single" w:sz="12"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53"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50,679</w:t>
            </w:r>
          </w:p>
        </w:tc>
        <w:tc>
          <w:tcPr>
            <w:tcW w:w="114"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right"/>
              <w:rPr/>
            </w:pPr>
            <w:r>
              <w:rPr/>
              <w:t> </w:t>
            </w:r>
          </w:p>
        </w:tc>
        <w:tc>
          <w:tcPr>
            <w:tcW w:w="138" w:type="dxa"/>
            <w:tcBorders>
              <w:bottom w:val="single" w:sz="12"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7"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(16,840</w:t>
            </w:r>
          </w:p>
        </w:tc>
        <w:tc>
          <w:tcPr>
            <w:tcW w:w="11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vAlign w:val="bottom"/>
          </w:tcPr>
          <w:p>
            <w:pPr>
              <w:pStyle w:val="TableContents"/>
              <w:spacing w:before="0" w:after="283"/>
              <w:jc w:val="right"/>
              <w:rPr/>
            </w:pPr>
            <w:r>
              <w:rPr/>
              <w:t> </w:t>
            </w:r>
          </w:p>
        </w:tc>
        <w:tc>
          <w:tcPr>
            <w:tcW w:w="133" w:type="dxa"/>
            <w:tcBorders>
              <w:bottom w:val="single" w:sz="12"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53"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33,839</w:t>
            </w:r>
          </w:p>
        </w:tc>
        <w:tc>
          <w:tcPr>
            <w:tcW w:w="114" w:type="dxa"/>
            <w:tcBorders/>
            <w:shd w:fill="auto" w:val="clear"/>
            <w:vAlign w:val="bottom"/>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5679" w:type="dxa"/>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Assets</w:t>
            </w:r>
          </w:p>
        </w:tc>
        <w:tc>
          <w:tcPr>
            <w:tcW w:w="105" w:type="dxa"/>
            <w:tcBorders/>
            <w:shd w:fill="auto" w:val="clear"/>
            <w:vAlign w:val="bottom"/>
          </w:tcPr>
          <w:p>
            <w:pPr>
              <w:pStyle w:val="TableContents"/>
              <w:spacing w:before="0" w:after="283"/>
              <w:jc w:val="right"/>
              <w:rPr/>
            </w:pPr>
            <w:r>
              <w:rPr/>
              <w:t> </w:t>
            </w:r>
          </w:p>
        </w:tc>
        <w:tc>
          <w:tcPr>
            <w:tcW w:w="13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53"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104,212</w:t>
            </w:r>
          </w:p>
        </w:tc>
        <w:tc>
          <w:tcPr>
            <w:tcW w:w="114"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right"/>
              <w:rPr/>
            </w:pPr>
            <w:r>
              <w:rPr/>
              <w:t> </w:t>
            </w:r>
          </w:p>
        </w:tc>
        <w:tc>
          <w:tcPr>
            <w:tcW w:w="13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(16,840</w:t>
            </w:r>
          </w:p>
        </w:tc>
        <w:tc>
          <w:tcPr>
            <w:tcW w:w="11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vAlign w:val="bottom"/>
          </w:tcPr>
          <w:p>
            <w:pPr>
              <w:pStyle w:val="TableContents"/>
              <w:spacing w:before="0" w:after="283"/>
              <w:jc w:val="right"/>
              <w:rPr/>
            </w:pPr>
            <w:r>
              <w:rPr/>
              <w:t> </w:t>
            </w:r>
          </w:p>
        </w:tc>
        <w:tc>
          <w:tcPr>
            <w:tcW w:w="13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53"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87,372</w:t>
            </w:r>
          </w:p>
        </w:tc>
        <w:tc>
          <w:tcPr>
            <w:tcW w:w="114" w:type="dxa"/>
            <w:tcBorders/>
            <w:shd w:fill="auto" w:val="clear"/>
            <w:vAlign w:val="bottom"/>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567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Accounts payable and accrued liabilities</w:t>
            </w:r>
          </w:p>
        </w:tc>
        <w:tc>
          <w:tcPr>
            <w:tcW w:w="105" w:type="dxa"/>
            <w:tcBorders/>
            <w:shd w:fill="auto" w:val="clear"/>
            <w:vAlign w:val="bottom"/>
          </w:tcPr>
          <w:p>
            <w:pPr>
              <w:pStyle w:val="TableContents"/>
              <w:spacing w:before="0" w:after="283"/>
              <w:jc w:val="right"/>
              <w:rPr/>
            </w:pPr>
            <w:r>
              <w:rPr/>
              <w:t> </w:t>
            </w:r>
          </w:p>
        </w:tc>
        <w:tc>
          <w:tcPr>
            <w:tcW w:w="133" w:type="dxa"/>
            <w:tcBorders/>
            <w:shd w:fill="auto" w:val="clear"/>
            <w:vAlign w:val="bottom"/>
          </w:tcPr>
          <w:p>
            <w:pPr>
              <w:pStyle w:val="TableContents"/>
              <w:spacing w:before="0" w:after="283"/>
              <w:jc w:val="left"/>
              <w:rPr/>
            </w:pPr>
            <w:r>
              <w:rPr/>
              <w:t> </w:t>
            </w:r>
          </w:p>
        </w:tc>
        <w:tc>
          <w:tcPr>
            <w:tcW w:w="11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2,058,556</w:t>
            </w:r>
          </w:p>
        </w:tc>
        <w:tc>
          <w:tcPr>
            <w:tcW w:w="114"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right"/>
              <w:rPr/>
            </w:pPr>
            <w:r>
              <w:rPr/>
              <w:t> </w:t>
            </w:r>
          </w:p>
        </w:tc>
        <w:tc>
          <w:tcPr>
            <w:tcW w:w="138" w:type="dxa"/>
            <w:tcBorders/>
            <w:shd w:fill="auto" w:val="clear"/>
            <w:vAlign w:val="bottom"/>
          </w:tcPr>
          <w:p>
            <w:pPr>
              <w:pStyle w:val="TableContents"/>
              <w:spacing w:before="0" w:after="283"/>
              <w:jc w:val="left"/>
              <w:rPr/>
            </w:pPr>
            <w:r>
              <w:rPr/>
              <w:t> </w:t>
            </w:r>
          </w:p>
        </w:tc>
        <w:tc>
          <w:tcPr>
            <w:tcW w:w="107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(116,840</w:t>
            </w:r>
          </w:p>
        </w:tc>
        <w:tc>
          <w:tcPr>
            <w:tcW w:w="11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vAlign w:val="bottom"/>
          </w:tcPr>
          <w:p>
            <w:pPr>
              <w:pStyle w:val="TableContents"/>
              <w:spacing w:before="0" w:after="283"/>
              <w:jc w:val="right"/>
              <w:rPr/>
            </w:pPr>
            <w:r>
              <w:rPr/>
              <w:t> </w:t>
            </w:r>
          </w:p>
        </w:tc>
        <w:tc>
          <w:tcPr>
            <w:tcW w:w="133" w:type="dxa"/>
            <w:tcBorders/>
            <w:shd w:fill="auto" w:val="clear"/>
            <w:vAlign w:val="bottom"/>
          </w:tcPr>
          <w:p>
            <w:pPr>
              <w:pStyle w:val="TableContents"/>
              <w:spacing w:before="0" w:after="283"/>
              <w:jc w:val="left"/>
              <w:rPr/>
            </w:pPr>
            <w:r>
              <w:rPr/>
              <w:t> </w:t>
            </w:r>
          </w:p>
        </w:tc>
        <w:tc>
          <w:tcPr>
            <w:tcW w:w="11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1,941,716</w:t>
            </w:r>
          </w:p>
        </w:tc>
        <w:tc>
          <w:tcPr>
            <w:tcW w:w="114" w:type="dxa"/>
            <w:tcBorders/>
            <w:shd w:fill="auto" w:val="clear"/>
            <w:vAlign w:val="bottom"/>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567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Derivative liability – conversion option</w:t>
            </w:r>
          </w:p>
        </w:tc>
        <w:tc>
          <w:tcPr>
            <w:tcW w:w="105" w:type="dxa"/>
            <w:tcBorders/>
            <w:shd w:fill="auto" w:val="clear"/>
            <w:vAlign w:val="bottom"/>
          </w:tcPr>
          <w:p>
            <w:pPr>
              <w:pStyle w:val="TableContents"/>
              <w:spacing w:before="0" w:after="283"/>
              <w:jc w:val="right"/>
              <w:rPr/>
            </w:pPr>
            <w:r>
              <w:rPr/>
              <w:t> </w:t>
            </w:r>
          </w:p>
        </w:tc>
        <w:tc>
          <w:tcPr>
            <w:tcW w:w="133" w:type="dxa"/>
            <w:tcBorders/>
            <w:shd w:fill="auto" w:val="clear"/>
            <w:vAlign w:val="bottom"/>
          </w:tcPr>
          <w:p>
            <w:pPr>
              <w:pStyle w:val="TableContents"/>
              <w:spacing w:before="0" w:after="283"/>
              <w:jc w:val="left"/>
              <w:rPr/>
            </w:pPr>
            <w:r>
              <w:rPr/>
              <w:t> </w:t>
            </w:r>
          </w:p>
        </w:tc>
        <w:tc>
          <w:tcPr>
            <w:tcW w:w="11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798,300</w:t>
            </w:r>
          </w:p>
        </w:tc>
        <w:tc>
          <w:tcPr>
            <w:tcW w:w="114"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right"/>
              <w:rPr/>
            </w:pPr>
            <w:r>
              <w:rPr/>
              <w:t> </w:t>
            </w:r>
          </w:p>
        </w:tc>
        <w:tc>
          <w:tcPr>
            <w:tcW w:w="138" w:type="dxa"/>
            <w:tcBorders/>
            <w:shd w:fill="auto" w:val="clear"/>
            <w:vAlign w:val="bottom"/>
          </w:tcPr>
          <w:p>
            <w:pPr>
              <w:pStyle w:val="TableContents"/>
              <w:spacing w:before="0" w:after="283"/>
              <w:jc w:val="left"/>
              <w:rPr/>
            </w:pPr>
            <w:r>
              <w:rPr/>
              <w:t> </w:t>
            </w:r>
          </w:p>
        </w:tc>
        <w:tc>
          <w:tcPr>
            <w:tcW w:w="107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69,275</w:t>
            </w:r>
          </w:p>
        </w:tc>
        <w:tc>
          <w:tcPr>
            <w:tcW w:w="114"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right"/>
              <w:rPr/>
            </w:pPr>
            <w:r>
              <w:rPr/>
              <w:t> </w:t>
            </w:r>
          </w:p>
        </w:tc>
        <w:tc>
          <w:tcPr>
            <w:tcW w:w="133" w:type="dxa"/>
            <w:tcBorders/>
            <w:shd w:fill="auto" w:val="clear"/>
            <w:vAlign w:val="bottom"/>
          </w:tcPr>
          <w:p>
            <w:pPr>
              <w:pStyle w:val="TableContents"/>
              <w:spacing w:before="0" w:after="283"/>
              <w:jc w:val="left"/>
              <w:rPr/>
            </w:pPr>
            <w:r>
              <w:rPr/>
              <w:t> </w:t>
            </w:r>
          </w:p>
        </w:tc>
        <w:tc>
          <w:tcPr>
            <w:tcW w:w="11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867,575</w:t>
            </w:r>
          </w:p>
        </w:tc>
        <w:tc>
          <w:tcPr>
            <w:tcW w:w="114" w:type="dxa"/>
            <w:tcBorders/>
            <w:shd w:fill="auto" w:val="clear"/>
            <w:vAlign w:val="bottom"/>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567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Derivative liability - warrants</w:t>
            </w:r>
          </w:p>
        </w:tc>
        <w:tc>
          <w:tcPr>
            <w:tcW w:w="105" w:type="dxa"/>
            <w:tcBorders/>
            <w:shd w:fill="auto" w:val="clear"/>
            <w:vAlign w:val="bottom"/>
          </w:tcPr>
          <w:p>
            <w:pPr>
              <w:pStyle w:val="TableContents"/>
              <w:spacing w:before="0" w:after="283"/>
              <w:jc w:val="right"/>
              <w:rPr/>
            </w:pPr>
            <w:r>
              <w:rPr/>
              <w:t> </w:t>
            </w:r>
          </w:p>
        </w:tc>
        <w:tc>
          <w:tcPr>
            <w:tcW w:w="133" w:type="dxa"/>
            <w:tcBorders/>
            <w:shd w:fill="auto" w:val="clear"/>
            <w:vAlign w:val="bottom"/>
          </w:tcPr>
          <w:p>
            <w:pPr>
              <w:pStyle w:val="TableContents"/>
              <w:spacing w:before="0" w:after="283"/>
              <w:jc w:val="left"/>
              <w:rPr/>
            </w:pPr>
            <w:r>
              <w:rPr/>
              <w:t> </w:t>
            </w:r>
          </w:p>
        </w:tc>
        <w:tc>
          <w:tcPr>
            <w:tcW w:w="11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677,086</w:t>
            </w:r>
          </w:p>
        </w:tc>
        <w:tc>
          <w:tcPr>
            <w:tcW w:w="114"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right"/>
              <w:rPr/>
            </w:pPr>
            <w:r>
              <w:rPr/>
              <w:t> </w:t>
            </w:r>
          </w:p>
        </w:tc>
        <w:tc>
          <w:tcPr>
            <w:tcW w:w="138" w:type="dxa"/>
            <w:tcBorders/>
            <w:shd w:fill="auto" w:val="clear"/>
            <w:vAlign w:val="bottom"/>
          </w:tcPr>
          <w:p>
            <w:pPr>
              <w:pStyle w:val="TableContents"/>
              <w:spacing w:before="0" w:after="283"/>
              <w:jc w:val="left"/>
              <w:rPr/>
            </w:pPr>
            <w:r>
              <w:rPr/>
              <w:t> </w:t>
            </w:r>
          </w:p>
        </w:tc>
        <w:tc>
          <w:tcPr>
            <w:tcW w:w="107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300,000</w:t>
            </w:r>
          </w:p>
        </w:tc>
        <w:tc>
          <w:tcPr>
            <w:tcW w:w="114"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right"/>
              <w:rPr/>
            </w:pPr>
            <w:r>
              <w:rPr/>
              <w:t> </w:t>
            </w:r>
          </w:p>
        </w:tc>
        <w:tc>
          <w:tcPr>
            <w:tcW w:w="133" w:type="dxa"/>
            <w:tcBorders/>
            <w:shd w:fill="auto" w:val="clear"/>
            <w:vAlign w:val="bottom"/>
          </w:tcPr>
          <w:p>
            <w:pPr>
              <w:pStyle w:val="TableContents"/>
              <w:spacing w:before="0" w:after="283"/>
              <w:jc w:val="left"/>
              <w:rPr/>
            </w:pPr>
            <w:r>
              <w:rPr/>
              <w:t> </w:t>
            </w:r>
          </w:p>
        </w:tc>
        <w:tc>
          <w:tcPr>
            <w:tcW w:w="11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977,086</w:t>
            </w:r>
          </w:p>
        </w:tc>
        <w:tc>
          <w:tcPr>
            <w:tcW w:w="114" w:type="dxa"/>
            <w:tcBorders/>
            <w:shd w:fill="auto" w:val="clear"/>
            <w:vAlign w:val="bottom"/>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567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Convertible notes payable</w:t>
            </w:r>
          </w:p>
        </w:tc>
        <w:tc>
          <w:tcPr>
            <w:tcW w:w="105" w:type="dxa"/>
            <w:tcBorders/>
            <w:shd w:fill="auto" w:val="clear"/>
            <w:vAlign w:val="bottom"/>
          </w:tcPr>
          <w:p>
            <w:pPr>
              <w:pStyle w:val="TableContents"/>
              <w:spacing w:before="0" w:after="283"/>
              <w:jc w:val="right"/>
              <w:rPr/>
            </w:pPr>
            <w:r>
              <w:rPr/>
              <w:t> </w:t>
            </w:r>
          </w:p>
        </w:tc>
        <w:tc>
          <w:tcPr>
            <w:tcW w:w="133" w:type="dxa"/>
            <w:tcBorders/>
            <w:shd w:fill="auto" w:val="clear"/>
            <w:vAlign w:val="bottom"/>
          </w:tcPr>
          <w:p>
            <w:pPr>
              <w:pStyle w:val="TableContents"/>
              <w:spacing w:before="0" w:after="283"/>
              <w:jc w:val="left"/>
              <w:rPr/>
            </w:pPr>
            <w:r>
              <w:rPr/>
              <w:t> </w:t>
            </w:r>
          </w:p>
        </w:tc>
        <w:tc>
          <w:tcPr>
            <w:tcW w:w="11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1,376,230</w:t>
            </w:r>
          </w:p>
        </w:tc>
        <w:tc>
          <w:tcPr>
            <w:tcW w:w="114"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right"/>
              <w:rPr/>
            </w:pPr>
            <w:r>
              <w:rPr/>
              <w:t> </w:t>
            </w:r>
          </w:p>
        </w:tc>
        <w:tc>
          <w:tcPr>
            <w:tcW w:w="138" w:type="dxa"/>
            <w:tcBorders/>
            <w:shd w:fill="auto" w:val="clear"/>
            <w:vAlign w:val="bottom"/>
          </w:tcPr>
          <w:p>
            <w:pPr>
              <w:pStyle w:val="TableContents"/>
              <w:spacing w:before="0" w:after="283"/>
              <w:jc w:val="left"/>
              <w:rPr/>
            </w:pPr>
            <w:r>
              <w:rPr/>
              <w:t> </w:t>
            </w:r>
          </w:p>
        </w:tc>
        <w:tc>
          <w:tcPr>
            <w:tcW w:w="107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c>
          <w:tcPr>
            <w:tcW w:w="114"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right"/>
              <w:rPr/>
            </w:pPr>
            <w:r>
              <w:rPr/>
              <w:t> </w:t>
            </w:r>
          </w:p>
        </w:tc>
        <w:tc>
          <w:tcPr>
            <w:tcW w:w="133" w:type="dxa"/>
            <w:tcBorders/>
            <w:shd w:fill="auto" w:val="clear"/>
            <w:vAlign w:val="bottom"/>
          </w:tcPr>
          <w:p>
            <w:pPr>
              <w:pStyle w:val="TableContents"/>
              <w:spacing w:before="0" w:after="283"/>
              <w:jc w:val="left"/>
              <w:rPr/>
            </w:pPr>
            <w:r>
              <w:rPr/>
              <w:t> </w:t>
            </w:r>
          </w:p>
        </w:tc>
        <w:tc>
          <w:tcPr>
            <w:tcW w:w="11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1,476,230</w:t>
            </w:r>
          </w:p>
        </w:tc>
        <w:tc>
          <w:tcPr>
            <w:tcW w:w="114" w:type="dxa"/>
            <w:tcBorders/>
            <w:shd w:fill="auto" w:val="clear"/>
            <w:vAlign w:val="bottom"/>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5679" w:type="dxa"/>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Due to related parties</w:t>
            </w:r>
          </w:p>
        </w:tc>
        <w:tc>
          <w:tcPr>
            <w:tcW w:w="105" w:type="dxa"/>
            <w:tcBorders/>
            <w:shd w:fill="auto" w:val="clear"/>
            <w:vAlign w:val="bottom"/>
          </w:tcPr>
          <w:p>
            <w:pPr>
              <w:pStyle w:val="TableContents"/>
              <w:spacing w:before="0" w:after="283"/>
              <w:jc w:val="right"/>
              <w:rPr/>
            </w:pPr>
            <w:r>
              <w:rPr/>
              <w:t> </w:t>
            </w:r>
          </w:p>
        </w:tc>
        <w:tc>
          <w:tcPr>
            <w:tcW w:w="13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53"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366,697</w:t>
            </w:r>
          </w:p>
        </w:tc>
        <w:tc>
          <w:tcPr>
            <w:tcW w:w="114"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right"/>
              <w:rPr/>
            </w:pPr>
            <w:r>
              <w:rPr/>
              <w:t> </w:t>
            </w:r>
          </w:p>
        </w:tc>
        <w:tc>
          <w:tcPr>
            <w:tcW w:w="13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6,649</w:t>
            </w:r>
          </w:p>
        </w:tc>
        <w:tc>
          <w:tcPr>
            <w:tcW w:w="114"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right"/>
              <w:rPr/>
            </w:pPr>
            <w:r>
              <w:rPr/>
              <w:t> </w:t>
            </w:r>
          </w:p>
        </w:tc>
        <w:tc>
          <w:tcPr>
            <w:tcW w:w="13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53"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373,346</w:t>
            </w:r>
          </w:p>
        </w:tc>
        <w:tc>
          <w:tcPr>
            <w:tcW w:w="114" w:type="dxa"/>
            <w:tcBorders/>
            <w:shd w:fill="auto" w:val="clear"/>
            <w:vAlign w:val="bottom"/>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5679" w:type="dxa"/>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liabilities</w:t>
            </w:r>
          </w:p>
        </w:tc>
        <w:tc>
          <w:tcPr>
            <w:tcW w:w="105" w:type="dxa"/>
            <w:tcBorders/>
            <w:shd w:fill="auto" w:val="clear"/>
            <w:vAlign w:val="bottom"/>
          </w:tcPr>
          <w:p>
            <w:pPr>
              <w:pStyle w:val="TableContents"/>
              <w:spacing w:before="0" w:after="283"/>
              <w:jc w:val="right"/>
              <w:rPr/>
            </w:pPr>
            <w:r>
              <w:rPr/>
              <w:t> </w:t>
            </w:r>
          </w:p>
        </w:tc>
        <w:tc>
          <w:tcPr>
            <w:tcW w:w="133" w:type="dxa"/>
            <w:tcBorders>
              <w:bottom w:val="single" w:sz="12"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53"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5,770,809</w:t>
            </w:r>
          </w:p>
        </w:tc>
        <w:tc>
          <w:tcPr>
            <w:tcW w:w="114"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right"/>
              <w:rPr/>
            </w:pPr>
            <w:r>
              <w:rPr/>
              <w:t> </w:t>
            </w:r>
          </w:p>
        </w:tc>
        <w:tc>
          <w:tcPr>
            <w:tcW w:w="138" w:type="dxa"/>
            <w:tcBorders>
              <w:bottom w:val="single" w:sz="12"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7"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359,084</w:t>
            </w:r>
          </w:p>
        </w:tc>
        <w:tc>
          <w:tcPr>
            <w:tcW w:w="114"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right"/>
              <w:rPr/>
            </w:pPr>
            <w:r>
              <w:rPr/>
              <w:t> </w:t>
            </w:r>
          </w:p>
        </w:tc>
        <w:tc>
          <w:tcPr>
            <w:tcW w:w="133" w:type="dxa"/>
            <w:tcBorders>
              <w:bottom w:val="single" w:sz="12"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53"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6,129,893</w:t>
            </w:r>
          </w:p>
        </w:tc>
        <w:tc>
          <w:tcPr>
            <w:tcW w:w="114" w:type="dxa"/>
            <w:tcBorders/>
            <w:shd w:fill="auto" w:val="clear"/>
            <w:vAlign w:val="bottom"/>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567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Additional paid-in capital</w:t>
            </w:r>
          </w:p>
        </w:tc>
        <w:tc>
          <w:tcPr>
            <w:tcW w:w="105" w:type="dxa"/>
            <w:tcBorders/>
            <w:shd w:fill="auto" w:val="clear"/>
            <w:vAlign w:val="bottom"/>
          </w:tcPr>
          <w:p>
            <w:pPr>
              <w:pStyle w:val="TableContents"/>
              <w:spacing w:before="0" w:after="283"/>
              <w:jc w:val="right"/>
              <w:rPr/>
            </w:pPr>
            <w:r>
              <w:rPr/>
              <w:t> </w:t>
            </w:r>
          </w:p>
        </w:tc>
        <w:tc>
          <w:tcPr>
            <w:tcW w:w="133" w:type="dxa"/>
            <w:tcBorders/>
            <w:shd w:fill="auto" w:val="clear"/>
            <w:vAlign w:val="bottom"/>
          </w:tcPr>
          <w:p>
            <w:pPr>
              <w:pStyle w:val="TableContents"/>
              <w:spacing w:before="0" w:after="283"/>
              <w:jc w:val="left"/>
              <w:rPr/>
            </w:pPr>
            <w:r>
              <w:rPr/>
              <w:t> </w:t>
            </w:r>
          </w:p>
        </w:tc>
        <w:tc>
          <w:tcPr>
            <w:tcW w:w="11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43,545,947</w:t>
            </w:r>
          </w:p>
        </w:tc>
        <w:tc>
          <w:tcPr>
            <w:tcW w:w="114"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right"/>
              <w:rPr/>
            </w:pPr>
            <w:r>
              <w:rPr/>
              <w:t> </w:t>
            </w:r>
          </w:p>
        </w:tc>
        <w:tc>
          <w:tcPr>
            <w:tcW w:w="138" w:type="dxa"/>
            <w:tcBorders/>
            <w:shd w:fill="auto" w:val="clear"/>
            <w:vAlign w:val="bottom"/>
          </w:tcPr>
          <w:p>
            <w:pPr>
              <w:pStyle w:val="TableContents"/>
              <w:spacing w:before="0" w:after="283"/>
              <w:jc w:val="left"/>
              <w:rPr/>
            </w:pPr>
            <w:r>
              <w:rPr/>
              <w:t> </w:t>
            </w:r>
          </w:p>
        </w:tc>
        <w:tc>
          <w:tcPr>
            <w:tcW w:w="107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(62,000</w:t>
            </w:r>
          </w:p>
        </w:tc>
        <w:tc>
          <w:tcPr>
            <w:tcW w:w="11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vAlign w:val="bottom"/>
          </w:tcPr>
          <w:p>
            <w:pPr>
              <w:pStyle w:val="TableContents"/>
              <w:spacing w:before="0" w:after="283"/>
              <w:jc w:val="right"/>
              <w:rPr/>
            </w:pPr>
            <w:r>
              <w:rPr/>
              <w:t> </w:t>
            </w:r>
          </w:p>
        </w:tc>
        <w:tc>
          <w:tcPr>
            <w:tcW w:w="133" w:type="dxa"/>
            <w:tcBorders/>
            <w:shd w:fill="auto" w:val="clear"/>
            <w:vAlign w:val="bottom"/>
          </w:tcPr>
          <w:p>
            <w:pPr>
              <w:pStyle w:val="TableContents"/>
              <w:spacing w:before="0" w:after="283"/>
              <w:jc w:val="left"/>
              <w:rPr/>
            </w:pPr>
            <w:r>
              <w:rPr/>
              <w:t> </w:t>
            </w:r>
          </w:p>
        </w:tc>
        <w:tc>
          <w:tcPr>
            <w:tcW w:w="11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43,483,947</w:t>
            </w:r>
          </w:p>
        </w:tc>
        <w:tc>
          <w:tcPr>
            <w:tcW w:w="114" w:type="dxa"/>
            <w:tcBorders/>
            <w:shd w:fill="auto" w:val="clear"/>
            <w:vAlign w:val="bottom"/>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5679" w:type="dxa"/>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Deficit accumulated during the development stage</w:t>
            </w:r>
          </w:p>
        </w:tc>
        <w:tc>
          <w:tcPr>
            <w:tcW w:w="105" w:type="dxa"/>
            <w:tcBorders/>
            <w:shd w:fill="auto" w:val="clear"/>
            <w:vAlign w:val="bottom"/>
          </w:tcPr>
          <w:p>
            <w:pPr>
              <w:pStyle w:val="TableContents"/>
              <w:spacing w:before="0" w:after="283"/>
              <w:jc w:val="right"/>
              <w:rPr/>
            </w:pPr>
            <w:r>
              <w:rPr/>
              <w:t> </w:t>
            </w:r>
          </w:p>
        </w:tc>
        <w:tc>
          <w:tcPr>
            <w:tcW w:w="13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53"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(49,580,159</w:t>
            </w:r>
          </w:p>
        </w:tc>
        <w:tc>
          <w:tcPr>
            <w:tcW w:w="11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vAlign w:val="bottom"/>
          </w:tcPr>
          <w:p>
            <w:pPr>
              <w:pStyle w:val="TableContents"/>
              <w:spacing w:before="0" w:after="283"/>
              <w:jc w:val="right"/>
              <w:rPr/>
            </w:pPr>
            <w:r>
              <w:rPr/>
              <w:t> </w:t>
            </w:r>
          </w:p>
        </w:tc>
        <w:tc>
          <w:tcPr>
            <w:tcW w:w="13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(313,924</w:t>
            </w:r>
          </w:p>
        </w:tc>
        <w:tc>
          <w:tcPr>
            <w:tcW w:w="11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vAlign w:val="bottom"/>
          </w:tcPr>
          <w:p>
            <w:pPr>
              <w:pStyle w:val="TableContents"/>
              <w:spacing w:before="0" w:after="283"/>
              <w:jc w:val="right"/>
              <w:rPr/>
            </w:pPr>
            <w:r>
              <w:rPr/>
              <w:t> </w:t>
            </w:r>
          </w:p>
        </w:tc>
        <w:tc>
          <w:tcPr>
            <w:tcW w:w="13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53"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(49,894,083</w:t>
            </w:r>
          </w:p>
        </w:tc>
        <w:tc>
          <w:tcPr>
            <w:tcW w:w="11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2" w:type="dxa"/>
            <w:tcBorders/>
            <w:shd w:fill="auto" w:val="clear"/>
          </w:tcPr>
          <w:p>
            <w:pPr>
              <w:pStyle w:val="TableContents"/>
              <w:spacing w:before="0" w:after="283"/>
              <w:rPr>
                <w:sz w:val="4"/>
                <w:szCs w:val="4"/>
              </w:rPr>
            </w:pPr>
            <w:r>
              <w:rPr>
                <w:sz w:val="4"/>
                <w:szCs w:val="4"/>
              </w:rPr>
            </w:r>
          </w:p>
        </w:tc>
      </w:tr>
      <w:tr>
        <w:trPr/>
        <w:tc>
          <w:tcPr>
            <w:tcW w:w="5679" w:type="dxa"/>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Stockholders’ deficiency</w:t>
            </w:r>
          </w:p>
        </w:tc>
        <w:tc>
          <w:tcPr>
            <w:tcW w:w="105" w:type="dxa"/>
            <w:tcBorders/>
            <w:shd w:fill="auto" w:val="clear"/>
            <w:vAlign w:val="bottom"/>
          </w:tcPr>
          <w:p>
            <w:pPr>
              <w:pStyle w:val="TableContents"/>
              <w:spacing w:before="0" w:after="283"/>
              <w:jc w:val="right"/>
              <w:rPr/>
            </w:pPr>
            <w:r>
              <w:rPr/>
              <w:t> </w:t>
            </w:r>
          </w:p>
        </w:tc>
        <w:tc>
          <w:tcPr>
            <w:tcW w:w="133" w:type="dxa"/>
            <w:tcBorders>
              <w:bottom w:val="single" w:sz="12"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53"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(5,666,597</w:t>
            </w:r>
          </w:p>
        </w:tc>
        <w:tc>
          <w:tcPr>
            <w:tcW w:w="11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vAlign w:val="bottom"/>
          </w:tcPr>
          <w:p>
            <w:pPr>
              <w:pStyle w:val="TableContents"/>
              <w:spacing w:before="0" w:after="283"/>
              <w:jc w:val="right"/>
              <w:rPr/>
            </w:pPr>
            <w:r>
              <w:rPr/>
              <w:t> </w:t>
            </w:r>
          </w:p>
        </w:tc>
        <w:tc>
          <w:tcPr>
            <w:tcW w:w="138" w:type="dxa"/>
            <w:tcBorders>
              <w:bottom w:val="single" w:sz="12"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7"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(375,924</w:t>
            </w:r>
          </w:p>
        </w:tc>
        <w:tc>
          <w:tcPr>
            <w:tcW w:w="11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vAlign w:val="bottom"/>
          </w:tcPr>
          <w:p>
            <w:pPr>
              <w:pStyle w:val="TableContents"/>
              <w:spacing w:before="0" w:after="283"/>
              <w:jc w:val="right"/>
              <w:rPr/>
            </w:pPr>
            <w:r>
              <w:rPr/>
              <w:t> </w:t>
            </w:r>
          </w:p>
        </w:tc>
        <w:tc>
          <w:tcPr>
            <w:tcW w:w="133" w:type="dxa"/>
            <w:tcBorders>
              <w:bottom w:val="single" w:sz="12"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53"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(6,042,521</w:t>
            </w:r>
          </w:p>
        </w:tc>
        <w:tc>
          <w:tcPr>
            <w:tcW w:w="11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2" w:type="dxa"/>
            <w:tcBorders/>
            <w:shd w:fill="auto" w:val="clear"/>
          </w:tcPr>
          <w:p>
            <w:pPr>
              <w:pStyle w:val="TableContents"/>
              <w:spacing w:before="0" w:after="283"/>
              <w:rPr>
                <w:sz w:val="4"/>
                <w:szCs w:val="4"/>
              </w:rPr>
            </w:pPr>
            <w:r>
              <w:rPr>
                <w:sz w:val="4"/>
                <w:szCs w:val="4"/>
              </w:rPr>
            </w:r>
          </w:p>
        </w:tc>
      </w:tr>
    </w:tbl>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928"/>
        <w:gridCol w:w="106"/>
        <w:gridCol w:w="127"/>
        <w:gridCol w:w="1078"/>
        <w:gridCol w:w="113"/>
        <w:gridCol w:w="106"/>
        <w:gridCol w:w="128"/>
        <w:gridCol w:w="1036"/>
        <w:gridCol w:w="113"/>
        <w:gridCol w:w="106"/>
        <w:gridCol w:w="126"/>
        <w:gridCol w:w="1078"/>
        <w:gridCol w:w="113"/>
        <w:gridCol w:w="47"/>
      </w:tblGrid>
      <w:tr>
        <w:trPr/>
        <w:tc>
          <w:tcPr>
            <w:tcW w:w="7239" w:type="dxa"/>
            <w:gridSpan w:val="4"/>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As reported</w:t>
            </w:r>
          </w:p>
        </w:tc>
        <w:tc>
          <w:tcPr>
            <w:tcW w:w="113" w:type="dxa"/>
            <w:tcBorders/>
            <w:shd w:fill="auto" w:val="clear"/>
            <w:vAlign w:val="bottom"/>
          </w:tcPr>
          <w:p>
            <w:pPr>
              <w:pStyle w:val="TableContents"/>
              <w:spacing w:before="0" w:after="283"/>
              <w:jc w:val="left"/>
              <w:rPr/>
            </w:pPr>
            <w:r>
              <w:rPr/>
              <w:t> </w:t>
            </w:r>
          </w:p>
        </w:tc>
        <w:tc>
          <w:tcPr>
            <w:tcW w:w="1270" w:type="dxa"/>
            <w:gridSpan w:val="3"/>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Adjustment</w:t>
            </w:r>
          </w:p>
        </w:tc>
        <w:tc>
          <w:tcPr>
            <w:tcW w:w="113" w:type="dxa"/>
            <w:tcBorders/>
            <w:shd w:fill="auto" w:val="clear"/>
            <w:vAlign w:val="bottom"/>
          </w:tcPr>
          <w:p>
            <w:pPr>
              <w:pStyle w:val="TableContents"/>
              <w:spacing w:before="0" w:after="283"/>
              <w:jc w:val="left"/>
              <w:rPr/>
            </w:pPr>
            <w:r>
              <w:rPr/>
              <w:t> </w:t>
            </w:r>
          </w:p>
        </w:tc>
        <w:tc>
          <w:tcPr>
            <w:tcW w:w="1470" w:type="dxa"/>
            <w:gridSpan w:val="5"/>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As restated</w:t>
            </w:r>
          </w:p>
        </w:tc>
      </w:tr>
      <w:tr>
        <w:trPr/>
        <w:tc>
          <w:tcPr>
            <w:tcW w:w="10205" w:type="dxa"/>
            <w:gridSpan w:val="14"/>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Consolidated Statement of Operations data For the year ended December 31, 2012</w:t>
            </w:r>
          </w:p>
        </w:tc>
      </w:tr>
      <w:tr>
        <w:trPr/>
        <w:tc>
          <w:tcPr>
            <w:tcW w:w="5928" w:type="dxa"/>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Management fees</w:t>
            </w:r>
          </w:p>
        </w:tc>
        <w:tc>
          <w:tcPr>
            <w:tcW w:w="106" w:type="dxa"/>
            <w:tcBorders/>
            <w:shd w:fill="auto" w:val="clear"/>
            <w:vAlign w:val="bottom"/>
          </w:tcPr>
          <w:p>
            <w:pPr>
              <w:pStyle w:val="TableContents"/>
              <w:spacing w:before="0" w:after="283"/>
              <w:jc w:val="right"/>
              <w:rPr/>
            </w:pPr>
            <w:r>
              <w:rPr/>
              <w:t> </w:t>
            </w:r>
          </w:p>
        </w:tc>
        <w:tc>
          <w:tcPr>
            <w:tcW w:w="127" w:type="dxa"/>
            <w:tcBorders>
              <w:bottom w:val="single" w:sz="12"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8"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295,600</w:t>
            </w:r>
          </w:p>
        </w:tc>
        <w:tc>
          <w:tcPr>
            <w:tcW w:w="113"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jc w:val="right"/>
              <w:rPr/>
            </w:pPr>
            <w:r>
              <w:rPr/>
              <w:t> </w:t>
            </w:r>
          </w:p>
        </w:tc>
        <w:tc>
          <w:tcPr>
            <w:tcW w:w="128" w:type="dxa"/>
            <w:tcBorders>
              <w:bottom w:val="single" w:sz="12"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6"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6,649</w:t>
            </w:r>
          </w:p>
        </w:tc>
        <w:tc>
          <w:tcPr>
            <w:tcW w:w="113"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jc w:val="right"/>
              <w:rPr/>
            </w:pPr>
            <w:r>
              <w:rPr/>
              <w:t> </w:t>
            </w:r>
          </w:p>
        </w:tc>
        <w:tc>
          <w:tcPr>
            <w:tcW w:w="126" w:type="dxa"/>
            <w:tcBorders>
              <w:bottom w:val="single" w:sz="12"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8"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302,249</w:t>
            </w:r>
          </w:p>
        </w:tc>
        <w:tc>
          <w:tcPr>
            <w:tcW w:w="113" w:type="dxa"/>
            <w:tcBorders/>
            <w:shd w:fill="auto" w:val="clear"/>
            <w:vAlign w:val="bottom"/>
          </w:tcPr>
          <w:p>
            <w:pPr>
              <w:pStyle w:val="TableContents"/>
              <w:spacing w:before="0" w:after="283"/>
              <w:jc w:val="left"/>
              <w:rPr/>
            </w:pPr>
            <w:r>
              <w:rPr/>
              <w:t> </w:t>
            </w:r>
          </w:p>
        </w:tc>
        <w:tc>
          <w:tcPr>
            <w:tcW w:w="47" w:type="dxa"/>
            <w:tcBorders/>
            <w:shd w:fill="auto" w:val="clear"/>
          </w:tcPr>
          <w:p>
            <w:pPr>
              <w:pStyle w:val="TableContents"/>
              <w:spacing w:before="0" w:after="283"/>
              <w:rPr>
                <w:sz w:val="4"/>
                <w:szCs w:val="4"/>
              </w:rPr>
            </w:pPr>
            <w:r>
              <w:rPr>
                <w:sz w:val="4"/>
                <w:szCs w:val="4"/>
              </w:rPr>
            </w:r>
          </w:p>
        </w:tc>
      </w:tr>
      <w:tr>
        <w:trPr/>
        <w:tc>
          <w:tcPr>
            <w:tcW w:w="5928" w:type="dxa"/>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 Before Other Items</w:t>
            </w:r>
          </w:p>
        </w:tc>
        <w:tc>
          <w:tcPr>
            <w:tcW w:w="106" w:type="dxa"/>
            <w:tcBorders/>
            <w:shd w:fill="auto" w:val="clear"/>
            <w:vAlign w:val="bottom"/>
          </w:tcPr>
          <w:p>
            <w:pPr>
              <w:pStyle w:val="TableContents"/>
              <w:spacing w:before="0" w:after="283"/>
              <w:jc w:val="right"/>
              <w:rPr/>
            </w:pPr>
            <w:r>
              <w:rPr/>
              <w:t> </w:t>
            </w:r>
          </w:p>
        </w:tc>
        <w:tc>
          <w:tcPr>
            <w:tcW w:w="12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78"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(6,222,798</w:t>
            </w:r>
          </w:p>
        </w:tc>
        <w:tc>
          <w:tcPr>
            <w:tcW w:w="11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auto" w:val="clear"/>
            <w:vAlign w:val="bottom"/>
          </w:tcPr>
          <w:p>
            <w:pPr>
              <w:pStyle w:val="TableContents"/>
              <w:spacing w:before="0" w:after="283"/>
              <w:jc w:val="right"/>
              <w:rPr/>
            </w:pPr>
            <w:r>
              <w:rPr/>
              <w:t> </w:t>
            </w:r>
          </w:p>
        </w:tc>
        <w:tc>
          <w:tcPr>
            <w:tcW w:w="12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36"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(6,649</w:t>
            </w:r>
          </w:p>
        </w:tc>
        <w:tc>
          <w:tcPr>
            <w:tcW w:w="11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auto" w:val="clear"/>
            <w:vAlign w:val="bottom"/>
          </w:tcPr>
          <w:p>
            <w:pPr>
              <w:pStyle w:val="TableContents"/>
              <w:spacing w:before="0" w:after="283"/>
              <w:jc w:val="right"/>
              <w:rPr/>
            </w:pPr>
            <w:r>
              <w:rPr/>
              <w:t> </w:t>
            </w:r>
          </w:p>
        </w:tc>
        <w:tc>
          <w:tcPr>
            <w:tcW w:w="126"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78"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(6,229,447</w:t>
            </w:r>
          </w:p>
        </w:tc>
        <w:tc>
          <w:tcPr>
            <w:tcW w:w="11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47" w:type="dxa"/>
            <w:tcBorders/>
            <w:shd w:fill="auto" w:val="clear"/>
          </w:tcPr>
          <w:p>
            <w:pPr>
              <w:pStyle w:val="TableContents"/>
              <w:spacing w:before="0" w:after="283"/>
              <w:rPr>
                <w:sz w:val="4"/>
                <w:szCs w:val="4"/>
              </w:rPr>
            </w:pPr>
            <w:r>
              <w:rPr>
                <w:sz w:val="4"/>
                <w:szCs w:val="4"/>
              </w:rPr>
            </w:r>
          </w:p>
        </w:tc>
      </w:tr>
      <w:tr>
        <w:trPr/>
        <w:tc>
          <w:tcPr>
            <w:tcW w:w="5928" w:type="dxa"/>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Changes in fair value of derivative liabilities</w:t>
            </w:r>
          </w:p>
        </w:tc>
        <w:tc>
          <w:tcPr>
            <w:tcW w:w="106" w:type="dxa"/>
            <w:tcBorders/>
            <w:shd w:fill="auto" w:val="clear"/>
            <w:vAlign w:val="bottom"/>
          </w:tcPr>
          <w:p>
            <w:pPr>
              <w:pStyle w:val="TableContents"/>
              <w:spacing w:before="0" w:after="283"/>
              <w:jc w:val="right"/>
              <w:rPr/>
            </w:pPr>
            <w:r>
              <w:rPr/>
              <w:t> </w:t>
            </w:r>
          </w:p>
        </w:tc>
        <w:tc>
          <w:tcPr>
            <w:tcW w:w="12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78"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536,527</w:t>
            </w:r>
          </w:p>
        </w:tc>
        <w:tc>
          <w:tcPr>
            <w:tcW w:w="113"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jc w:val="right"/>
              <w:rPr/>
            </w:pPr>
            <w:r>
              <w:rPr/>
              <w:t> </w:t>
            </w:r>
          </w:p>
        </w:tc>
        <w:tc>
          <w:tcPr>
            <w:tcW w:w="12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36"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(307,375</w:t>
            </w:r>
          </w:p>
        </w:tc>
        <w:tc>
          <w:tcPr>
            <w:tcW w:w="11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auto" w:val="clear"/>
            <w:vAlign w:val="bottom"/>
          </w:tcPr>
          <w:p>
            <w:pPr>
              <w:pStyle w:val="TableContents"/>
              <w:spacing w:before="0" w:after="283"/>
              <w:jc w:val="right"/>
              <w:rPr/>
            </w:pPr>
            <w:r>
              <w:rPr/>
              <w:t> </w:t>
            </w:r>
          </w:p>
        </w:tc>
        <w:tc>
          <w:tcPr>
            <w:tcW w:w="126"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78"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229,252</w:t>
            </w:r>
          </w:p>
        </w:tc>
        <w:tc>
          <w:tcPr>
            <w:tcW w:w="113" w:type="dxa"/>
            <w:tcBorders/>
            <w:shd w:fill="auto" w:val="clear"/>
            <w:vAlign w:val="bottom"/>
          </w:tcPr>
          <w:p>
            <w:pPr>
              <w:pStyle w:val="TableContents"/>
              <w:spacing w:before="0" w:after="283"/>
              <w:jc w:val="left"/>
              <w:rPr/>
            </w:pPr>
            <w:r>
              <w:rPr/>
              <w:t> </w:t>
            </w:r>
          </w:p>
        </w:tc>
        <w:tc>
          <w:tcPr>
            <w:tcW w:w="47" w:type="dxa"/>
            <w:tcBorders/>
            <w:shd w:fill="auto" w:val="clear"/>
          </w:tcPr>
          <w:p>
            <w:pPr>
              <w:pStyle w:val="TableContents"/>
              <w:spacing w:before="0" w:after="283"/>
              <w:rPr>
                <w:sz w:val="4"/>
                <w:szCs w:val="4"/>
              </w:rPr>
            </w:pPr>
            <w:r>
              <w:rPr>
                <w:sz w:val="4"/>
                <w:szCs w:val="4"/>
              </w:rPr>
            </w:r>
          </w:p>
        </w:tc>
      </w:tr>
      <w:tr>
        <w:trPr/>
        <w:tc>
          <w:tcPr>
            <w:tcW w:w="5928" w:type="dxa"/>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LOSS</w:t>
            </w:r>
          </w:p>
        </w:tc>
        <w:tc>
          <w:tcPr>
            <w:tcW w:w="106" w:type="dxa"/>
            <w:tcBorders/>
            <w:shd w:fill="auto" w:val="clear"/>
            <w:vAlign w:val="bottom"/>
          </w:tcPr>
          <w:p>
            <w:pPr>
              <w:pStyle w:val="TableContents"/>
              <w:spacing w:before="0" w:after="283"/>
              <w:jc w:val="right"/>
              <w:rPr/>
            </w:pPr>
            <w:r>
              <w:rPr/>
              <w:t> </w:t>
            </w:r>
          </w:p>
        </w:tc>
        <w:tc>
          <w:tcPr>
            <w:tcW w:w="127" w:type="dxa"/>
            <w:tcBorders>
              <w:bottom w:val="single" w:sz="12"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8"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(5,857,943</w:t>
            </w:r>
          </w:p>
        </w:tc>
        <w:tc>
          <w:tcPr>
            <w:tcW w:w="11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auto" w:val="clear"/>
            <w:vAlign w:val="bottom"/>
          </w:tcPr>
          <w:p>
            <w:pPr>
              <w:pStyle w:val="TableContents"/>
              <w:spacing w:before="0" w:after="283"/>
              <w:jc w:val="right"/>
              <w:rPr/>
            </w:pPr>
            <w:r>
              <w:rPr/>
              <w:t> </w:t>
            </w:r>
          </w:p>
        </w:tc>
        <w:tc>
          <w:tcPr>
            <w:tcW w:w="128" w:type="dxa"/>
            <w:tcBorders>
              <w:bottom w:val="single" w:sz="12"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6"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(313,924</w:t>
            </w:r>
          </w:p>
        </w:tc>
        <w:tc>
          <w:tcPr>
            <w:tcW w:w="11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auto" w:val="clear"/>
            <w:vAlign w:val="bottom"/>
          </w:tcPr>
          <w:p>
            <w:pPr>
              <w:pStyle w:val="TableContents"/>
              <w:spacing w:before="0" w:after="283"/>
              <w:jc w:val="right"/>
              <w:rPr/>
            </w:pPr>
            <w:r>
              <w:rPr/>
              <w:t> </w:t>
            </w:r>
          </w:p>
        </w:tc>
        <w:tc>
          <w:tcPr>
            <w:tcW w:w="126" w:type="dxa"/>
            <w:tcBorders>
              <w:bottom w:val="single" w:sz="12"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8"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(6,171,867</w:t>
            </w:r>
          </w:p>
        </w:tc>
        <w:tc>
          <w:tcPr>
            <w:tcW w:w="11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47" w:type="dxa"/>
            <w:tcBorders/>
            <w:shd w:fill="auto" w:val="clear"/>
          </w:tcPr>
          <w:p>
            <w:pPr>
              <w:pStyle w:val="TableContents"/>
              <w:spacing w:before="0" w:after="283"/>
              <w:rPr>
                <w:sz w:val="4"/>
                <w:szCs w:val="4"/>
              </w:rPr>
            </w:pPr>
            <w:r>
              <w:rPr>
                <w:sz w:val="4"/>
                <w:szCs w:val="4"/>
              </w:rPr>
            </w:r>
          </w:p>
        </w:tc>
      </w:tr>
      <w:tr>
        <w:trPr/>
        <w:tc>
          <w:tcPr>
            <w:tcW w:w="10205" w:type="dxa"/>
            <w:gridSpan w:val="14"/>
            <w:tcBorders/>
            <w:shd w:fill="auto" w:val="clear"/>
            <w:vAlign w:val="bottom"/>
          </w:tcPr>
          <w:p>
            <w:pPr>
              <w:pStyle w:val="TableContents"/>
              <w:spacing w:before="0" w:after="283"/>
              <w:rPr/>
            </w:pPr>
            <w:r>
              <w:rPr/>
              <w:t> </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693"/>
        <w:gridCol w:w="106"/>
        <w:gridCol w:w="133"/>
        <w:gridCol w:w="1159"/>
        <w:gridCol w:w="114"/>
        <w:gridCol w:w="106"/>
        <w:gridCol w:w="138"/>
        <w:gridCol w:w="1083"/>
        <w:gridCol w:w="114"/>
        <w:gridCol w:w="106"/>
        <w:gridCol w:w="133"/>
        <w:gridCol w:w="1159"/>
        <w:gridCol w:w="114"/>
        <w:gridCol w:w="47"/>
      </w:tblGrid>
      <w:tr>
        <w:trPr/>
        <w:tc>
          <w:tcPr>
            <w:tcW w:w="7091" w:type="dxa"/>
            <w:gridSpan w:val="4"/>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As reported</w:t>
            </w:r>
          </w:p>
        </w:tc>
        <w:tc>
          <w:tcPr>
            <w:tcW w:w="114"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jc w:val="right"/>
              <w:rPr/>
            </w:pPr>
            <w:r>
              <w:rPr/>
              <w:t> </w:t>
            </w:r>
          </w:p>
        </w:tc>
        <w:tc>
          <w:tcPr>
            <w:tcW w:w="1221" w:type="dxa"/>
            <w:gridSpan w:val="2"/>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Adjustment</w:t>
            </w:r>
          </w:p>
        </w:tc>
        <w:tc>
          <w:tcPr>
            <w:tcW w:w="114"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jc w:val="right"/>
              <w:rPr/>
            </w:pPr>
            <w:r>
              <w:rPr/>
              <w:t> </w:t>
            </w:r>
          </w:p>
        </w:tc>
        <w:tc>
          <w:tcPr>
            <w:tcW w:w="1453" w:type="dxa"/>
            <w:gridSpan w:val="4"/>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As restated</w:t>
            </w:r>
          </w:p>
        </w:tc>
      </w:tr>
      <w:tr>
        <w:trPr/>
        <w:tc>
          <w:tcPr>
            <w:tcW w:w="10205" w:type="dxa"/>
            <w:gridSpan w:val="14"/>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Consolidated Statement of Operations data From July 27, 1999 (inception) to December 31, 2012</w:t>
            </w:r>
          </w:p>
        </w:tc>
      </w:tr>
      <w:tr>
        <w:trPr/>
        <w:tc>
          <w:tcPr>
            <w:tcW w:w="5693" w:type="dxa"/>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Management fees</w:t>
            </w:r>
          </w:p>
        </w:tc>
        <w:tc>
          <w:tcPr>
            <w:tcW w:w="106" w:type="dxa"/>
            <w:tcBorders/>
            <w:shd w:fill="auto" w:val="clear"/>
            <w:vAlign w:val="bottom"/>
          </w:tcPr>
          <w:p>
            <w:pPr>
              <w:pStyle w:val="TableContents"/>
              <w:spacing w:before="0" w:after="283"/>
              <w:jc w:val="right"/>
              <w:rPr/>
            </w:pPr>
            <w:r>
              <w:rPr/>
              <w:t> </w:t>
            </w:r>
          </w:p>
        </w:tc>
        <w:tc>
          <w:tcPr>
            <w:tcW w:w="133" w:type="dxa"/>
            <w:tcBorders>
              <w:bottom w:val="single" w:sz="12"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59"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3,067,654</w:t>
            </w:r>
          </w:p>
        </w:tc>
        <w:tc>
          <w:tcPr>
            <w:tcW w:w="114"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jc w:val="right"/>
              <w:rPr/>
            </w:pPr>
            <w:r>
              <w:rPr/>
              <w:t> </w:t>
            </w:r>
          </w:p>
        </w:tc>
        <w:tc>
          <w:tcPr>
            <w:tcW w:w="138" w:type="dxa"/>
            <w:tcBorders>
              <w:bottom w:val="single" w:sz="12"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3"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6,649</w:t>
            </w:r>
          </w:p>
        </w:tc>
        <w:tc>
          <w:tcPr>
            <w:tcW w:w="114"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jc w:val="right"/>
              <w:rPr/>
            </w:pPr>
            <w:r>
              <w:rPr/>
              <w:t> </w:t>
            </w:r>
          </w:p>
        </w:tc>
        <w:tc>
          <w:tcPr>
            <w:tcW w:w="133" w:type="dxa"/>
            <w:tcBorders>
              <w:bottom w:val="single" w:sz="12"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59"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3,074,303</w:t>
            </w:r>
          </w:p>
        </w:tc>
        <w:tc>
          <w:tcPr>
            <w:tcW w:w="114" w:type="dxa"/>
            <w:tcBorders/>
            <w:shd w:fill="auto" w:val="clear"/>
            <w:vAlign w:val="bottom"/>
          </w:tcPr>
          <w:p>
            <w:pPr>
              <w:pStyle w:val="TableContents"/>
              <w:spacing w:before="0" w:after="283"/>
              <w:jc w:val="left"/>
              <w:rPr/>
            </w:pPr>
            <w:r>
              <w:rPr/>
              <w:t> </w:t>
            </w:r>
          </w:p>
        </w:tc>
        <w:tc>
          <w:tcPr>
            <w:tcW w:w="47" w:type="dxa"/>
            <w:tcBorders/>
            <w:shd w:fill="auto" w:val="clear"/>
          </w:tcPr>
          <w:p>
            <w:pPr>
              <w:pStyle w:val="TableContents"/>
              <w:spacing w:before="0" w:after="283"/>
              <w:rPr>
                <w:sz w:val="4"/>
                <w:szCs w:val="4"/>
              </w:rPr>
            </w:pPr>
            <w:r>
              <w:rPr>
                <w:sz w:val="4"/>
                <w:szCs w:val="4"/>
              </w:rPr>
            </w:r>
          </w:p>
        </w:tc>
      </w:tr>
      <w:tr>
        <w:trPr/>
        <w:tc>
          <w:tcPr>
            <w:tcW w:w="5693" w:type="dxa"/>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 Before Other Items</w:t>
            </w:r>
          </w:p>
        </w:tc>
        <w:tc>
          <w:tcPr>
            <w:tcW w:w="106" w:type="dxa"/>
            <w:tcBorders/>
            <w:shd w:fill="auto" w:val="clear"/>
            <w:vAlign w:val="bottom"/>
          </w:tcPr>
          <w:p>
            <w:pPr>
              <w:pStyle w:val="TableContents"/>
              <w:spacing w:before="0" w:after="283"/>
              <w:jc w:val="right"/>
              <w:rPr/>
            </w:pPr>
            <w:r>
              <w:rPr/>
              <w:t> </w:t>
            </w:r>
          </w:p>
        </w:tc>
        <w:tc>
          <w:tcPr>
            <w:tcW w:w="13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59"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(41,491,894</w:t>
            </w:r>
          </w:p>
        </w:tc>
        <w:tc>
          <w:tcPr>
            <w:tcW w:w="11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auto" w:val="clear"/>
            <w:vAlign w:val="bottom"/>
          </w:tcPr>
          <w:p>
            <w:pPr>
              <w:pStyle w:val="TableContents"/>
              <w:spacing w:before="0" w:after="283"/>
              <w:jc w:val="right"/>
              <w:rPr/>
            </w:pPr>
            <w:r>
              <w:rPr/>
              <w:t> </w:t>
            </w:r>
          </w:p>
        </w:tc>
        <w:tc>
          <w:tcPr>
            <w:tcW w:w="13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83"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(6,649</w:t>
            </w:r>
          </w:p>
        </w:tc>
        <w:tc>
          <w:tcPr>
            <w:tcW w:w="11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auto" w:val="clear"/>
            <w:vAlign w:val="bottom"/>
          </w:tcPr>
          <w:p>
            <w:pPr>
              <w:pStyle w:val="TableContents"/>
              <w:spacing w:before="0" w:after="283"/>
              <w:jc w:val="right"/>
              <w:rPr/>
            </w:pPr>
            <w:r>
              <w:rPr/>
              <w:t> </w:t>
            </w:r>
          </w:p>
        </w:tc>
        <w:tc>
          <w:tcPr>
            <w:tcW w:w="13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59"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(41,498,543</w:t>
            </w:r>
          </w:p>
        </w:tc>
        <w:tc>
          <w:tcPr>
            <w:tcW w:w="11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47" w:type="dxa"/>
            <w:tcBorders/>
            <w:shd w:fill="auto" w:val="clear"/>
          </w:tcPr>
          <w:p>
            <w:pPr>
              <w:pStyle w:val="TableContents"/>
              <w:spacing w:before="0" w:after="283"/>
              <w:rPr>
                <w:sz w:val="4"/>
                <w:szCs w:val="4"/>
              </w:rPr>
            </w:pPr>
            <w:r>
              <w:rPr>
                <w:sz w:val="4"/>
                <w:szCs w:val="4"/>
              </w:rPr>
            </w:r>
          </w:p>
        </w:tc>
      </w:tr>
      <w:tr>
        <w:trPr/>
        <w:tc>
          <w:tcPr>
            <w:tcW w:w="5693" w:type="dxa"/>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Changes in fair value of derivative liabilities</w:t>
            </w:r>
          </w:p>
        </w:tc>
        <w:tc>
          <w:tcPr>
            <w:tcW w:w="106" w:type="dxa"/>
            <w:tcBorders/>
            <w:shd w:fill="auto" w:val="clear"/>
            <w:vAlign w:val="bottom"/>
          </w:tcPr>
          <w:p>
            <w:pPr>
              <w:pStyle w:val="TableContents"/>
              <w:spacing w:before="0" w:after="283"/>
              <w:jc w:val="right"/>
              <w:rPr/>
            </w:pPr>
            <w:r>
              <w:rPr/>
              <w:t> </w:t>
            </w:r>
          </w:p>
        </w:tc>
        <w:tc>
          <w:tcPr>
            <w:tcW w:w="13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59"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4,611,667</w:t>
            </w:r>
          </w:p>
        </w:tc>
        <w:tc>
          <w:tcPr>
            <w:tcW w:w="114"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jc w:val="right"/>
              <w:rPr/>
            </w:pPr>
            <w:r>
              <w:rPr/>
              <w:t> </w:t>
            </w:r>
          </w:p>
        </w:tc>
        <w:tc>
          <w:tcPr>
            <w:tcW w:w="13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83"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(307,375</w:t>
            </w:r>
          </w:p>
        </w:tc>
        <w:tc>
          <w:tcPr>
            <w:tcW w:w="11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auto" w:val="clear"/>
            <w:vAlign w:val="bottom"/>
          </w:tcPr>
          <w:p>
            <w:pPr>
              <w:pStyle w:val="TableContents"/>
              <w:spacing w:before="0" w:after="283"/>
              <w:jc w:val="right"/>
              <w:rPr/>
            </w:pPr>
            <w:r>
              <w:rPr/>
              <w:t> </w:t>
            </w:r>
          </w:p>
        </w:tc>
        <w:tc>
          <w:tcPr>
            <w:tcW w:w="13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59"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4,304,392</w:t>
            </w:r>
          </w:p>
        </w:tc>
        <w:tc>
          <w:tcPr>
            <w:tcW w:w="114" w:type="dxa"/>
            <w:tcBorders/>
            <w:shd w:fill="auto" w:val="clear"/>
            <w:vAlign w:val="bottom"/>
          </w:tcPr>
          <w:p>
            <w:pPr>
              <w:pStyle w:val="TableContents"/>
              <w:spacing w:before="0" w:after="283"/>
              <w:jc w:val="left"/>
              <w:rPr/>
            </w:pPr>
            <w:r>
              <w:rPr/>
              <w:t> </w:t>
            </w:r>
          </w:p>
        </w:tc>
        <w:tc>
          <w:tcPr>
            <w:tcW w:w="47" w:type="dxa"/>
            <w:tcBorders/>
            <w:shd w:fill="auto" w:val="clear"/>
          </w:tcPr>
          <w:p>
            <w:pPr>
              <w:pStyle w:val="TableContents"/>
              <w:spacing w:before="0" w:after="283"/>
              <w:rPr>
                <w:sz w:val="4"/>
                <w:szCs w:val="4"/>
              </w:rPr>
            </w:pPr>
            <w:r>
              <w:rPr>
                <w:sz w:val="4"/>
                <w:szCs w:val="4"/>
              </w:rPr>
            </w:r>
          </w:p>
        </w:tc>
      </w:tr>
      <w:tr>
        <w:trPr/>
        <w:tc>
          <w:tcPr>
            <w:tcW w:w="5693"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LOSS</w:t>
            </w:r>
          </w:p>
        </w:tc>
        <w:tc>
          <w:tcPr>
            <w:tcW w:w="106" w:type="dxa"/>
            <w:tcBorders/>
            <w:shd w:fill="auto" w:val="clear"/>
            <w:vAlign w:val="bottom"/>
          </w:tcPr>
          <w:p>
            <w:pPr>
              <w:pStyle w:val="TableContents"/>
              <w:spacing w:before="0" w:after="283"/>
              <w:jc w:val="right"/>
              <w:rPr/>
            </w:pPr>
            <w:r>
              <w:rPr/>
              <w:t> </w:t>
            </w:r>
          </w:p>
        </w:tc>
        <w:tc>
          <w:tcPr>
            <w:tcW w:w="133"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59"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(49,580,159</w:t>
            </w:r>
          </w:p>
        </w:tc>
        <w:tc>
          <w:tcPr>
            <w:tcW w:w="11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auto" w:val="clear"/>
            <w:vAlign w:val="bottom"/>
          </w:tcPr>
          <w:p>
            <w:pPr>
              <w:pStyle w:val="TableContents"/>
              <w:spacing w:before="0" w:after="283"/>
              <w:jc w:val="right"/>
              <w:rPr/>
            </w:pPr>
            <w:r>
              <w:rPr/>
              <w:t> </w:t>
            </w:r>
          </w:p>
        </w:tc>
        <w:tc>
          <w:tcPr>
            <w:tcW w:w="138"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3"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(313,924</w:t>
            </w:r>
          </w:p>
        </w:tc>
        <w:tc>
          <w:tcPr>
            <w:tcW w:w="11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auto" w:val="clear"/>
            <w:vAlign w:val="bottom"/>
          </w:tcPr>
          <w:p>
            <w:pPr>
              <w:pStyle w:val="TableContents"/>
              <w:spacing w:before="0" w:after="283"/>
              <w:jc w:val="right"/>
              <w:rPr/>
            </w:pPr>
            <w:r>
              <w:rPr/>
              <w:t> </w:t>
            </w:r>
          </w:p>
        </w:tc>
        <w:tc>
          <w:tcPr>
            <w:tcW w:w="133"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59"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(49,894,083</w:t>
            </w:r>
          </w:p>
        </w:tc>
        <w:tc>
          <w:tcPr>
            <w:tcW w:w="11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47" w:type="dxa"/>
            <w:tcBorders/>
            <w:shd w:fill="auto" w:val="clea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8" w:name="PGBRK4"/>
      <w:bookmarkStart w:id="39" w:name="PGBRK4"/>
      <w:bookmarkEnd w:id="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 w:name="FTR4"/>
      <w:bookmarkStart w:id="41" w:name="FTR4"/>
      <w:bookmarkEnd w:id="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2" w:name="GLFTR4"/>
      <w:bookmarkEnd w:id="4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3" w:name="PN4"/>
      <w:bookmarkEnd w:id="43"/>
      <w:r>
        <w:rPr>
          <w:rFonts w:ascii="Times New Roman" w:hAnsi="Times New Roman"/>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4" w:name="HDR4"/>
      <w:bookmarkStart w:id="45" w:name="HDR4"/>
      <w:bookmarkEnd w:id="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6" w:name="GLHDR4"/>
      <w:bookmarkEnd w:id="4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NOTE 1:</w:t>
      </w:r>
      <w:r>
        <w:rPr>
          <w:rFonts w:ascii="Times New Roman" w:hAnsi="Times New Roman"/>
          <w:b/>
          <w:sz w:val="20"/>
        </w:rPr>
        <w:t>                 </w:t>
      </w:r>
      <w:r>
        <w:rPr>
          <w:rFonts w:ascii="Times New Roman" w:hAnsi="Times New Roman"/>
          <w:b/>
          <w:sz w:val="20"/>
          <w:u w:val="single"/>
        </w:rPr>
        <w:t>NATURE OF OPERATIONS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TapImmune Inc. (the “Company”), a Nevada corporation incorporated in 1992, is a clinical development stage company which was formed for the purpose of building a biotechnology business specializing in the discovery and development of immunotherapeutics aimed at the treatment of cancer, and therapies for infectious diseases, autoimmune disorders and transplant tissue rejection.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Since inception, the Company has been party to various Collaborative Research Agreements (“CRA”) working with universities to carry out development of the licensed technology and providing TapImmune the option to acquire the rights to commercialize any additional technologies developed within the CRA. The lead product candidate, a set of Class II HER2/neu antigens is in Phase I clinical trials in breast cancer patients at the Mayo Clinic.  This product will be combined with a novel Class I HER2/neu antigen in further clinical trials and with TapImmune’s expression vector technology containing TAP in a “boost” strategy.  TapImmune has a license and an exclusive option to license the HER2/neu antigen technologies from the Mayo Clinic.  The TAP technology is now wholly owned and with no ongoing license or royalty, resulting from these license agreements is an immunotherapy vaccine, on which the Company has been completing pre-clinical work in anticipation of clinical trials. Specifically, the Company has obtained and expanded on three U.S. and international patents, tested various viral vectors, licensed a viral vector and is working towards production of a clinical grade vaccine. The Company plans to continue development of the lead product vaccine through to clinical trials in both oncology and infectious diseases alone or in partnership with other vaccine developers.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These consolidated financial statements have been prepared on the basis of a going concern which contemplates the realization of assets and the satisfaction of liabilities in the normal course of business. As at June 30, 2013, the Company had a working capital deficiency of $4,770,426 and has incurred significant losses since inception. Further losses are anticipated in the development stage raising substantial doubt as to the Company’s ability to continue as a going concern. The ability of the Company to continue as a going concern is dependent on raising additional capital to fund ongoing research and development, maintenance and protection of patents, accommodation from certain debt obligations and ultimately on generating future profitable operations. Planned expenditures relating to future clinical trials of the Company’s immunotherapy vaccine will require significant additional funding. The Company is dependent on future financings to fund ongoing research and development as well as working capital requirements. The Company’s future capital requirements will depend on many factors including the rate and extent of scientific progress in its research and development programs, the timing, cost and scope involved in clinical trials, obtaining regulatory approvals, pursuing further patent protections and the timing and costs of commercialization activities.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Management is addressing going concern remediation through seeking new sources of capital, restructuring and retiring debt through conversion to equity and debt settlement arrangements with creditors, cost reduction programs and seeking possible joint venture participation. Management’s plans are intended to return the Company to financial stability and improve continuing operations. The Company is continuing initiatives to raise capital through private placements, related party loans and other institutional sources to meet immediate working capital requirements.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Additional funding was raised through equity and debt placements in 2013 and 2012, and management intends to continue restructuring outstanding debt and equity instruments. Additional capital is required currently to expand programs including pre-clinical work and to establish future manufacturing contracts necessary for clinical trials for the lead TAP (Transporters of Antigen Processing) vaccine and infectious disease adjuvant technology. Strategic partnerships will be needed to continue the product development portfolio and fund development costs. These measures, if successful, may contribute to reduce the risk of going concern uncertainties for the Company over the next twelve months.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There is no certainty that the Company will be able to arrange sufficient funding to satisfy current debt obligations or to continue development of products to marketability.</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NOTE 2:</w:t>
      </w:r>
      <w:r>
        <w:rPr>
          <w:rFonts w:ascii="Times New Roman" w:hAnsi="Times New Roman"/>
          <w:b/>
          <w:sz w:val="20"/>
        </w:rPr>
        <w:t>                 </w:t>
      </w:r>
      <w:r>
        <w:rPr>
          <w:rFonts w:ascii="Times New Roman" w:hAnsi="Times New Roman"/>
          <w:b/>
          <w:sz w:val="20"/>
          <w:u w:val="single"/>
        </w:rPr>
        <w:t>UNAUDITED CONSOLIDATED FINANCIAL STATEMENTS FOR AN INTERIM PERIOD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Basis of Presentation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the opinion of management, the accompanying balance sheets and related interim statements of operations and cash flows include all adjustments, consisting only of normal recurring items, necessary for their fair presentation in conformity with accounting principles generally accepted in the United States of America (“U.S. GAAP”). Preparing financial statements requires management to make estimates and assumptions that affect the reported amounts of assets, liabilities, and expenses. Significant areas requiring management’s estimates and assumptions include deferred taxes and related tax balances and disclosures, determining the fair value of stock-based compensation and stock based transactions, the fair value of the components of the convertible notes payable, foreign exchange gains and losses, allocation of costs to research and development and accrued liabilities. Matters impacting the company’s ability to continue as a going concern and contingencies also involve the use of estimates and assumptions.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Interim results are not necessarily indicative of results for a full year. The information included in this quarterly report on Form 10-Q should be read in conjunction with information included in the Company’s annual report on Form 10-K filed on May 15, 2013, with the U.S. Securities and Exchange Commission.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7" w:name="PGBRK5"/>
      <w:bookmarkStart w:id="48" w:name="PGBRK5"/>
      <w:bookmarkEnd w:id="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 w:name="FTR5"/>
      <w:bookmarkStart w:id="50" w:name="FTR5"/>
      <w:bookmarkEnd w:id="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1" w:name="GLFTR5"/>
      <w:bookmarkEnd w:id="5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2" w:name="PN5"/>
      <w:bookmarkEnd w:id="52"/>
      <w:r>
        <w:rPr>
          <w:rFonts w:ascii="Times New Roman" w:hAnsi="Times New Roman"/>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3" w:name="HDR5"/>
      <w:bookmarkStart w:id="54" w:name="HDR5"/>
      <w:bookmarkEnd w:id="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5" w:name="GLHDR5"/>
      <w:bookmarkEnd w:id="5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NOTE 3:</w:t>
      </w:r>
      <w:r>
        <w:rPr>
          <w:rFonts w:ascii="Times New Roman" w:hAnsi="Times New Roman"/>
          <w:b/>
          <w:sz w:val="20"/>
        </w:rPr>
        <w:t>                 </w:t>
      </w:r>
      <w:r>
        <w:rPr>
          <w:rFonts w:ascii="Times New Roman" w:hAnsi="Times New Roman"/>
          <w:b/>
          <w:sz w:val="20"/>
          <w:u w:val="single"/>
        </w:rPr>
        <w:t>RESEARCH AGREEMENTS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u w:val="single"/>
        </w:rPr>
      </w:pPr>
      <w:r>
        <w:rPr>
          <w:rFonts w:ascii="Times New Roman" w:hAnsi="Times New Roman"/>
          <w:b/>
          <w:i/>
          <w:sz w:val="20"/>
          <w:u w:val="single"/>
        </w:rPr>
        <w:t>Crucell Holland B.V. (“Crucell”) – Research License and Option Agreement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Effective August 7, 2003, Crucell and the Company’s subsidiary GPI entered into a five-year research license and option agreement whereby Crucell granted to GPI a non-exclusive worldwide license for the research use of its adenovirus technology. The Company was required to make certain payments over the five-year term totaling Euro €450,000 (approximately $510,100).</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At December 31, 2008, $243,598 (€172,801) was owing to Crucell under this agreement. During the year ended December 31, 2009, management negotiated a settlement of the outstanding balance requiring a €17,000 cash payment (paid) and the issuance of 265,000 shares of the Company’s common stock.</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addition, retroactively effective August 7, 2008, the Company negotiated an amended license agreement for the use of Crucell’s adenovirus technology. The Company is required to make annual license payments on the anniversary of the effective date for the three year term equal to €75,000 per annum. As at June 30, 2013, the Company had accrued $492,365 (€378,384) under the amended agreement, inclusive of interest on outstanding amounts. The Company is currently delinquent on making its first annual license payment under the amended license agreement. Crucell has the right to cancel the agreement however, to date, the Company has not received any notice terminating the license agreement. Management plans to negotiate an amended payment structure with Crucell that, if successful, would allow the Company to maintain the license agreement in good standing. However, there is no certainty that the license agreement will be maintained or that management will successfully negotiate new terms.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u w:val="single"/>
        </w:rPr>
      </w:pPr>
      <w:r>
        <w:rPr>
          <w:rFonts w:ascii="Times New Roman" w:hAnsi="Times New Roman"/>
          <w:b/>
          <w:i/>
          <w:sz w:val="20"/>
          <w:u w:val="single"/>
        </w:rPr>
        <w:t>Mayo Clinic –License Option Agreement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For details regarding the license option agreement with Mayo Clinic, please refer to Note 11.</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NOTE 4:</w:t>
      </w:r>
      <w:r>
        <w:rPr>
          <w:rFonts w:ascii="Times New Roman" w:hAnsi="Times New Roman"/>
          <w:b/>
          <w:sz w:val="20"/>
        </w:rPr>
        <w:t>                 </w:t>
      </w:r>
      <w:r>
        <w:rPr>
          <w:rFonts w:ascii="Times New Roman" w:hAnsi="Times New Roman"/>
          <w:b/>
          <w:sz w:val="20"/>
          <w:u w:val="single"/>
        </w:rPr>
        <w:t>DERIVATIVE WARRANT AND CONVERSION OPTION LIABILITY AND FAIR VALUE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Company has evaluated the application ASC 480-10 </w:t>
      </w:r>
      <w:r>
        <w:rPr>
          <w:rFonts w:ascii="Times New Roman" w:hAnsi="Times New Roman"/>
          <w:i/>
          <w:sz w:val="20"/>
        </w:rPr>
        <w:t>Distinguishing liabilities from equity</w:t>
      </w:r>
      <w:r>
        <w:rPr>
          <w:rFonts w:ascii="Times New Roman" w:hAnsi="Times New Roman"/>
          <w:sz w:val="20"/>
        </w:rPr>
        <w:t xml:space="preserve">, ASC 815-40 </w:t>
      </w:r>
      <w:r>
        <w:rPr>
          <w:rFonts w:ascii="Times New Roman" w:hAnsi="Times New Roman"/>
          <w:i/>
          <w:sz w:val="20"/>
        </w:rPr>
        <w:t>Contracts in an Entity’s Own Equity</w:t>
      </w:r>
      <w:r>
        <w:rPr>
          <w:rFonts w:ascii="Times New Roman" w:hAnsi="Times New Roman"/>
          <w:sz w:val="20"/>
        </w:rPr>
        <w:t xml:space="preserve"> and ASC 718-10 </w:t>
      </w:r>
      <w:r>
        <w:rPr>
          <w:rFonts w:ascii="Times New Roman" w:hAnsi="Times New Roman"/>
          <w:i/>
          <w:sz w:val="20"/>
        </w:rPr>
        <w:t>Compensation – Stock Compensation</w:t>
      </w:r>
      <w:r>
        <w:rPr>
          <w:rFonts w:ascii="Times New Roman" w:hAnsi="Times New Roman"/>
          <w:sz w:val="20"/>
        </w:rPr>
        <w:t xml:space="preserve"> to the issued and outstanding warrants to purchase common stock that were issued with the convertible notes, private placements, consulting agreements, and various debt settlements during 2009 through 2013. Based on the guidance, management concluded these instruments are required to be accounted for as derivatives either due to a ratchet down protection feature available on the exercise price (Note 5) or a holder’s right to put the warrants back to the Company for cash under certain conditions or a conversion option feature with conversion into variable number of shares. Under ASC 815-40-25, the Company records the fair value of these warrants and conversion options (derivatives) on its balance sheet, at fair value, with changes in the values reflected in the statements of operations as “Changes in fair value of derivative liabilities”. The fair value of the share purchase warrants are recorded on the balance sheet under ‘Derivative liability – warrants’ and the fair value of the conversion options are recorded on the balance sheet under ‘Derivative liability – conversion option’.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ASC 820-10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820-10 also establishes a fair value hierarchy which requires an entity to maximize the use of observable inputs and minimize the use of unobservable inputs when measuring fair value. ASC 820-10 describes three levels of inputs that may be used to measure fair value: Level 1 – Quoted prices in active markets for identical assets or liabilities; Level 2 – Observable inputs other than Level 1 prices, such as quoted prices for similar assets or liabilities; or other inputs that are observable or can be corroborated by observable market data for substantially the full term of the assets or liabilities; and Level 3 – Unobservable inputs that are supported by little or no market activity and that are financial instruments whose values are determined using pricing models, discounted cash flow methodologies, or similar techniques, as well as instruments for which the determination of fair value requires significant judgment or estimation. The Company’s Level 3 liabilities consist of the derivative liabilities associated with the warrants issued with the convertible notes during the year ended December 31, 2011. At December 31, 2012, all of the Company’s derivative liabilities were categorized as Level 3 fair value liabilities. If the inputs used to measure the financial assets and liabilities fall within more than one level described above, the categorization is based on the lowest level input that is significant to the fair value measurement of the instrument.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6" w:name="PGBRK6"/>
      <w:bookmarkStart w:id="57" w:name="PGBRK6"/>
      <w:bookmarkEnd w:id="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8" w:name="FTR6"/>
      <w:bookmarkStart w:id="59" w:name="FTR6"/>
      <w:bookmarkEnd w:id="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0" w:name="GLFTR6"/>
      <w:bookmarkEnd w:id="6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1" w:name="PN6"/>
      <w:bookmarkEnd w:id="61"/>
      <w:r>
        <w:rPr>
          <w:rFonts w:ascii="Times New Roman" w:hAnsi="Times New Roman"/>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2" w:name="HDR6"/>
      <w:bookmarkStart w:id="63" w:name="HDR6"/>
      <w:bookmarkEnd w:id="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4" w:name="GLHDR6"/>
      <w:bookmarkEnd w:id="6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Level 3 Valuation Techniques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Financial liabilities are considered Level 3 when their fair values are determined using pricing models, discounted cash flow methodologies or similar techniques and at least one significant model assumption or input is unobservable. Level 3 financial liabilities consist of the notes and warrants for which there is no current market for these securities such that the determination of fair value requires significant judgment or estimation.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Determining fair value of share purchase warrants and conversion options, given the Company’s stage of development and financial position, is highly subjective and identifying appropriate measurement criteria and models is subject to uncertainty. There are several generally accepted pricing models for warrants and options and derivative provisions. The Company has chosen to value the warrants and conversion option on the notes that contain ratchet down provisions using the Binomial model under the following assumptions:</w:t>
      </w:r>
    </w:p>
    <w:tbl>
      <w:tblPr>
        <w:tblW w:w="5000" w:type="pct"/>
        <w:jc w:val="left"/>
        <w:tblInd w:w="0" w:type="dxa"/>
        <w:tblCellMar>
          <w:top w:w="0" w:type="dxa"/>
          <w:left w:w="0" w:type="dxa"/>
          <w:bottom w:w="28" w:type="dxa"/>
          <w:right w:w="0" w:type="dxa"/>
        </w:tblCellMar>
      </w:tblPr>
      <w:tblGrid>
        <w:gridCol w:w="2282"/>
        <w:gridCol w:w="1081"/>
        <w:gridCol w:w="960"/>
        <w:gridCol w:w="960"/>
        <w:gridCol w:w="1081"/>
        <w:gridCol w:w="960"/>
        <w:gridCol w:w="960"/>
        <w:gridCol w:w="960"/>
        <w:gridCol w:w="961"/>
      </w:tblGrid>
      <w:tr>
        <w:trPr/>
        <w:tc>
          <w:tcPr>
            <w:tcW w:w="2282" w:type="dxa"/>
            <w:tcBorders>
              <w:bottom w:val="single" w:sz="12" w:space="0" w:color="000000"/>
            </w:tcBorders>
            <w:shd w:fill="auto" w:val="clear"/>
          </w:tcPr>
          <w:p>
            <w:pPr>
              <w:pStyle w:val="TableContents"/>
              <w:spacing w:before="0" w:after="283"/>
              <w:rPr/>
            </w:pPr>
            <w:r>
              <w:rPr/>
              <w:t xml:space="preserve">  </w:t>
            </w:r>
          </w:p>
        </w:tc>
        <w:tc>
          <w:tcPr>
            <w:tcW w:w="4082" w:type="dxa"/>
            <w:gridSpan w:val="4"/>
            <w:tcBorders>
              <w:bottom w:val="single" w:sz="12"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December 31, 2012</w:t>
            </w:r>
          </w:p>
        </w:tc>
        <w:tc>
          <w:tcPr>
            <w:tcW w:w="3841" w:type="dxa"/>
            <w:gridSpan w:val="4"/>
            <w:tcBorders>
              <w:bottom w:val="single" w:sz="12"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June 30, 2013</w:t>
            </w:r>
          </w:p>
        </w:tc>
      </w:tr>
      <w:tr>
        <w:trPr/>
        <w:tc>
          <w:tcPr>
            <w:tcW w:w="2282" w:type="dxa"/>
            <w:tcBorders>
              <w:bottom w:val="double" w:sz="8" w:space="0" w:color="000000"/>
            </w:tcBorders>
            <w:shd w:fill="auto" w:val="clear"/>
          </w:tcPr>
          <w:p>
            <w:pPr>
              <w:pStyle w:val="TableContents"/>
              <w:spacing w:before="0" w:after="283"/>
              <w:rPr/>
            </w:pPr>
            <w:r>
              <w:rPr/>
              <w:t xml:space="preserve">  </w:t>
            </w:r>
          </w:p>
        </w:tc>
        <w:tc>
          <w:tcPr>
            <w:tcW w:w="1081" w:type="dxa"/>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Expected Life (Years)</w:t>
            </w:r>
          </w:p>
        </w:tc>
        <w:tc>
          <w:tcPr>
            <w:tcW w:w="960" w:type="dxa"/>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Risk free Rate</w:t>
            </w:r>
          </w:p>
        </w:tc>
        <w:tc>
          <w:tcPr>
            <w:tcW w:w="960" w:type="dxa"/>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Dividend yield</w:t>
            </w:r>
          </w:p>
        </w:tc>
        <w:tc>
          <w:tcPr>
            <w:tcW w:w="1081" w:type="dxa"/>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Volatility</w:t>
            </w:r>
          </w:p>
        </w:tc>
        <w:tc>
          <w:tcPr>
            <w:tcW w:w="960" w:type="dxa"/>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Expected Life (Years)</w:t>
            </w:r>
          </w:p>
        </w:tc>
        <w:tc>
          <w:tcPr>
            <w:tcW w:w="960" w:type="dxa"/>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Risk free Rate</w:t>
            </w:r>
          </w:p>
        </w:tc>
        <w:tc>
          <w:tcPr>
            <w:tcW w:w="960" w:type="dxa"/>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Dividend yield</w:t>
            </w:r>
          </w:p>
        </w:tc>
        <w:tc>
          <w:tcPr>
            <w:tcW w:w="961" w:type="dxa"/>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Volatility</w:t>
            </w:r>
          </w:p>
        </w:tc>
      </w:tr>
      <w:tr>
        <w:trPr/>
        <w:tc>
          <w:tcPr>
            <w:tcW w:w="2282" w:type="dxa"/>
            <w:tcBorders>
              <w:bottom w:val="double" w:sz="8" w:space="0" w:color="000000"/>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Share purchase warrants</w:t>
            </w:r>
          </w:p>
        </w:tc>
        <w:tc>
          <w:tcPr>
            <w:tcW w:w="1081" w:type="dxa"/>
            <w:tcBorders>
              <w:bottom w:val="double" w:sz="8"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0.08 to 3.78</w:t>
            </w:r>
          </w:p>
        </w:tc>
        <w:tc>
          <w:tcPr>
            <w:tcW w:w="960" w:type="dxa"/>
            <w:tcBorders>
              <w:bottom w:val="double" w:sz="8"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0.02% to 0.36%</w:t>
            </w:r>
          </w:p>
        </w:tc>
        <w:tc>
          <w:tcPr>
            <w:tcW w:w="960" w:type="dxa"/>
            <w:tcBorders>
              <w:bottom w:val="double" w:sz="8"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0.00%</w:t>
            </w:r>
          </w:p>
        </w:tc>
        <w:tc>
          <w:tcPr>
            <w:tcW w:w="1081" w:type="dxa"/>
            <w:tcBorders>
              <w:bottom w:val="double" w:sz="8"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199%</w:t>
            </w:r>
          </w:p>
        </w:tc>
        <w:tc>
          <w:tcPr>
            <w:tcW w:w="960" w:type="dxa"/>
            <w:tcBorders>
              <w:bottom w:val="double" w:sz="8"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1.42 to 4.00</w:t>
            </w:r>
          </w:p>
        </w:tc>
        <w:tc>
          <w:tcPr>
            <w:tcW w:w="960" w:type="dxa"/>
            <w:tcBorders>
              <w:bottom w:val="double" w:sz="8"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0.15% to 0.66%</w:t>
            </w:r>
          </w:p>
        </w:tc>
        <w:tc>
          <w:tcPr>
            <w:tcW w:w="960" w:type="dxa"/>
            <w:tcBorders>
              <w:bottom w:val="double" w:sz="8"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0.00%</w:t>
            </w:r>
          </w:p>
        </w:tc>
        <w:tc>
          <w:tcPr>
            <w:tcW w:w="961" w:type="dxa"/>
            <w:tcBorders>
              <w:bottom w:val="double" w:sz="8"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161.6% to199%</w:t>
            </w:r>
          </w:p>
        </w:tc>
      </w:tr>
    </w:tbl>
    <w:p>
      <w:pPr>
        <w:pStyle w:val="TextBody"/>
        <w:spacing w:before="0" w:after="0"/>
        <w:ind w:left="0" w:right="0" w:hanging="0"/>
        <w:jc w:val="both"/>
        <w:rPr/>
      </w:pPr>
      <w:r>
        <w:rPr/>
        <w:t> </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1867"/>
        <w:gridCol w:w="996"/>
        <w:gridCol w:w="995"/>
        <w:gridCol w:w="995"/>
        <w:gridCol w:w="1245"/>
        <w:gridCol w:w="995"/>
        <w:gridCol w:w="996"/>
        <w:gridCol w:w="995"/>
        <w:gridCol w:w="1121"/>
      </w:tblGrid>
      <w:tr>
        <w:trPr/>
        <w:tc>
          <w:tcPr>
            <w:tcW w:w="1867" w:type="dxa"/>
            <w:tcBorders>
              <w:bottom w:val="single" w:sz="12" w:space="0" w:color="000000"/>
            </w:tcBorders>
            <w:shd w:fill="auto" w:val="clear"/>
          </w:tcPr>
          <w:p>
            <w:pPr>
              <w:pStyle w:val="TableContents"/>
              <w:spacing w:before="0" w:after="283"/>
              <w:rPr/>
            </w:pPr>
            <w:r>
              <w:rPr/>
              <w:t xml:space="preserve">  </w:t>
            </w:r>
          </w:p>
        </w:tc>
        <w:tc>
          <w:tcPr>
            <w:tcW w:w="4231" w:type="dxa"/>
            <w:gridSpan w:val="4"/>
            <w:tcBorders>
              <w:bottom w:val="single" w:sz="12"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December 31, 2012</w:t>
            </w:r>
          </w:p>
        </w:tc>
        <w:tc>
          <w:tcPr>
            <w:tcW w:w="4107" w:type="dxa"/>
            <w:gridSpan w:val="4"/>
            <w:tcBorders>
              <w:bottom w:val="single" w:sz="12"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June 30, 2013</w:t>
            </w:r>
          </w:p>
        </w:tc>
      </w:tr>
      <w:tr>
        <w:trPr/>
        <w:tc>
          <w:tcPr>
            <w:tcW w:w="1867" w:type="dxa"/>
            <w:tcBorders>
              <w:bottom w:val="double" w:sz="8" w:space="0" w:color="000000"/>
            </w:tcBorders>
            <w:shd w:fill="auto" w:val="clear"/>
          </w:tcPr>
          <w:p>
            <w:pPr>
              <w:pStyle w:val="TableContents"/>
              <w:spacing w:before="0" w:after="283"/>
              <w:rPr/>
            </w:pPr>
            <w:r>
              <w:rPr/>
              <w:t xml:space="preserve">  </w:t>
            </w:r>
          </w:p>
        </w:tc>
        <w:tc>
          <w:tcPr>
            <w:tcW w:w="996" w:type="dxa"/>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Expected Life (Years)</w:t>
            </w:r>
          </w:p>
        </w:tc>
        <w:tc>
          <w:tcPr>
            <w:tcW w:w="995" w:type="dxa"/>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Risk free Rate</w:t>
            </w:r>
          </w:p>
        </w:tc>
        <w:tc>
          <w:tcPr>
            <w:tcW w:w="995" w:type="dxa"/>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Dividend yield</w:t>
            </w:r>
          </w:p>
        </w:tc>
        <w:tc>
          <w:tcPr>
            <w:tcW w:w="1245" w:type="dxa"/>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Volatility</w:t>
            </w:r>
          </w:p>
        </w:tc>
        <w:tc>
          <w:tcPr>
            <w:tcW w:w="995" w:type="dxa"/>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Expected Life (Years)</w:t>
            </w:r>
          </w:p>
        </w:tc>
        <w:tc>
          <w:tcPr>
            <w:tcW w:w="996" w:type="dxa"/>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Risk free Rate</w:t>
            </w:r>
          </w:p>
        </w:tc>
        <w:tc>
          <w:tcPr>
            <w:tcW w:w="995" w:type="dxa"/>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Dividend yield</w:t>
            </w:r>
          </w:p>
        </w:tc>
        <w:tc>
          <w:tcPr>
            <w:tcW w:w="1121" w:type="dxa"/>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Volatility</w:t>
            </w:r>
          </w:p>
        </w:tc>
      </w:tr>
      <w:tr>
        <w:trPr/>
        <w:tc>
          <w:tcPr>
            <w:tcW w:w="1867" w:type="dxa"/>
            <w:tcBorders>
              <w:bottom w:val="double" w:sz="8" w:space="0" w:color="000000"/>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Conversion Option</w:t>
            </w:r>
          </w:p>
        </w:tc>
        <w:tc>
          <w:tcPr>
            <w:tcW w:w="996" w:type="dxa"/>
            <w:tcBorders>
              <w:bottom w:val="double" w:sz="8"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0.003 to 0.89</w:t>
            </w:r>
          </w:p>
        </w:tc>
        <w:tc>
          <w:tcPr>
            <w:tcW w:w="995" w:type="dxa"/>
            <w:tcBorders>
              <w:bottom w:val="double" w:sz="8"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0.05% to 0.19%</w:t>
            </w:r>
          </w:p>
        </w:tc>
        <w:tc>
          <w:tcPr>
            <w:tcW w:w="995" w:type="dxa"/>
            <w:tcBorders>
              <w:bottom w:val="double" w:sz="8"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0.00%</w:t>
            </w:r>
          </w:p>
        </w:tc>
        <w:tc>
          <w:tcPr>
            <w:tcW w:w="1245" w:type="dxa"/>
            <w:tcBorders>
              <w:bottom w:val="double" w:sz="8"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100.88% to 141.21%</w:t>
            </w:r>
          </w:p>
        </w:tc>
        <w:tc>
          <w:tcPr>
            <w:tcW w:w="995" w:type="dxa"/>
            <w:tcBorders>
              <w:bottom w:val="double" w:sz="8"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0.26 to 0.99</w:t>
            </w:r>
          </w:p>
        </w:tc>
        <w:tc>
          <w:tcPr>
            <w:tcW w:w="996" w:type="dxa"/>
            <w:tcBorders>
              <w:bottom w:val="double" w:sz="8"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0.04% to 0.15%</w:t>
            </w:r>
          </w:p>
        </w:tc>
        <w:tc>
          <w:tcPr>
            <w:tcW w:w="995" w:type="dxa"/>
            <w:tcBorders>
              <w:bottom w:val="double" w:sz="8"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0.00%</w:t>
            </w:r>
          </w:p>
        </w:tc>
        <w:tc>
          <w:tcPr>
            <w:tcW w:w="1121" w:type="dxa"/>
            <w:tcBorders>
              <w:bottom w:val="double" w:sz="8"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108% to 156.41%</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foregoing assumptions are reviewed quarterly and are subject to change based primarily on management’s assessment of the probability of the events described occurring. Accordingly, changes to these assessments could materially affect the valuations.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Financial Assets and Liabilities Measured at Fair Value on a Recurring Basis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Financial assets and liabilities measured at fair value on a recurring basis are summarized below and disclosed on the balance sheet under Derivative liability – warrants and Derivative liability – conversion option:</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3404"/>
        <w:gridCol w:w="107"/>
        <w:gridCol w:w="152"/>
        <w:gridCol w:w="1077"/>
        <w:gridCol w:w="107"/>
        <w:gridCol w:w="107"/>
        <w:gridCol w:w="214"/>
        <w:gridCol w:w="795"/>
        <w:gridCol w:w="107"/>
        <w:gridCol w:w="107"/>
        <w:gridCol w:w="214"/>
        <w:gridCol w:w="795"/>
        <w:gridCol w:w="107"/>
        <w:gridCol w:w="107"/>
        <w:gridCol w:w="152"/>
        <w:gridCol w:w="1077"/>
        <w:gridCol w:w="107"/>
        <w:gridCol w:w="107"/>
        <w:gridCol w:w="152"/>
        <w:gridCol w:w="1077"/>
        <w:gridCol w:w="133"/>
      </w:tblGrid>
      <w:tr>
        <w:trPr/>
        <w:tc>
          <w:tcPr>
            <w:tcW w:w="3404" w:type="dxa"/>
            <w:tcBorders/>
            <w:shd w:fill="auto" w:val="clear"/>
            <w:vAlign w:val="bottom"/>
          </w:tcPr>
          <w:p>
            <w:pPr>
              <w:pStyle w:val="TableContents"/>
              <w:spacing w:before="0" w:after="283"/>
              <w:rPr/>
            </w:pPr>
            <w:r>
              <w:rPr/>
              <w:t xml:space="preserve">  </w:t>
            </w:r>
          </w:p>
        </w:tc>
        <w:tc>
          <w:tcPr>
            <w:tcW w:w="107" w:type="dxa"/>
            <w:tcBorders/>
            <w:shd w:fill="auto" w:val="clear"/>
            <w:vAlign w:val="bottom"/>
          </w:tcPr>
          <w:p>
            <w:pPr>
              <w:pStyle w:val="TableContents"/>
              <w:spacing w:before="0" w:after="283"/>
              <w:jc w:val="left"/>
              <w:rPr/>
            </w:pPr>
            <w:r>
              <w:rPr/>
              <w:t> </w:t>
            </w:r>
          </w:p>
        </w:tc>
        <w:tc>
          <w:tcPr>
            <w:tcW w:w="6561" w:type="dxa"/>
            <w:gridSpan w:val="18"/>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As of June 30, 2013</w:t>
            </w:r>
          </w:p>
        </w:tc>
        <w:tc>
          <w:tcPr>
            <w:tcW w:w="133" w:type="dxa"/>
            <w:tcBorders/>
            <w:shd w:fill="auto" w:val="clear"/>
            <w:vAlign w:val="bottom"/>
          </w:tcPr>
          <w:p>
            <w:pPr>
              <w:pStyle w:val="TableContents"/>
              <w:spacing w:before="0" w:after="283"/>
              <w:jc w:val="left"/>
              <w:rPr/>
            </w:pPr>
            <w:r>
              <w:rPr/>
              <w:t> </w:t>
            </w:r>
          </w:p>
        </w:tc>
      </w:tr>
      <w:tr>
        <w:trPr/>
        <w:tc>
          <w:tcPr>
            <w:tcW w:w="3404" w:type="dxa"/>
            <w:tcBorders/>
            <w:shd w:fill="auto" w:val="clear"/>
            <w:vAlign w:val="bottom"/>
          </w:tcPr>
          <w:p>
            <w:pPr>
              <w:pStyle w:val="TableContents"/>
              <w:spacing w:before="0" w:after="283"/>
              <w:rPr/>
            </w:pPr>
            <w:r>
              <w:rPr/>
              <w:t xml:space="preserve">  </w:t>
            </w:r>
          </w:p>
        </w:tc>
        <w:tc>
          <w:tcPr>
            <w:tcW w:w="107" w:type="dxa"/>
            <w:tcBorders/>
            <w:shd w:fill="auto" w:val="clear"/>
            <w:vAlign w:val="bottom"/>
          </w:tcPr>
          <w:p>
            <w:pPr>
              <w:pStyle w:val="TableContents"/>
              <w:spacing w:before="0" w:after="283"/>
              <w:rPr/>
            </w:pPr>
            <w:r>
              <w:rPr/>
              <w:t> </w:t>
            </w:r>
          </w:p>
        </w:tc>
        <w:tc>
          <w:tcPr>
            <w:tcW w:w="1229" w:type="dxa"/>
            <w:gridSpan w:val="2"/>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3675" w:type="dxa"/>
            <w:gridSpan w:val="1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Fair Value Measurements</w:t>
            </w:r>
          </w:p>
        </w:tc>
        <w:tc>
          <w:tcPr>
            <w:tcW w:w="107"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229" w:type="dxa"/>
            <w:gridSpan w:val="2"/>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jc w:val="left"/>
              <w:rPr/>
            </w:pPr>
            <w:r>
              <w:rPr/>
              <w:t> </w:t>
            </w:r>
          </w:p>
        </w:tc>
      </w:tr>
      <w:tr>
        <w:trPr/>
        <w:tc>
          <w:tcPr>
            <w:tcW w:w="3404" w:type="dxa"/>
            <w:tcBorders/>
            <w:shd w:fill="auto" w:val="clear"/>
            <w:vAlign w:val="bottom"/>
          </w:tcPr>
          <w:p>
            <w:pPr>
              <w:pStyle w:val="TableContents"/>
              <w:spacing w:before="0" w:after="283"/>
              <w:rPr/>
            </w:pPr>
            <w:r>
              <w:rPr/>
              <w:t xml:space="preserve">  </w:t>
            </w:r>
          </w:p>
        </w:tc>
        <w:tc>
          <w:tcPr>
            <w:tcW w:w="107" w:type="dxa"/>
            <w:tcBorders/>
            <w:shd w:fill="auto" w:val="clear"/>
            <w:vAlign w:val="bottom"/>
          </w:tcPr>
          <w:p>
            <w:pPr>
              <w:pStyle w:val="TableContents"/>
              <w:spacing w:before="0" w:after="283"/>
              <w:rPr/>
            </w:pPr>
            <w:r>
              <w:rPr/>
              <w:t> </w:t>
            </w:r>
          </w:p>
        </w:tc>
        <w:tc>
          <w:tcPr>
            <w:tcW w:w="1229"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Carrying Value</w:t>
            </w:r>
          </w:p>
        </w:tc>
        <w:tc>
          <w:tcPr>
            <w:tcW w:w="107"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009"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Level 1</w:t>
            </w:r>
          </w:p>
        </w:tc>
        <w:tc>
          <w:tcPr>
            <w:tcW w:w="107"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009"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Level 2</w:t>
            </w:r>
          </w:p>
        </w:tc>
        <w:tc>
          <w:tcPr>
            <w:tcW w:w="107"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229"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Level 3</w:t>
            </w:r>
          </w:p>
        </w:tc>
        <w:tc>
          <w:tcPr>
            <w:tcW w:w="107"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229"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133" w:type="dxa"/>
            <w:tcBorders/>
            <w:shd w:fill="auto" w:val="clear"/>
            <w:vAlign w:val="bottom"/>
          </w:tcPr>
          <w:p>
            <w:pPr>
              <w:pStyle w:val="TableContents"/>
              <w:spacing w:before="0" w:after="283"/>
              <w:jc w:val="left"/>
              <w:rPr/>
            </w:pPr>
            <w:r>
              <w:rPr/>
              <w:t> </w:t>
            </w:r>
          </w:p>
        </w:tc>
      </w:tr>
      <w:tr>
        <w:trPr/>
        <w:tc>
          <w:tcPr>
            <w:tcW w:w="3404"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Derivative liability - warrants</w:t>
            </w:r>
          </w:p>
        </w:tc>
        <w:tc>
          <w:tcPr>
            <w:tcW w:w="107" w:type="dxa"/>
            <w:tcBorders/>
            <w:shd w:fill="auto" w:val="clear"/>
            <w:vAlign w:val="bottom"/>
          </w:tcPr>
          <w:p>
            <w:pPr>
              <w:pStyle w:val="TableContents"/>
              <w:spacing w:before="0" w:after="283"/>
              <w:jc w:val="right"/>
              <w:rPr/>
            </w:pPr>
            <w:r>
              <w:rPr/>
              <w:t> </w:t>
            </w:r>
          </w:p>
        </w:tc>
        <w:tc>
          <w:tcPr>
            <w:tcW w:w="15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152,772</w:t>
            </w:r>
          </w:p>
        </w:tc>
        <w:tc>
          <w:tcPr>
            <w:tcW w:w="107"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jc w:val="right"/>
              <w:rPr/>
            </w:pPr>
            <w:r>
              <w:rPr/>
              <w:t> </w:t>
            </w:r>
          </w:p>
        </w:tc>
        <w:tc>
          <w:tcPr>
            <w:tcW w:w="214" w:type="dxa"/>
            <w:tcBorders/>
            <w:shd w:fill="auto" w:val="clear"/>
            <w:vAlign w:val="bottom"/>
          </w:tcPr>
          <w:p>
            <w:pPr>
              <w:pStyle w:val="TableContents"/>
              <w:spacing w:before="0" w:after="283"/>
              <w:jc w:val="left"/>
              <w:rPr/>
            </w:pPr>
            <w:r>
              <w:rPr/>
              <w:t> </w:t>
            </w:r>
          </w:p>
        </w:tc>
        <w:tc>
          <w:tcPr>
            <w:tcW w:w="7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7"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jc w:val="right"/>
              <w:rPr/>
            </w:pPr>
            <w:r>
              <w:rPr/>
              <w:t> </w:t>
            </w:r>
          </w:p>
        </w:tc>
        <w:tc>
          <w:tcPr>
            <w:tcW w:w="214" w:type="dxa"/>
            <w:tcBorders/>
            <w:shd w:fill="auto" w:val="clear"/>
            <w:vAlign w:val="bottom"/>
          </w:tcPr>
          <w:p>
            <w:pPr>
              <w:pStyle w:val="TableContents"/>
              <w:spacing w:before="0" w:after="283"/>
              <w:jc w:val="left"/>
              <w:rPr/>
            </w:pPr>
            <w:r>
              <w:rPr/>
              <w:t> </w:t>
            </w:r>
          </w:p>
        </w:tc>
        <w:tc>
          <w:tcPr>
            <w:tcW w:w="7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7"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jc w:val="right"/>
              <w:rPr/>
            </w:pPr>
            <w:r>
              <w:rPr/>
              <w:t> </w:t>
            </w:r>
          </w:p>
        </w:tc>
        <w:tc>
          <w:tcPr>
            <w:tcW w:w="15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152,772</w:t>
            </w:r>
          </w:p>
        </w:tc>
        <w:tc>
          <w:tcPr>
            <w:tcW w:w="107"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jc w:val="right"/>
              <w:rPr/>
            </w:pPr>
            <w:r>
              <w:rPr/>
              <w:t> </w:t>
            </w:r>
          </w:p>
        </w:tc>
        <w:tc>
          <w:tcPr>
            <w:tcW w:w="15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152,772</w:t>
            </w:r>
          </w:p>
        </w:tc>
        <w:tc>
          <w:tcPr>
            <w:tcW w:w="133" w:type="dxa"/>
            <w:tcBorders/>
            <w:shd w:fill="auto" w:val="clear"/>
            <w:vAlign w:val="bottom"/>
          </w:tcPr>
          <w:p>
            <w:pPr>
              <w:pStyle w:val="TableContents"/>
              <w:spacing w:before="0" w:after="283"/>
              <w:jc w:val="left"/>
              <w:rPr/>
            </w:pPr>
            <w:r>
              <w:rPr/>
              <w:t> </w:t>
            </w:r>
          </w:p>
        </w:tc>
      </w:tr>
      <w:tr>
        <w:trPr/>
        <w:tc>
          <w:tcPr>
            <w:tcW w:w="3404" w:type="dxa"/>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Derivative liability – conversion option</w:t>
            </w:r>
          </w:p>
        </w:tc>
        <w:tc>
          <w:tcPr>
            <w:tcW w:w="107" w:type="dxa"/>
            <w:tcBorders/>
            <w:shd w:fill="auto" w:val="clear"/>
            <w:vAlign w:val="bottom"/>
          </w:tcPr>
          <w:p>
            <w:pPr>
              <w:pStyle w:val="TableContents"/>
              <w:spacing w:before="0" w:after="283"/>
              <w:jc w:val="right"/>
              <w:rPr/>
            </w:pPr>
            <w:r>
              <w:rPr/>
              <w:t> </w:t>
            </w:r>
          </w:p>
        </w:tc>
        <w:tc>
          <w:tcPr>
            <w:tcW w:w="152"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127,100</w:t>
            </w:r>
          </w:p>
        </w:tc>
        <w:tc>
          <w:tcPr>
            <w:tcW w:w="107"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jc w:val="right"/>
              <w:rPr/>
            </w:pPr>
            <w:r>
              <w:rPr/>
              <w:t> </w:t>
            </w:r>
          </w:p>
        </w:tc>
        <w:tc>
          <w:tcPr>
            <w:tcW w:w="21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95"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7"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jc w:val="right"/>
              <w:rPr/>
            </w:pPr>
            <w:r>
              <w:rPr/>
              <w:t> </w:t>
            </w:r>
          </w:p>
        </w:tc>
        <w:tc>
          <w:tcPr>
            <w:tcW w:w="21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95"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7"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jc w:val="right"/>
              <w:rPr/>
            </w:pPr>
            <w:r>
              <w:rPr/>
              <w:t> </w:t>
            </w:r>
          </w:p>
        </w:tc>
        <w:tc>
          <w:tcPr>
            <w:tcW w:w="152"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127,100</w:t>
            </w:r>
          </w:p>
        </w:tc>
        <w:tc>
          <w:tcPr>
            <w:tcW w:w="107"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jc w:val="right"/>
              <w:rPr/>
            </w:pPr>
            <w:r>
              <w:rPr/>
              <w:t> </w:t>
            </w:r>
          </w:p>
        </w:tc>
        <w:tc>
          <w:tcPr>
            <w:tcW w:w="152"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127,100</w:t>
            </w:r>
          </w:p>
        </w:tc>
        <w:tc>
          <w:tcPr>
            <w:tcW w:w="133" w:type="dxa"/>
            <w:tcBorders/>
            <w:shd w:fill="auto" w:val="clear"/>
            <w:vAlign w:val="bottom"/>
          </w:tcPr>
          <w:p>
            <w:pPr>
              <w:pStyle w:val="TableContents"/>
              <w:spacing w:before="0" w:after="283"/>
              <w:jc w:val="left"/>
              <w:rPr/>
            </w:pPr>
            <w:r>
              <w:rPr/>
              <w:t> </w:t>
            </w:r>
          </w:p>
        </w:tc>
      </w:tr>
      <w:tr>
        <w:trPr/>
        <w:tc>
          <w:tcPr>
            <w:tcW w:w="3404"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w:t>
            </w:r>
          </w:p>
        </w:tc>
        <w:tc>
          <w:tcPr>
            <w:tcW w:w="107" w:type="dxa"/>
            <w:tcBorders/>
            <w:shd w:fill="auto" w:val="clear"/>
            <w:vAlign w:val="bottom"/>
          </w:tcPr>
          <w:p>
            <w:pPr>
              <w:pStyle w:val="TableContents"/>
              <w:spacing w:before="0" w:after="283"/>
              <w:jc w:val="right"/>
              <w:rPr/>
            </w:pPr>
            <w:r>
              <w:rPr/>
              <w:t> </w:t>
            </w:r>
          </w:p>
        </w:tc>
        <w:tc>
          <w:tcPr>
            <w:tcW w:w="152"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7"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279,872</w:t>
            </w:r>
          </w:p>
        </w:tc>
        <w:tc>
          <w:tcPr>
            <w:tcW w:w="107"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jc w:val="right"/>
              <w:rPr/>
            </w:pPr>
            <w:r>
              <w:rPr/>
              <w:t> </w:t>
            </w:r>
          </w:p>
        </w:tc>
        <w:tc>
          <w:tcPr>
            <w:tcW w:w="214"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795"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7"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jc w:val="right"/>
              <w:rPr/>
            </w:pPr>
            <w:r>
              <w:rPr/>
              <w:t> </w:t>
            </w:r>
          </w:p>
        </w:tc>
        <w:tc>
          <w:tcPr>
            <w:tcW w:w="214"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795"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7"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jc w:val="right"/>
              <w:rPr/>
            </w:pPr>
            <w:r>
              <w:rPr/>
              <w:t> </w:t>
            </w:r>
          </w:p>
        </w:tc>
        <w:tc>
          <w:tcPr>
            <w:tcW w:w="152"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7"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279,872</w:t>
            </w:r>
          </w:p>
        </w:tc>
        <w:tc>
          <w:tcPr>
            <w:tcW w:w="107"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jc w:val="right"/>
              <w:rPr/>
            </w:pPr>
            <w:r>
              <w:rPr/>
              <w:t> </w:t>
            </w:r>
          </w:p>
        </w:tc>
        <w:tc>
          <w:tcPr>
            <w:tcW w:w="152"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7"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279,872</w:t>
            </w:r>
          </w:p>
        </w:tc>
        <w:tc>
          <w:tcPr>
            <w:tcW w:w="133" w:type="dxa"/>
            <w:tcBorders/>
            <w:shd w:fill="auto" w:val="clear"/>
            <w:vAlign w:val="bottom"/>
          </w:tcPr>
          <w:p>
            <w:pPr>
              <w:pStyle w:val="TableContents"/>
              <w:spacing w:before="0" w:after="283"/>
              <w:jc w:val="left"/>
              <w:rPr/>
            </w:pPr>
            <w:r>
              <w:rPr/>
              <w:t> </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3221"/>
        <w:gridCol w:w="104"/>
        <w:gridCol w:w="151"/>
        <w:gridCol w:w="1157"/>
        <w:gridCol w:w="104"/>
        <w:gridCol w:w="104"/>
        <w:gridCol w:w="215"/>
        <w:gridCol w:w="754"/>
        <w:gridCol w:w="104"/>
        <w:gridCol w:w="104"/>
        <w:gridCol w:w="214"/>
        <w:gridCol w:w="754"/>
        <w:gridCol w:w="104"/>
        <w:gridCol w:w="104"/>
        <w:gridCol w:w="151"/>
        <w:gridCol w:w="1157"/>
        <w:gridCol w:w="104"/>
        <w:gridCol w:w="104"/>
        <w:gridCol w:w="151"/>
        <w:gridCol w:w="1157"/>
        <w:gridCol w:w="104"/>
        <w:gridCol w:w="83"/>
      </w:tblGrid>
      <w:tr>
        <w:trPr/>
        <w:tc>
          <w:tcPr>
            <w:tcW w:w="3221"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6693" w:type="dxa"/>
            <w:gridSpan w:val="18"/>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As of December 31, 2012</w:t>
            </w:r>
          </w:p>
        </w:tc>
        <w:tc>
          <w:tcPr>
            <w:tcW w:w="104" w:type="dxa"/>
            <w:tcBorders/>
            <w:shd w:fill="auto" w:val="clear"/>
            <w:vAlign w:val="bottom"/>
          </w:tcPr>
          <w:p>
            <w:pPr>
              <w:pStyle w:val="TableContents"/>
              <w:spacing w:before="0" w:after="283"/>
              <w:jc w:val="left"/>
              <w:rPr/>
            </w:pPr>
            <w:r>
              <w:rPr/>
              <w:t> </w:t>
            </w:r>
          </w:p>
        </w:tc>
        <w:tc>
          <w:tcPr>
            <w:tcW w:w="83" w:type="dxa"/>
            <w:tcBorders/>
            <w:shd w:fill="auto" w:val="clear"/>
            <w:vAlign w:val="bottom"/>
          </w:tcPr>
          <w:p>
            <w:pPr>
              <w:pStyle w:val="TableContents"/>
              <w:spacing w:before="0" w:after="283"/>
              <w:rPr/>
            </w:pPr>
            <w:r>
              <w:rPr/>
              <w:t xml:space="preserve">  </w:t>
            </w:r>
          </w:p>
        </w:tc>
      </w:tr>
      <w:tr>
        <w:trPr/>
        <w:tc>
          <w:tcPr>
            <w:tcW w:w="3221"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308"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3661" w:type="dxa"/>
            <w:gridSpan w:val="1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Fair Value Measurements Using</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495" w:type="dxa"/>
            <w:gridSpan w:val="4"/>
            <w:tcBorders/>
            <w:shd w:fill="auto" w:val="clear"/>
            <w:vAlign w:val="bottom"/>
          </w:tcPr>
          <w:p>
            <w:pPr>
              <w:pStyle w:val="TableContents"/>
              <w:spacing w:before="0" w:after="283"/>
              <w:rPr/>
            </w:pPr>
            <w:r>
              <w:rPr/>
              <w:t> </w:t>
            </w:r>
          </w:p>
        </w:tc>
      </w:tr>
      <w:tr>
        <w:trPr/>
        <w:tc>
          <w:tcPr>
            <w:tcW w:w="3221"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308"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Carrying Value</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969"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Level 1</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968"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Level 2</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308"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Level 3</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495" w:type="dxa"/>
            <w:gridSpan w:val="4"/>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r>
      <w:tr>
        <w:trPr/>
        <w:tc>
          <w:tcPr>
            <w:tcW w:w="3221"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Derivative liability - warrants</w:t>
            </w:r>
          </w:p>
        </w:tc>
        <w:tc>
          <w:tcPr>
            <w:tcW w:w="104" w:type="dxa"/>
            <w:tcBorders/>
            <w:shd w:fill="auto" w:val="clear"/>
            <w:vAlign w:val="bottom"/>
          </w:tcPr>
          <w:p>
            <w:pPr>
              <w:pStyle w:val="TableContents"/>
              <w:spacing w:before="0" w:after="283"/>
              <w:jc w:val="right"/>
              <w:rPr/>
            </w:pPr>
            <w:r>
              <w:rPr/>
              <w:t> </w:t>
            </w:r>
          </w:p>
        </w:tc>
        <w:tc>
          <w:tcPr>
            <w:tcW w:w="15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977,086</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215" w:type="dxa"/>
            <w:tcBorders/>
            <w:shd w:fill="auto" w:val="clear"/>
            <w:vAlign w:val="bottom"/>
          </w:tcPr>
          <w:p>
            <w:pPr>
              <w:pStyle w:val="TableContents"/>
              <w:spacing w:before="0" w:after="283"/>
              <w:jc w:val="left"/>
              <w:rPr/>
            </w:pPr>
            <w:r>
              <w:rPr/>
              <w:t> </w:t>
            </w:r>
          </w:p>
        </w:tc>
        <w:tc>
          <w:tcPr>
            <w:tcW w:w="7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214" w:type="dxa"/>
            <w:tcBorders/>
            <w:shd w:fill="auto" w:val="clear"/>
            <w:vAlign w:val="bottom"/>
          </w:tcPr>
          <w:p>
            <w:pPr>
              <w:pStyle w:val="TableContents"/>
              <w:spacing w:before="0" w:after="283"/>
              <w:jc w:val="left"/>
              <w:rPr/>
            </w:pPr>
            <w:r>
              <w:rPr/>
              <w:t> </w:t>
            </w:r>
          </w:p>
        </w:tc>
        <w:tc>
          <w:tcPr>
            <w:tcW w:w="7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5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977,086</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5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977,086</w:t>
            </w:r>
          </w:p>
        </w:tc>
        <w:tc>
          <w:tcPr>
            <w:tcW w:w="104" w:type="dxa"/>
            <w:tcBorders/>
            <w:shd w:fill="auto" w:val="clear"/>
            <w:vAlign w:val="bottom"/>
          </w:tcPr>
          <w:p>
            <w:pPr>
              <w:pStyle w:val="TableContents"/>
              <w:spacing w:before="0" w:after="283"/>
              <w:jc w:val="left"/>
              <w:rPr/>
            </w:pPr>
            <w:r>
              <w:rPr/>
              <w:t> </w:t>
            </w:r>
          </w:p>
        </w:tc>
        <w:tc>
          <w:tcPr>
            <w:tcW w:w="83" w:type="dxa"/>
            <w:tcBorders/>
            <w:shd w:fill="auto" w:val="clear"/>
          </w:tcPr>
          <w:p>
            <w:pPr>
              <w:pStyle w:val="TableContents"/>
              <w:spacing w:before="0" w:after="283"/>
              <w:rPr>
                <w:sz w:val="4"/>
                <w:szCs w:val="4"/>
              </w:rPr>
            </w:pPr>
            <w:r>
              <w:rPr>
                <w:sz w:val="4"/>
                <w:szCs w:val="4"/>
              </w:rPr>
            </w:r>
          </w:p>
        </w:tc>
      </w:tr>
      <w:tr>
        <w:trPr/>
        <w:tc>
          <w:tcPr>
            <w:tcW w:w="3221" w:type="dxa"/>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Derivative liability – conversion option</w:t>
            </w:r>
          </w:p>
        </w:tc>
        <w:tc>
          <w:tcPr>
            <w:tcW w:w="104" w:type="dxa"/>
            <w:tcBorders/>
            <w:shd w:fill="auto" w:val="clear"/>
            <w:vAlign w:val="bottom"/>
          </w:tcPr>
          <w:p>
            <w:pPr>
              <w:pStyle w:val="TableContents"/>
              <w:spacing w:before="0" w:after="283"/>
              <w:jc w:val="right"/>
              <w:rPr/>
            </w:pPr>
            <w:r>
              <w:rPr/>
              <w:t> </w:t>
            </w:r>
          </w:p>
        </w:tc>
        <w:tc>
          <w:tcPr>
            <w:tcW w:w="15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57"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867,575</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21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54"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21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54"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5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57"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867,575</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5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57"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867,575</w:t>
            </w:r>
          </w:p>
        </w:tc>
        <w:tc>
          <w:tcPr>
            <w:tcW w:w="104" w:type="dxa"/>
            <w:tcBorders/>
            <w:shd w:fill="auto" w:val="clear"/>
            <w:vAlign w:val="bottom"/>
          </w:tcPr>
          <w:p>
            <w:pPr>
              <w:pStyle w:val="TableContents"/>
              <w:spacing w:before="0" w:after="283"/>
              <w:jc w:val="left"/>
              <w:rPr/>
            </w:pPr>
            <w:r>
              <w:rPr/>
              <w:t> </w:t>
            </w:r>
          </w:p>
        </w:tc>
        <w:tc>
          <w:tcPr>
            <w:tcW w:w="83" w:type="dxa"/>
            <w:tcBorders/>
            <w:shd w:fill="auto" w:val="clear"/>
          </w:tcPr>
          <w:p>
            <w:pPr>
              <w:pStyle w:val="TableContents"/>
              <w:spacing w:before="0" w:after="283"/>
              <w:rPr>
                <w:sz w:val="4"/>
                <w:szCs w:val="4"/>
              </w:rPr>
            </w:pPr>
            <w:r>
              <w:rPr>
                <w:sz w:val="4"/>
                <w:szCs w:val="4"/>
              </w:rPr>
            </w:r>
          </w:p>
        </w:tc>
      </w:tr>
      <w:tr>
        <w:trPr/>
        <w:tc>
          <w:tcPr>
            <w:tcW w:w="3221"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w:t>
            </w:r>
          </w:p>
        </w:tc>
        <w:tc>
          <w:tcPr>
            <w:tcW w:w="104" w:type="dxa"/>
            <w:tcBorders/>
            <w:shd w:fill="auto" w:val="clear"/>
            <w:vAlign w:val="bottom"/>
          </w:tcPr>
          <w:p>
            <w:pPr>
              <w:pStyle w:val="TableContents"/>
              <w:spacing w:before="0" w:after="283"/>
              <w:jc w:val="right"/>
              <w:rPr/>
            </w:pPr>
            <w:r>
              <w:rPr/>
              <w:t> </w:t>
            </w:r>
          </w:p>
        </w:tc>
        <w:tc>
          <w:tcPr>
            <w:tcW w:w="151"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57"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1,844,661</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215"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754"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214"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754"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51"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57"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1,844,661</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51"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57"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1,844,661</w:t>
            </w:r>
          </w:p>
        </w:tc>
        <w:tc>
          <w:tcPr>
            <w:tcW w:w="104" w:type="dxa"/>
            <w:tcBorders/>
            <w:shd w:fill="auto" w:val="clear"/>
            <w:vAlign w:val="bottom"/>
          </w:tcPr>
          <w:p>
            <w:pPr>
              <w:pStyle w:val="TableContents"/>
              <w:spacing w:before="0" w:after="283"/>
              <w:jc w:val="left"/>
              <w:rPr/>
            </w:pPr>
            <w:r>
              <w:rPr/>
              <w:t> </w:t>
            </w:r>
          </w:p>
        </w:tc>
        <w:tc>
          <w:tcPr>
            <w:tcW w:w="83" w:type="dxa"/>
            <w:tcBorders/>
            <w:shd w:fill="auto" w:val="clear"/>
          </w:tcPr>
          <w:p>
            <w:pPr>
              <w:pStyle w:val="TableContents"/>
              <w:spacing w:before="0" w:after="283"/>
              <w:rPr>
                <w:sz w:val="4"/>
                <w:szCs w:val="4"/>
              </w:rPr>
            </w:pPr>
            <w:r>
              <w:rPr>
                <w:sz w:val="4"/>
                <w:szCs w:val="4"/>
              </w:rPr>
            </w:r>
          </w:p>
        </w:tc>
      </w:tr>
    </w:tbl>
    <w:p>
      <w:pPr>
        <w:pStyle w:val="TextBody"/>
        <w:spacing w:before="0" w:after="0"/>
        <w:ind w:left="0" w:right="0" w:hanging="0"/>
        <w:jc w:val="both"/>
        <w:rPr/>
      </w:pPr>
      <w:r>
        <w:rPr/>
        <w:t> </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5" w:name="PGBRK7"/>
      <w:bookmarkStart w:id="66" w:name="PGBRK7"/>
      <w:bookmarkEnd w:id="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7" w:name="FTR7"/>
      <w:bookmarkStart w:id="68" w:name="FTR7"/>
      <w:bookmarkEnd w:id="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9" w:name="GLFTR7"/>
      <w:bookmarkEnd w:id="6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0" w:name="PN7"/>
      <w:bookmarkEnd w:id="70"/>
      <w:r>
        <w:rPr>
          <w:rFonts w:ascii="Times New Roman" w:hAnsi="Times New Roman"/>
          <w:sz w:val="2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1" w:name="HDR7"/>
      <w:bookmarkStart w:id="72" w:name="HDR7"/>
      <w:bookmarkEnd w:id="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3" w:name="GLHDR7"/>
      <w:bookmarkEnd w:id="7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table below provides a summary of the changes in fair value, including net transfers, in and/or out, of financial assets and liabilities measured at fair value on a recurring basis using significant unobservable inputs (Level 3) during the six months ended June 30, 2013 and the year ended December 31, 2012:</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625"/>
        <w:gridCol w:w="106"/>
        <w:gridCol w:w="141"/>
        <w:gridCol w:w="1124"/>
        <w:gridCol w:w="117"/>
        <w:gridCol w:w="106"/>
        <w:gridCol w:w="158"/>
        <w:gridCol w:w="1177"/>
        <w:gridCol w:w="117"/>
        <w:gridCol w:w="106"/>
        <w:gridCol w:w="141"/>
        <w:gridCol w:w="1156"/>
        <w:gridCol w:w="131"/>
      </w:tblGrid>
      <w:tr>
        <w:trPr/>
        <w:tc>
          <w:tcPr>
            <w:tcW w:w="5625"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w:t>
            </w:r>
          </w:p>
        </w:tc>
        <w:tc>
          <w:tcPr>
            <w:tcW w:w="4343" w:type="dxa"/>
            <w:gridSpan w:val="10"/>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Fair Value Measurements Using Level 3 Inputs</w:t>
            </w:r>
          </w:p>
        </w:tc>
        <w:tc>
          <w:tcPr>
            <w:tcW w:w="131" w:type="dxa"/>
            <w:tcBorders/>
            <w:shd w:fill="auto" w:val="clear"/>
            <w:vAlign w:val="bottom"/>
          </w:tcPr>
          <w:p>
            <w:pPr>
              <w:pStyle w:val="TableContents"/>
              <w:spacing w:before="0" w:after="283"/>
              <w:jc w:val="left"/>
              <w:rPr/>
            </w:pPr>
            <w:r>
              <w:rPr/>
              <w:t> </w:t>
            </w:r>
          </w:p>
        </w:tc>
      </w:tr>
      <w:tr>
        <w:trPr/>
        <w:tc>
          <w:tcPr>
            <w:tcW w:w="5625"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w:t>
            </w:r>
          </w:p>
        </w:tc>
        <w:tc>
          <w:tcPr>
            <w:tcW w:w="126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Derivative liability - warrants</w:t>
            </w:r>
          </w:p>
        </w:tc>
        <w:tc>
          <w:tcPr>
            <w:tcW w:w="117"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33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Derivative liability – conversion option</w:t>
            </w:r>
          </w:p>
        </w:tc>
        <w:tc>
          <w:tcPr>
            <w:tcW w:w="117"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29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131" w:type="dxa"/>
            <w:tcBorders/>
            <w:shd w:fill="auto" w:val="clear"/>
            <w:vAlign w:val="bottom"/>
          </w:tcPr>
          <w:p>
            <w:pPr>
              <w:pStyle w:val="TableContents"/>
              <w:spacing w:before="0" w:after="283"/>
              <w:jc w:val="left"/>
              <w:rPr/>
            </w:pPr>
            <w:r>
              <w:rPr/>
              <w:t> </w:t>
            </w:r>
          </w:p>
        </w:tc>
      </w:tr>
      <w:tr>
        <w:trPr/>
        <w:tc>
          <w:tcPr>
            <w:tcW w:w="5625"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December 31, 2011</w:t>
            </w:r>
          </w:p>
        </w:tc>
        <w:tc>
          <w:tcPr>
            <w:tcW w:w="106"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1,317,834</w:t>
            </w:r>
          </w:p>
        </w:tc>
        <w:tc>
          <w:tcPr>
            <w:tcW w:w="117"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7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1,317,834</w:t>
            </w:r>
          </w:p>
        </w:tc>
        <w:tc>
          <w:tcPr>
            <w:tcW w:w="131" w:type="dxa"/>
            <w:tcBorders/>
            <w:shd w:fill="auto" w:val="clear"/>
            <w:vAlign w:val="bottom"/>
          </w:tcPr>
          <w:p>
            <w:pPr>
              <w:pStyle w:val="TableContents"/>
              <w:spacing w:before="0" w:after="283"/>
              <w:jc w:val="left"/>
              <w:rPr/>
            </w:pPr>
            <w:r>
              <w:rPr/>
              <w:t> </w:t>
            </w:r>
          </w:p>
        </w:tc>
      </w:tr>
      <w:tr>
        <w:trPr/>
        <w:tc>
          <w:tcPr>
            <w:tcW w:w="5625"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Additions during the year</w:t>
            </w:r>
          </w:p>
        </w:tc>
        <w:tc>
          <w:tcPr>
            <w:tcW w:w="106"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11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300,000</w:t>
            </w:r>
          </w:p>
        </w:tc>
        <w:tc>
          <w:tcPr>
            <w:tcW w:w="117"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jc w:val="left"/>
              <w:rPr/>
            </w:pPr>
            <w:r>
              <w:rPr/>
              <w:t> </w:t>
            </w:r>
          </w:p>
        </w:tc>
        <w:tc>
          <w:tcPr>
            <w:tcW w:w="117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737,700</w:t>
            </w:r>
          </w:p>
        </w:tc>
        <w:tc>
          <w:tcPr>
            <w:tcW w:w="117"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11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1,037,700</w:t>
            </w:r>
          </w:p>
        </w:tc>
        <w:tc>
          <w:tcPr>
            <w:tcW w:w="131" w:type="dxa"/>
            <w:tcBorders/>
            <w:shd w:fill="auto" w:val="clear"/>
            <w:vAlign w:val="bottom"/>
          </w:tcPr>
          <w:p>
            <w:pPr>
              <w:pStyle w:val="TableContents"/>
              <w:spacing w:before="0" w:after="283"/>
              <w:jc w:val="left"/>
              <w:rPr/>
            </w:pPr>
            <w:r>
              <w:rPr/>
              <w:t> </w:t>
            </w:r>
          </w:p>
        </w:tc>
      </w:tr>
      <w:tr>
        <w:trPr/>
        <w:tc>
          <w:tcPr>
            <w:tcW w:w="5625"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unrealized (gains) or losses included in net loss</w:t>
            </w:r>
          </w:p>
        </w:tc>
        <w:tc>
          <w:tcPr>
            <w:tcW w:w="106"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11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(597,127</w:t>
            </w:r>
          </w:p>
        </w:tc>
        <w:tc>
          <w:tcPr>
            <w:tcW w:w="11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jc w:val="left"/>
              <w:rPr/>
            </w:pPr>
            <w:r>
              <w:rPr/>
              <w:t> </w:t>
            </w:r>
          </w:p>
        </w:tc>
        <w:tc>
          <w:tcPr>
            <w:tcW w:w="117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129,875</w:t>
            </w:r>
          </w:p>
        </w:tc>
        <w:tc>
          <w:tcPr>
            <w:tcW w:w="117"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11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(467,252</w:t>
            </w:r>
          </w:p>
        </w:tc>
        <w:tc>
          <w:tcPr>
            <w:tcW w:w="13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625"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Debt settlement</w:t>
            </w:r>
          </w:p>
        </w:tc>
        <w:tc>
          <w:tcPr>
            <w:tcW w:w="106"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11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(43,621</w:t>
            </w:r>
          </w:p>
        </w:tc>
        <w:tc>
          <w:tcPr>
            <w:tcW w:w="11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jc w:val="left"/>
              <w:rPr/>
            </w:pPr>
            <w:r>
              <w:rPr/>
              <w:t> </w:t>
            </w:r>
          </w:p>
        </w:tc>
        <w:tc>
          <w:tcPr>
            <w:tcW w:w="117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11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(43,621</w:t>
            </w:r>
          </w:p>
        </w:tc>
        <w:tc>
          <w:tcPr>
            <w:tcW w:w="13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625" w:type="dxa"/>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Transfers in and/or out of Level 3</w:t>
            </w:r>
          </w:p>
        </w:tc>
        <w:tc>
          <w:tcPr>
            <w:tcW w:w="106" w:type="dxa"/>
            <w:tcBorders/>
            <w:shd w:fill="auto" w:val="clear"/>
            <w:vAlign w:val="bottom"/>
          </w:tcPr>
          <w:p>
            <w:pPr>
              <w:pStyle w:val="TableContents"/>
              <w:spacing w:before="0" w:after="283"/>
              <w:jc w:val="right"/>
              <w:rPr/>
            </w:pPr>
            <w:r>
              <w:rPr/>
              <w:t> </w:t>
            </w:r>
          </w:p>
        </w:tc>
        <w:tc>
          <w:tcPr>
            <w:tcW w:w="14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24"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jc w:val="right"/>
              <w:rPr/>
            </w:pPr>
            <w:r>
              <w:rPr/>
              <w:t> </w:t>
            </w:r>
          </w:p>
        </w:tc>
        <w:tc>
          <w:tcPr>
            <w:tcW w:w="15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77"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jc w:val="right"/>
              <w:rPr/>
            </w:pPr>
            <w:r>
              <w:rPr/>
              <w:t> </w:t>
            </w:r>
          </w:p>
        </w:tc>
        <w:tc>
          <w:tcPr>
            <w:tcW w:w="14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56"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1" w:type="dxa"/>
            <w:tcBorders/>
            <w:shd w:fill="auto" w:val="clear"/>
            <w:vAlign w:val="bottom"/>
          </w:tcPr>
          <w:p>
            <w:pPr>
              <w:pStyle w:val="TableContents"/>
              <w:spacing w:before="0" w:after="283"/>
              <w:jc w:val="left"/>
              <w:rPr/>
            </w:pPr>
            <w:r>
              <w:rPr/>
              <w:t> </w:t>
            </w:r>
          </w:p>
        </w:tc>
      </w:tr>
      <w:tr>
        <w:trPr/>
        <w:tc>
          <w:tcPr>
            <w:tcW w:w="5625"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December 31, 2012</w:t>
            </w:r>
          </w:p>
        </w:tc>
        <w:tc>
          <w:tcPr>
            <w:tcW w:w="106"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11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977,086</w:t>
            </w:r>
          </w:p>
        </w:tc>
        <w:tc>
          <w:tcPr>
            <w:tcW w:w="117"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jc w:val="left"/>
              <w:rPr/>
            </w:pPr>
            <w:r>
              <w:rPr/>
              <w:t> </w:t>
            </w:r>
          </w:p>
        </w:tc>
        <w:tc>
          <w:tcPr>
            <w:tcW w:w="117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867,575</w:t>
            </w:r>
          </w:p>
        </w:tc>
        <w:tc>
          <w:tcPr>
            <w:tcW w:w="117"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11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1,844,661</w:t>
            </w:r>
          </w:p>
        </w:tc>
        <w:tc>
          <w:tcPr>
            <w:tcW w:w="131" w:type="dxa"/>
            <w:tcBorders/>
            <w:shd w:fill="auto" w:val="clear"/>
            <w:vAlign w:val="bottom"/>
          </w:tcPr>
          <w:p>
            <w:pPr>
              <w:pStyle w:val="TableContents"/>
              <w:spacing w:before="0" w:after="283"/>
              <w:jc w:val="left"/>
              <w:rPr/>
            </w:pPr>
            <w:r>
              <w:rPr/>
              <w:t> </w:t>
            </w:r>
          </w:p>
        </w:tc>
      </w:tr>
      <w:tr>
        <w:trPr/>
        <w:tc>
          <w:tcPr>
            <w:tcW w:w="5625"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Additions during the year</w:t>
            </w:r>
          </w:p>
        </w:tc>
        <w:tc>
          <w:tcPr>
            <w:tcW w:w="106"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11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96,000</w:t>
            </w:r>
          </w:p>
        </w:tc>
        <w:tc>
          <w:tcPr>
            <w:tcW w:w="117"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jc w:val="left"/>
              <w:rPr/>
            </w:pPr>
            <w:r>
              <w:rPr/>
              <w:t> </w:t>
            </w:r>
          </w:p>
        </w:tc>
        <w:tc>
          <w:tcPr>
            <w:tcW w:w="117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217,700</w:t>
            </w:r>
          </w:p>
        </w:tc>
        <w:tc>
          <w:tcPr>
            <w:tcW w:w="117"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11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313,700</w:t>
            </w:r>
          </w:p>
        </w:tc>
        <w:tc>
          <w:tcPr>
            <w:tcW w:w="131" w:type="dxa"/>
            <w:tcBorders/>
            <w:shd w:fill="auto" w:val="clear"/>
            <w:vAlign w:val="bottom"/>
          </w:tcPr>
          <w:p>
            <w:pPr>
              <w:pStyle w:val="TableContents"/>
              <w:spacing w:before="0" w:after="283"/>
              <w:jc w:val="left"/>
              <w:rPr/>
            </w:pPr>
            <w:r>
              <w:rPr/>
              <w:t> </w:t>
            </w:r>
          </w:p>
        </w:tc>
      </w:tr>
      <w:tr>
        <w:trPr/>
        <w:tc>
          <w:tcPr>
            <w:tcW w:w="5625"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unrealized (gains) or losses included in net loss</w:t>
            </w:r>
          </w:p>
        </w:tc>
        <w:tc>
          <w:tcPr>
            <w:tcW w:w="106"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11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(920,314</w:t>
            </w:r>
          </w:p>
        </w:tc>
        <w:tc>
          <w:tcPr>
            <w:tcW w:w="11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jc w:val="left"/>
              <w:rPr/>
            </w:pPr>
            <w:r>
              <w:rPr/>
              <w:t> </w:t>
            </w:r>
          </w:p>
        </w:tc>
        <w:tc>
          <w:tcPr>
            <w:tcW w:w="117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(958,175</w:t>
            </w:r>
          </w:p>
        </w:tc>
        <w:tc>
          <w:tcPr>
            <w:tcW w:w="11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11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(1,878,489</w:t>
            </w:r>
          </w:p>
        </w:tc>
        <w:tc>
          <w:tcPr>
            <w:tcW w:w="13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625"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Transfers in and/or out of Level 3</w:t>
            </w:r>
          </w:p>
        </w:tc>
        <w:tc>
          <w:tcPr>
            <w:tcW w:w="106" w:type="dxa"/>
            <w:tcBorders/>
            <w:shd w:fill="auto" w:val="clear"/>
            <w:vAlign w:val="bottom"/>
          </w:tcPr>
          <w:p>
            <w:pPr>
              <w:pStyle w:val="TableContents"/>
              <w:spacing w:before="0" w:after="283"/>
              <w:jc w:val="right"/>
              <w:rPr/>
            </w:pPr>
            <w:r>
              <w:rPr/>
              <w:t> </w:t>
            </w:r>
          </w:p>
        </w:tc>
        <w:tc>
          <w:tcPr>
            <w:tcW w:w="141"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1124"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jc w:val="right"/>
              <w:rPr/>
            </w:pPr>
            <w:r>
              <w:rPr/>
              <w:t> </w:t>
            </w:r>
          </w:p>
        </w:tc>
        <w:tc>
          <w:tcPr>
            <w:tcW w:w="158"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1177"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jc w:val="right"/>
              <w:rPr/>
            </w:pPr>
            <w:r>
              <w:rPr/>
              <w:t> </w:t>
            </w:r>
          </w:p>
        </w:tc>
        <w:tc>
          <w:tcPr>
            <w:tcW w:w="141"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1156"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1" w:type="dxa"/>
            <w:tcBorders/>
            <w:shd w:fill="auto" w:val="clear"/>
            <w:vAlign w:val="bottom"/>
          </w:tcPr>
          <w:p>
            <w:pPr>
              <w:pStyle w:val="TableContents"/>
              <w:spacing w:before="0" w:after="283"/>
              <w:jc w:val="left"/>
              <w:rPr/>
            </w:pPr>
            <w:r>
              <w:rPr/>
              <w:t> </w:t>
            </w:r>
          </w:p>
        </w:tc>
      </w:tr>
      <w:tr>
        <w:trPr/>
        <w:tc>
          <w:tcPr>
            <w:tcW w:w="5625"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June 30, 2013</w:t>
            </w:r>
          </w:p>
        </w:tc>
        <w:tc>
          <w:tcPr>
            <w:tcW w:w="106" w:type="dxa"/>
            <w:tcBorders/>
            <w:shd w:fill="auto" w:val="clear"/>
            <w:vAlign w:val="bottom"/>
          </w:tcPr>
          <w:p>
            <w:pPr>
              <w:pStyle w:val="TableContents"/>
              <w:spacing w:before="0" w:after="283"/>
              <w:jc w:val="right"/>
              <w:rPr/>
            </w:pPr>
            <w:r>
              <w:rPr/>
              <w:t> </w:t>
            </w:r>
          </w:p>
        </w:tc>
        <w:tc>
          <w:tcPr>
            <w:tcW w:w="141"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4"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152,772</w:t>
            </w:r>
          </w:p>
        </w:tc>
        <w:tc>
          <w:tcPr>
            <w:tcW w:w="117"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jc w:val="right"/>
              <w:rPr/>
            </w:pPr>
            <w:r>
              <w:rPr/>
              <w:t> </w:t>
            </w:r>
          </w:p>
        </w:tc>
        <w:tc>
          <w:tcPr>
            <w:tcW w:w="158"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77"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127,100</w:t>
            </w:r>
          </w:p>
        </w:tc>
        <w:tc>
          <w:tcPr>
            <w:tcW w:w="117"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jc w:val="right"/>
              <w:rPr/>
            </w:pPr>
            <w:r>
              <w:rPr/>
              <w:t> </w:t>
            </w:r>
          </w:p>
        </w:tc>
        <w:tc>
          <w:tcPr>
            <w:tcW w:w="141"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56"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279,872</w:t>
            </w:r>
          </w:p>
        </w:tc>
        <w:tc>
          <w:tcPr>
            <w:tcW w:w="131" w:type="dxa"/>
            <w:tcBorders/>
            <w:shd w:fill="auto" w:val="cle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fair value of the warrants is determined using a Binomial option pricing model. The valuation of warrants is subjective and is affected by changes in inputs to the valuation model including the price per share of common stock, the historical volatility of the stock price, risk-free rates based on U.S. Treasury security yields, the expected term of the warrants and dividend yield. Changes in these assumptions can materially affect the fair value estimate. The Company could ultimately incur amounts to settle the warrant at a cash settlement value that is significantly different than the carrying value of the liability on the financial statements. The Company will continue to classify the fair value of the warrants as a liability until the warrants are exercised, expire, or are amended in a way that would no longer require these warrants to be classified as a liability. Changes in the fair value of the common stock warrants liability are recognized as a component of other income (expense) in the statement of operations.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net cash settlement value at the time of any future Fundamental Transaction will depend upon the value of the following inputs at that time: the consideration value per share of the Company’s common stock, the volatility of the Company’s common stock, the remaining term of the warrant from announcement date, the risk-free interest rate based on U.S. Treasury security yields, and the Company’s dividend yield. The warrant requires use of a volatility assumption equal to the greater of 100% and the 100-day volatility function determined as of the trading day immediately following announcement of a Fundamental Transaction.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4" w:name="PGBRK8"/>
      <w:bookmarkStart w:id="75" w:name="PGBRK8"/>
      <w:bookmarkEnd w:id="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6" w:name="FTR8"/>
      <w:bookmarkStart w:id="77" w:name="FTR8"/>
      <w:bookmarkEnd w:id="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8" w:name="GLFTR8"/>
      <w:bookmarkEnd w:id="7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9" w:name="PN8"/>
      <w:bookmarkEnd w:id="79"/>
      <w:r>
        <w:rPr>
          <w:rFonts w:ascii="Times New Roman" w:hAnsi="Times New Roman"/>
          <w:sz w:val="20"/>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0" w:name="HDR8"/>
      <w:bookmarkStart w:id="81" w:name="HDR8"/>
      <w:bookmarkEnd w:id="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2" w:name="GLHDR8"/>
      <w:bookmarkEnd w:id="8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NOTE 5:</w:t>
      </w:r>
      <w:r>
        <w:rPr>
          <w:rFonts w:ascii="Times New Roman" w:hAnsi="Times New Roman"/>
          <w:b/>
          <w:sz w:val="20"/>
        </w:rPr>
        <w:t>                 </w:t>
      </w:r>
      <w:r>
        <w:rPr>
          <w:rFonts w:ascii="Times New Roman" w:hAnsi="Times New Roman"/>
          <w:b/>
          <w:sz w:val="20"/>
          <w:u w:val="single"/>
        </w:rPr>
        <w:t>CONVERTIBLE NOTES PAYABLE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following is a summary of debt instrument transactions that are relevant to the current year:</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169"/>
        <w:gridCol w:w="104"/>
        <w:gridCol w:w="144"/>
        <w:gridCol w:w="1127"/>
        <w:gridCol w:w="104"/>
        <w:gridCol w:w="104"/>
        <w:gridCol w:w="158"/>
        <w:gridCol w:w="1118"/>
        <w:gridCol w:w="104"/>
        <w:gridCol w:w="103"/>
        <w:gridCol w:w="172"/>
        <w:gridCol w:w="1196"/>
        <w:gridCol w:w="104"/>
        <w:gridCol w:w="104"/>
        <w:gridCol w:w="144"/>
        <w:gridCol w:w="1127"/>
        <w:gridCol w:w="123"/>
      </w:tblGrid>
      <w:tr>
        <w:trPr/>
        <w:tc>
          <w:tcPr>
            <w:tcW w:w="4169"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271"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Face Value</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76"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Principal Repayment/</w:t>
            </w:r>
          </w:p>
          <w:p>
            <w:pPr>
              <w:pStyle w:val="TableContents"/>
              <w:spacing w:before="0" w:after="0"/>
              <w:ind w:left="0" w:right="0" w:hanging="0"/>
              <w:jc w:val="center"/>
              <w:rPr>
                <w:rFonts w:ascii="times new roman" w:hAnsi="times new roman"/>
                <w:b/>
                <w:sz w:val="20"/>
              </w:rPr>
            </w:pPr>
            <w:r>
              <w:rPr>
                <w:rFonts w:ascii="times new roman" w:hAnsi="times new roman"/>
                <w:b/>
                <w:sz w:val="20"/>
              </w:rPr>
              <w:t>Settlement</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368"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Unamortized</w:t>
            </w:r>
          </w:p>
          <w:p>
            <w:pPr>
              <w:pStyle w:val="TableContents"/>
              <w:spacing w:before="0" w:after="0"/>
              <w:ind w:left="0" w:right="0" w:hanging="0"/>
              <w:jc w:val="center"/>
              <w:rPr>
                <w:rFonts w:ascii="times new roman" w:hAnsi="times new roman"/>
                <w:b/>
                <w:sz w:val="20"/>
              </w:rPr>
            </w:pPr>
            <w:r>
              <w:rPr>
                <w:rFonts w:ascii="times new roman" w:hAnsi="times new roman"/>
                <w:b/>
                <w:sz w:val="20"/>
              </w:rPr>
              <w:t>Note</w:t>
            </w:r>
          </w:p>
          <w:p>
            <w:pPr>
              <w:pStyle w:val="TableContents"/>
              <w:spacing w:before="0" w:after="0"/>
              <w:ind w:left="0" w:right="0" w:hanging="0"/>
              <w:jc w:val="center"/>
              <w:rPr>
                <w:rFonts w:ascii="times new roman" w:hAnsi="times new roman"/>
                <w:b/>
                <w:sz w:val="20"/>
              </w:rPr>
            </w:pPr>
            <w:r>
              <w:rPr>
                <w:rFonts w:ascii="times new roman" w:hAnsi="times new roman"/>
                <w:b/>
                <w:sz w:val="20"/>
              </w:rPr>
              <w:t>Discount</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71"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Balance at</w:t>
            </w:r>
          </w:p>
          <w:p>
            <w:pPr>
              <w:pStyle w:val="TableContents"/>
              <w:spacing w:before="0" w:after="0"/>
              <w:ind w:left="0" w:right="0" w:hanging="0"/>
              <w:jc w:val="center"/>
              <w:rPr>
                <w:rFonts w:ascii="times new roman" w:hAnsi="times new roman"/>
                <w:b/>
                <w:sz w:val="20"/>
              </w:rPr>
            </w:pPr>
            <w:r>
              <w:rPr>
                <w:rFonts w:ascii="times new roman" w:hAnsi="times new roman"/>
                <w:b/>
                <w:sz w:val="20"/>
              </w:rPr>
              <w:t>March 31,</w:t>
            </w:r>
          </w:p>
          <w:p>
            <w:pPr>
              <w:pStyle w:val="TableContents"/>
              <w:spacing w:before="0" w:after="0"/>
              <w:ind w:left="0" w:right="0" w:hanging="0"/>
              <w:jc w:val="center"/>
              <w:rPr>
                <w:rFonts w:ascii="times new roman" w:hAnsi="times new roman"/>
                <w:b/>
                <w:sz w:val="20"/>
              </w:rPr>
            </w:pPr>
            <w:r>
              <w:rPr>
                <w:rFonts w:ascii="times new roman" w:hAnsi="times new roman"/>
                <w:b/>
                <w:sz w:val="20"/>
              </w:rPr>
              <w:t>2013</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271"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76"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368"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71" w:type="dxa"/>
            <w:gridSpan w:val="2"/>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February 2011 Secured Convertible Notes</w:t>
            </w:r>
          </w:p>
        </w:tc>
        <w:tc>
          <w:tcPr>
            <w:tcW w:w="104" w:type="dxa"/>
            <w:tcBorders/>
            <w:shd w:fill="auto" w:val="clear"/>
            <w:vAlign w:val="bottom"/>
          </w:tcPr>
          <w:p>
            <w:pPr>
              <w:pStyle w:val="TableContents"/>
              <w:spacing w:before="0" w:after="283"/>
              <w:rPr/>
            </w:pPr>
            <w:r>
              <w:rPr/>
              <w:t> </w:t>
            </w:r>
          </w:p>
        </w:tc>
        <w:tc>
          <w:tcPr>
            <w:tcW w:w="1271"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76"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368"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71" w:type="dxa"/>
            <w:gridSpan w:val="2"/>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Senior Secured Notes, due February 24, 2014</w:t>
            </w:r>
          </w:p>
        </w:tc>
        <w:tc>
          <w:tcPr>
            <w:tcW w:w="104"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1,184,694</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203,836</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jc w:val="right"/>
              <w:rPr/>
            </w:pPr>
            <w:r>
              <w:rPr/>
              <w:t> </w:t>
            </w:r>
          </w:p>
        </w:tc>
        <w:tc>
          <w:tcPr>
            <w:tcW w:w="17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87,269</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893,589</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April 2011 Secured Convertible Notes</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Senior Secured Notes, due April 4, 2014</w:t>
            </w:r>
          </w:p>
        </w:tc>
        <w:tc>
          <w:tcPr>
            <w:tcW w:w="104"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215,000</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jc w:val="right"/>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26,128</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188,872</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June 2011 Secured Convertible Note</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Senior Secured Notes, due June 6, 2014</w:t>
            </w:r>
          </w:p>
        </w:tc>
        <w:tc>
          <w:tcPr>
            <w:tcW w:w="104"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30,000</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jc w:val="right"/>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2,582</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27,418</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August 8, 2012 Convertible Note</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 due August 8, 2013</w:t>
            </w:r>
          </w:p>
        </w:tc>
        <w:tc>
          <w:tcPr>
            <w:tcW w:w="104"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111,430</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111,430</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jc w:val="right"/>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August 12, 2012 Convertible Note</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 became due November 12, 2012</w:t>
            </w:r>
          </w:p>
        </w:tc>
        <w:tc>
          <w:tcPr>
            <w:tcW w:w="104"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27,500</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jc w:val="right"/>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27,500</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August 20, 2012 Convertible Note</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 due August 20, 2013</w:t>
            </w:r>
          </w:p>
        </w:tc>
        <w:tc>
          <w:tcPr>
            <w:tcW w:w="104"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20,000</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jc w:val="right"/>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2,795</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17,205</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September 18, 2012 Convertible Note</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 due October 1, 2013</w:t>
            </w:r>
          </w:p>
        </w:tc>
        <w:tc>
          <w:tcPr>
            <w:tcW w:w="104"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82,500</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70,000</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jc w:val="right"/>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3,051</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9,449</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October 2012 Convertible Note</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 due October 15, 2013</w:t>
            </w:r>
          </w:p>
        </w:tc>
        <w:tc>
          <w:tcPr>
            <w:tcW w:w="104"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340,000</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jc w:val="right"/>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99,671</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240,329</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October 9, 2012 Convertible Notes</w:t>
            </w:r>
          </w:p>
        </w:tc>
        <w:tc>
          <w:tcPr>
            <w:tcW w:w="104"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jc w:val="right"/>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November 1, 2012 Convertible Note</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 due April 30, 2013</w:t>
            </w:r>
          </w:p>
        </w:tc>
        <w:tc>
          <w:tcPr>
            <w:tcW w:w="104"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31,471</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31,471</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jc w:val="right"/>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November 20, 2012 Convertible Note</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 due November 20, 2013</w:t>
            </w:r>
          </w:p>
        </w:tc>
        <w:tc>
          <w:tcPr>
            <w:tcW w:w="104"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55,710</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17,540</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jc w:val="right"/>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14,954</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23,216</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December 14, 2012 Convertible Note</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 due April 18, 2013</w:t>
            </w:r>
          </w:p>
        </w:tc>
        <w:tc>
          <w:tcPr>
            <w:tcW w:w="104"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189,210</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189,210</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jc w:val="right"/>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December 18, 2012 Convertible Note</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 due December 14, 2013</w:t>
            </w:r>
          </w:p>
        </w:tc>
        <w:tc>
          <w:tcPr>
            <w:tcW w:w="104"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50,000</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jc w:val="right"/>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50,000</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January 5, 2013 Convertible Notes</w:t>
            </w:r>
          </w:p>
        </w:tc>
        <w:tc>
          <w:tcPr>
            <w:tcW w:w="104"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567,729</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jc w:val="right"/>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567,729</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February 27, 2013 Convertible Note</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 due February 27, 2014</w:t>
            </w:r>
          </w:p>
        </w:tc>
        <w:tc>
          <w:tcPr>
            <w:tcW w:w="104"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55,710</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jc w:val="right"/>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33,423</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22,287</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April 2, 2013 Convertible Notes</w:t>
            </w:r>
          </w:p>
        </w:tc>
        <w:tc>
          <w:tcPr>
            <w:tcW w:w="104"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80,967</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jc w:val="right"/>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80,967</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April 18, 2013 Convertible Note</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 due December 18, 2013</w:t>
            </w:r>
          </w:p>
        </w:tc>
        <w:tc>
          <w:tcPr>
            <w:tcW w:w="104"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60,000</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jc w:val="right"/>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22,654</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37,346</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May 5, 2013 Convertible Notes</w:t>
            </w:r>
          </w:p>
        </w:tc>
        <w:tc>
          <w:tcPr>
            <w:tcW w:w="104"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45,000</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jc w:val="right"/>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45,000</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May 14, 2013 Convertible Note</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 due May 14, 2014</w:t>
            </w:r>
          </w:p>
        </w:tc>
        <w:tc>
          <w:tcPr>
            <w:tcW w:w="104"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126,000</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jc w:val="right"/>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109,775</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16,225</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June 27, 2013 Convertible Note</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 due June 27, 2014</w:t>
            </w:r>
          </w:p>
        </w:tc>
        <w:tc>
          <w:tcPr>
            <w:tcW w:w="104"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36,333</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jc w:val="right"/>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33,258</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3,075</w:t>
            </w:r>
          </w:p>
        </w:tc>
        <w:tc>
          <w:tcPr>
            <w:tcW w:w="123" w:type="dxa"/>
            <w:tcBorders/>
            <w:shd w:fill="auto" w:val="clear"/>
            <w:vAlign w:val="bottom"/>
          </w:tcPr>
          <w:p>
            <w:pPr>
              <w:pStyle w:val="TableContents"/>
              <w:spacing w:before="0" w:after="283"/>
              <w:jc w:val="left"/>
              <w:rPr/>
            </w:pPr>
            <w:r>
              <w:rPr/>
              <w:t> </w:t>
            </w:r>
          </w:p>
        </w:tc>
      </w:tr>
      <w:tr>
        <w:trPr/>
        <w:tc>
          <w:tcPr>
            <w:tcW w:w="4169"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4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27" w:type="dxa"/>
            <w:tcBorders>
              <w:bottom w:val="single" w:sz="12" w:space="0" w:color="000000"/>
            </w:tcBorders>
            <w:shd w:fill="auto" w:val="clear"/>
            <w:tcMar>
              <w:bottom w:w="28" w:type="dxa"/>
            </w:tcM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5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18" w:type="dxa"/>
            <w:tcBorders>
              <w:bottom w:val="single" w:sz="12" w:space="0" w:color="000000"/>
            </w:tcBorders>
            <w:shd w:fill="auto" w:val="clear"/>
            <w:tcMar>
              <w:bottom w:w="28" w:type="dxa"/>
            </w:tcM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72"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96" w:type="dxa"/>
            <w:tcBorders>
              <w:bottom w:val="single" w:sz="12" w:space="0" w:color="000000"/>
            </w:tcBorders>
            <w:shd w:fill="auto" w:val="clear"/>
            <w:tcMar>
              <w:bottom w:w="28" w:type="dxa"/>
            </w:tcM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4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27" w:type="dxa"/>
            <w:tcBorders>
              <w:bottom w:val="single" w:sz="12" w:space="0" w:color="000000"/>
            </w:tcBorders>
            <w:shd w:fill="auto" w:val="clear"/>
            <w:tcMar>
              <w:bottom w:w="28" w:type="dxa"/>
            </w:tcMar>
            <w:vAlign w:val="bottom"/>
          </w:tcPr>
          <w:p>
            <w:pPr>
              <w:pStyle w:val="TableContents"/>
              <w:spacing w:before="0" w:after="283"/>
              <w:jc w:val="right"/>
              <w:rPr/>
            </w:pPr>
            <w:r>
              <w:rPr/>
              <w:t> </w:t>
            </w:r>
          </w:p>
        </w:tc>
        <w:tc>
          <w:tcPr>
            <w:tcW w:w="123" w:type="dxa"/>
            <w:tcBorders/>
            <w:shd w:fill="auto" w:val="clear"/>
            <w:vAlign w:val="bottom"/>
          </w:tcPr>
          <w:p>
            <w:pPr>
              <w:pStyle w:val="TableContents"/>
              <w:spacing w:before="0" w:after="283"/>
              <w:jc w:val="left"/>
              <w:rPr/>
            </w:pPr>
            <w:r>
              <w:rPr/>
              <w:t> </w:t>
            </w:r>
          </w:p>
        </w:tc>
      </w:tr>
      <w:tr>
        <w:trPr/>
        <w:tc>
          <w:tcPr>
            <w:tcW w:w="4169"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Total</w:t>
            </w:r>
          </w:p>
        </w:tc>
        <w:tc>
          <w:tcPr>
            <w:tcW w:w="104" w:type="dxa"/>
            <w:tcBorders/>
            <w:shd w:fill="auto" w:val="clear"/>
            <w:vAlign w:val="bottom"/>
          </w:tcPr>
          <w:p>
            <w:pPr>
              <w:pStyle w:val="TableContents"/>
              <w:spacing w:before="0" w:after="283"/>
              <w:jc w:val="right"/>
              <w:rPr/>
            </w:pPr>
            <w:r>
              <w:rPr/>
              <w:t> </w:t>
            </w:r>
          </w:p>
        </w:tc>
        <w:tc>
          <w:tcPr>
            <w:tcW w:w="144"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7"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3,409,254</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58"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8"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723,487</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jc w:val="right"/>
              <w:rPr/>
            </w:pPr>
            <w:r>
              <w:rPr/>
              <w:t> </w:t>
            </w:r>
          </w:p>
        </w:tc>
        <w:tc>
          <w:tcPr>
            <w:tcW w:w="172"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96"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435,560</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44"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7"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2,250,207</w:t>
            </w:r>
          </w:p>
        </w:tc>
        <w:tc>
          <w:tcPr>
            <w:tcW w:w="123" w:type="dxa"/>
            <w:tcBorders/>
            <w:shd w:fill="auto"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3" w:name="PGBRK9"/>
      <w:bookmarkStart w:id="84" w:name="PGBRK9"/>
      <w:bookmarkEnd w:id="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5" w:name="FTR9"/>
      <w:bookmarkStart w:id="86" w:name="FTR9"/>
      <w:bookmarkEnd w:id="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7" w:name="GLFTR9"/>
      <w:bookmarkEnd w:id="8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8" w:name="PN9"/>
      <w:bookmarkEnd w:id="88"/>
      <w:r>
        <w:rPr>
          <w:rFonts w:ascii="Times New Roman" w:hAnsi="Times New Roman"/>
          <w:sz w:val="20"/>
        </w:rPr>
        <w:t>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9" w:name="HDR9"/>
      <w:bookmarkStart w:id="90" w:name="HDR9"/>
      <w:bookmarkEnd w:id="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1" w:name="GLHDR9"/>
      <w:bookmarkEnd w:id="9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February 2011 Secured Convertible Notes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February 24, 2011, the Company entered into a securities purchase agreement with accredited investors to place Senior Secured Convertible Notes (the “February 2011 Notes”) with a maturity date of three years after the issuance thereof in the aggregate principal amount of $1,184,694. Consideration under the notes consisted of $944,694 in cash proceeds, including accrued interest, and $240,000 was subscribed for by two of the holders of outstanding and demandable 2010 secured convertible notes (the “2010 Notes”). The holders of the 2010 Notes returned their Series A, Series B and Series C warrants to the Company for cancellation. In connection with the issuance of the February 2011 Notes, the Company entered into a 2011 Security Agreement with the note holders securing the February 2011 Notes with all of the Company’s assets. One year after the issuance of the February 2011 Notes, the note holders have the option to convert a portion or all of the outstanding balance of the February 2011 Notes including any accrued interest into shares of the Company’s common stock at a conversion rate of $0.15 per share.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February 2011 Notes bear interest at the rate of 10% per annum except in case of default, in which case they bear interest at the rate of 20% per annum. The interest is due on the February 2011 Notes at the end of each three month period, starting three months from their issuance. One year after the issuance of the February 2011 Notes, the Company may elect to prepay a portion of the principal. If the Company makes such an election, the holders may elect to receive such prepayment in cash or in shares of the Company’s common stock, at a conversion rate of $0.15 per share, or in a combination thereof.</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paid a finders’ fee of $41,500. The finder’s fee was accounted for as deferred financing costs, and is being amortized over the term of the notes. At June 30, 2013, $8,148 of the $23,794 in deferred financing costs relates to the February 2011 Notes which remains unamortized, and is presented in the current assets on the Company’s Balance Sheet.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connection with the issuance of the February 2011 Notes, the Company issued 2,369,388 warrants, exercisable into common stock at $0.25 with five year terms. The Company may force the exercise of the warrants at any time that the average volume weighted average price of the Company’s common stock over the prior ten trading days is greater than $0.50, the average daily dollar volume of the Company’s common stock sold over those ten trading days is greater than $25,000 and there is an effective registration statement covering the resale of the shares underlying the warrants.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has allocated the net proceeds to the warrants based on the calculated fair value at the date of issuance. The fair value of the warrants was recorded at $483,355 and recognized as derivative liabilities and the debt was recorded at $701,339. The fair value of the warrants was calculated using the Binomial option pricing model under the following assumptions: estimated life of five years, risk free rate of 2.06%, dividend yield of 0% and volatility of 199%. The debt discount is being accreted over the three year term of the February 2011 Notes using the effective interest rate method.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year ended December 31, 2012, one of the investors settled the principal amount of $203,836 and accrued interest of $16,419 of the February 2011 Notes in exchange for December 14, 2012 Convertible Note (the “December 14, 2012 Note”).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For the six months ended June 30, 2013, accretion of the debt discount of $66,090 was recorded for the February 2011 Notes.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April 2011 Secured Convertible Notes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April 4, 2011, the Company entered into a securities purchase agreement with accredited investors to place Senior Secured Convertible Notes (the “April 2011 Notes”) with a maturity date of three years after the issuance thereof in the aggregate principal amount of $215,000. Consideration under the notes consisted of $190,000 in cash proceeds, and $25,000 was subscribed for by a holder of 2010 Notes in exchange for the extinguishment of the Series A, Series B and Series C warrants related to the 2010 Notes. In connection with the issuance of the April 2011 Notes, the Company entered into a 2011 Security Agreement with the note holders securing the April 2011 Notes with a secondary security interest in all of the Company’s assets. One year after the issuance of the April 2011 Notes, the note holders have the option to convert a portion or all of the outstanding balance of the April 2011 Notes including any accrued interest into shares of the Company’s common stock at a conversion rate of $0.15 per share.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April 2011 Notes bear interest at the rate of 10% per annum except in case of default, in which case they bear interest at the rate of 20% per annum. The interest is due on the April 2011 Notes at the end of each three month period, starting three months from their issuance. One year after the issuance of the April 2011 Notes, the Company may elect to prepay a portion of the principal. If the Company makes such an election, the holders may elect to receive such prepayment in cash or in shares of the Company’s common stock, at a conversion rate of $0.15 per share, or in a combination thereof.</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2" w:name="PGBRK10"/>
      <w:bookmarkStart w:id="93" w:name="PGBRK10"/>
      <w:bookmarkEnd w:id="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4" w:name="FTR10"/>
      <w:bookmarkStart w:id="95" w:name="FTR10"/>
      <w:bookmarkEnd w:id="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6" w:name="GLFTR10"/>
      <w:bookmarkEnd w:id="9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7" w:name="PN10"/>
      <w:bookmarkEnd w:id="97"/>
      <w:r>
        <w:rPr>
          <w:rFonts w:ascii="Times New Roman" w:hAnsi="Times New Roman"/>
          <w:sz w:val="20"/>
        </w:rPr>
        <w:t>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8" w:name="HDR10"/>
      <w:bookmarkStart w:id="99" w:name="HDR10"/>
      <w:bookmarkEnd w:id="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0" w:name="GLHDR10"/>
      <w:bookmarkEnd w:id="10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paid a finders’ fee of $4,550. The finder’s fee was accounted for as deferred financing costs, and is being amortized over the term of the notes. At June 30, 2013, $1,139 of the $23,794 in deferred financing costs relates to the April 2011 Notes which remains unamortized, and is presented in the current assets on the Company’s Balance Sheet.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connection with the issuance of the April 2011 Notes, the Company issued 430,000 warrants, exercisable into common stock at $0.25 with 2 year terms. The Company may force the exercise of the warrants at any time that the average volume weighted average price of the Company’s common stock over the prior ten trading days is greater than $0.50, the average daily dollar volume of the Company’s common stock sold over those ten trading days is greater than $25,000 and there is an effective registration statement covering the resale of the shares underlying the warrants.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has allocated the net proceeds to the warrants based on the calculated fair value. The fair value of the warrants was recorded at $130,720 and recognized as derivative liabilities and the debt was recorded at $84,280. The fair value of the warrants was calculated using the Binomial option pricing model under the following assumptions: estimated life of two years, risk free rate of 0.77%, dividend yield of 0% and volatility of 199%. The debt discount is being accreted over the three year term of the April 2011 Notes using the effective interest rate method.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For the six months ended June 30, 2013, accretion of the debt discount of $17,011 was recorded for the April 2011 Notes.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June 2011 Secured Convertible Note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June 6, 2011, the Company entered into a securities purchase agreement with accredited investors to place Senior Secured Convertible Note (the “June 2011 Note”) with a maturity date of three years after the issuance thereof in the aggregate principal amount of $30,000. In connection with the issuance of the June 2011 Note, the Company entered into a 2011 Security Agreement with the note holder securing the June 2011 Note with a secondary security interest in all of the Company’s assets. One year after the issuance of the June 2011 Note, the note holder has the option to convert a portion or all of the outstanding balance of the June 2011 Note including any accrued interest into shares of the Company’s common stock at a conversion rate of $0.15 per share.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June 2011 Note bears interest at the rate of 10% per annum except in case of default, in which case it bears interest at the rate of 20% per annum. The interest is due on the June 2011 Note at the end of each three month period, starting three months from its issuance. One year after the issuance of the June 2011 Note, the Company may elect to prepay a portion of the principal. If the Company makes such an election, the holders may elect to receive such prepayment in cash or in shares of the Company’s common stock, at a conversion rate of $0.15 per share, or in a combination thereof.</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connection with the issuance of the June 2011 Note, the Company issued 60,000 warrants, exercisable into common stock at $0.25 with two year terms. The Company may force the exercise of the warrants at any time that the average volume weighted average price of the Company’s common stock over the prior ten trading days is greater than $0.50, the average daily dollar volume of the Company’s common stock sold over those ten trading days is greater than $25,000 and there is an effective registration statement covering the resale of the shares underlying the warrants.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has allocated the net proceeds to the warrants based on the calculated fair value. The fair value of the warrants was recorded at $8,280 and recognized as derivative liabilities and the debt was recorded at $21,720. The fair value of the warrants was calculated using the Binomial option pricing model under the following assumptions: estimated life of two years, risk free rate of 0.43%, dividend yield of 0% and volatility of 199%. The debt discount is being accreted over the three year term of the June 2011 Note using the effective interest rate method.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For the six months ended June 30, 2013, accretion of the debt discount of $1,371 was recorded for the June 2011 Note.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August 8, 2012 Convertible Note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August 8, 2012, the Company entered into a securities purchase agreement with an accredited investor to place a Convertible Note (the “August 8, 2012 Note”) with a maturity date of one year after the issuance thereof in the aggregate principal amount of $111,430. Consideration under the notes consisted of $92,000 in cash proceeds after $8,000 payment of finders’ fee and an original issue discount of $11,430. The note holder has the option to convert a portion or all of the outstanding balance of the August 8, 2012 Note including any accrued interest into shares of the Company’s common stock at a conversion rate of $0.09 per share or 70% of the lowest traded price in the 25 trading days prior to conversion.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August 8, 2012 Note carries no interest if the Company repays the note within 90 days from issuance. If the Company does not repay the note within 90 days, a one-time interest of 5% shall apply to the principal sum.</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six months ended June 30, 2013, the investor converted the principal amount of $111,430 and accrued interest of the August 8, 2012 Note into common shares (Note 9).</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finder’s fee of $8,000 was accounted for as deferred financing costs, and is being amortized over the term of the note. At June 30, 2013, $nil of the $23,794 in deferred financing costs relates to the August 8, 2012 Note which has been fully expensed during the current period with the conversion of the debt.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1" w:name="PGBRK11"/>
      <w:bookmarkStart w:id="102" w:name="PGBRK11"/>
      <w:bookmarkEnd w:id="1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3" w:name="FTR11"/>
      <w:bookmarkStart w:id="104" w:name="FTR11"/>
      <w:bookmarkEnd w:id="1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5" w:name="GLFTR11"/>
      <w:bookmarkEnd w:id="10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6" w:name="PN11"/>
      <w:bookmarkEnd w:id="106"/>
      <w:r>
        <w:rPr>
          <w:rFonts w:ascii="Times New Roman" w:hAnsi="Times New Roman"/>
          <w:sz w:val="20"/>
        </w:rPr>
        <w:t>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7" w:name="HDR11"/>
      <w:bookmarkStart w:id="108" w:name="HDR11"/>
      <w:bookmarkEnd w:id="1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9" w:name="GLHDR11"/>
      <w:bookmarkEnd w:id="10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has allocated the net proceeds to the conversion option based on the calculated fair value. The fair value of the conversion option was recorded at $155,700 and recognized as a derivative liability and the debt was recorded at $nil. The transaction resulted in an accounting loss on debt financing of $55,700. The fair value of the conversion option was calculated using the Binomial option pricing model under the following assumptions: estimated life of one year, risk free rate of 0.19%, dividend yield of 0% and volatility of 139.77%. The debt discount has been accreted up to the dates of conversion of the August 8, 2012 Note using the effective interest rate method and the balance of unamortized debt discount of $34,681has been accounted for as loss on settlement of debt.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For the six months ended June 30, 2013, accretion of the debt discount of $32,482 was recorded for the August 8, 2012 Note.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August 12, 2012 Convertible Note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August 12, 2012, the Company entered into a securities purchase agreement with accredited investors to place a Convertible Note (the “August 12, 2012 Note”) with a maturity date of three months after the issuance thereof in the aggregate principal amount of $27,500. Consideration under the notes consisted of $25,000 in cash proceeds after an original issue discount of $2,500. The note holder has the option to convert a portion or all of the outstanding balance of the August 8, 2012 Note including any accrued interest into shares of the Company’s common stock at a conversion rate of $0.09 per share or on similar terms as of any future financings with more favorable terms. The agreement provides for the Company to issue 50,000 shares to the note holder as risk premium. The 50,000 shares were valued at $6,250 and recorded as loss on debt financing and obligation to issue shares.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August 12, 2012 Note bears interest at the rate of 10% per annum.</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allocated the net proceeds to the conversion option based on the calculated fair value. The fair value of the conversion option was recorded at $31,100 and recognized as a derivative liability and the debt was recorded at $nil. The transaction resulted in an accounting loss on debt financing of $6,100. The fair value of the conversion option was calculated using the Binomial option pricing model under the following assumptions: estimated life of three months, risk free rate of 0.11%, dividend yield of 0% and volatility of 138.31%. The debt discount is being accreted over the three month term of the August 12, 2012 Note using the effective interest rate method.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has not repaid the August 12, 2012 Note as of June 30, 2013, which is in default.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August 20, 2012 Convertible Note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August 20, 2012, the Company entered into a securities purchase agreement with accredited investors to place a Convertible Note (the “August 20, 2012 Note”) with a maturity date of one year after the issuance thereof in the aggregate principal amount of $20,000. The note holder has the option to convert a portion or all of the outstanding balance of the August 8, 2012 Note including any accrued interest into shares of the Company’s common stock at a conversion rate of $0.09 per share or 70% of the lowest traded price in the 25 trading days prior to conversion.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August 20, 2012 Note bears interest at the rate of 8% per annum.</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has allocated the net proceeds to the conversion option based on the calculated fair value. The fair value of the conversion option was recorded at $36,100 and recognized as a derivative liability and the debt was recorded at $nil. The transaction resulted in an accounting loss on debt financing of $16,100. The fair value of the conversion option was calculated using the Binomial option pricing model under the following assumptions: estimated life of one year, risk free rate of 0.19%, dividend yield of 0% and volatility of 140.11%. The debt discount is being accreted over the one year term of the August 20, 2012 Note using the effective interest rate method.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For the three months ended June 30, 2013, accretion of the debt discount of $9,918 was recorded for the August 20, 2012 Note.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September 18, 2012 Convertible Note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September 18, 2012, the Company entered into a securities purchase agreement with accredited investors to place a Convertible Note (the “September 18, 2012 Note”) with a maturity date of one year after the issuance thereof in the aggregate principal amount of $82,500. Consideration under the notes consisted of $69,000 in cash proceeds after $6,000 payment of finders’ fee and an original issue discount of $7,500. The note holder has the option to convert a portion or all of the outstanding balance of the September 18, 2012 Note including any accrued interest into shares of the Company’s common stock at a conversion rate of $0.09 per share or 70% of the lowest traded price in the 20 trading days prior to conversion.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September 18, 2012 Note carries no interest other than the amortization of the original issue discount.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finder’s fee of $6,000 was accounted for as deferred financing costs, and is being amortized over the term of the note. At June 30, 2013, $nil of the $20,145 in deferred financing costs relates to the September, 2012 Note which has been fully amortized.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0" w:name="PGBRK12"/>
      <w:bookmarkStart w:id="111" w:name="PGBRK12"/>
      <w:bookmarkEnd w:id="1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2" w:name="FTR12"/>
      <w:bookmarkStart w:id="113" w:name="FTR12"/>
      <w:bookmarkEnd w:id="1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4" w:name="GLFTR12"/>
      <w:bookmarkEnd w:id="11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5" w:name="PN12"/>
      <w:bookmarkEnd w:id="115"/>
      <w:r>
        <w:rPr>
          <w:rFonts w:ascii="Times New Roman" w:hAnsi="Times New Roman"/>
          <w:sz w:val="20"/>
        </w:rPr>
        <w:t>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6" w:name="HDR12"/>
      <w:bookmarkStart w:id="117" w:name="HDR12"/>
      <w:bookmarkEnd w:id="1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8" w:name="GLHDR12"/>
      <w:bookmarkEnd w:id="11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six months ended June 30, 2013, the investor converted the principal amount of $70,000 and accrued interest of the September 18, 2012 Note into common shares (Note 9). The balance remaining on the September 18, 2012 Note as on June 30, 2013 was $20,750.</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has allocated the net proceeds to the conversion option based on the calculated fair value. The fair value of the conversion option was recorded at $76,400 and recognized as a derivative liability and the debt was recorded at $nil. The transaction resulted in an accounting loss on debt financing of $1,400. The fair value of the conversion option was calculated using the Binomial option pricing model under the following assumptions: estimated life of one year, risk free rate of 0.20%, dividend yield of 0% and volatility of 141.43%. The debt discount is being accreted over the one year term of the September, 2012 Note using the effective interest rate method and an amount of unamortized debt discount of $39,681has been accounted for as loss on settlement of debt.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For the six months ended June 30, 2013, accretion of the debt discount of $17,009 was recorded for the September, 2012 Note.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October 2012 Convertible Note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October 15, 2012, the Company entered into a securities purchase agreement with an accredited investor to place a Convertible Note (the “October 2012 Note”) with a maturity date of one year after the issuance thereof in the aggregate principal amount of $340,000. Consideration under the notes consisted of $310,000 in cash proceeds after $10,000 payment of legal fee and an original issue discount of $30,000. The note holder has the option to convert a portion or all of the outstanding balance of the October 2012 Note including any accrued interest into shares of the Company’s common stock at a conversion rate of $0.12 per share or to a new lower issuance price if the Company issues shares (or reduces the conversion or exercise price for outstanding debt or warrants) for less than $0.12.</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October 2012 Note carries an interest rate of 8% per year. There are seven installment payments due on the note beginning on the seventh month after its issuance and each month thereafter until maturity.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legal fee of $10,000 was accounted for as deferred financing costs, and is being amortized over the term of the note. At June 30, 2013, $2,932 of the $23,794 in deferred financing costs relates to the October 2012 Note which remains unamortized, and is presented in current assets on the Company’s Balance Sheet.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Provided that there is sufficient volume in the trading of the Company’s common stock and other criteria are met, the Company may elect to make any payment due on an installment date in shares of common stock. If the Company elects to make a payment in shares of common stock, the number of shares that the Company issues will be equal to the amount to be converted divided by the lesser of the conversion price or 70% of the average of the three lowest closing bid prices of the shares of common stock during the prior twenty consecutive trading days. If the Company elects to pay the full amount of the note in common shares (excluding any interest that becomes due thereon), the holder shall receive at a minimum 2,833,333 shares of the Company’s common stock, but this amount could be substantially higher. Unless otherwise agreed in writing by both parties, at no time will the holder convert any amount of the debenture into common stock that would result in the holder owning more than 4.99% of the common stock outstanding.</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part of the agreement, the Company also issued 3,000,000 warrants to the note holder exercisable at $0.25/share expiring on October 31, 2016.</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warrants include price adjustment provisions whereby the exercise price will be adjusted downwards based on future grants, which results in a share issuance at a per share amount less than $0.25 per share, or repricing of any existing warrants to a lower price. During the six months ended June 30, 2013, the investor converted the 3,000,000 warrants under a cashless exercise provision for 1,898,588 shares of common stock (Note 9).</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has allocated the net proceeds to the conversion option and equity based on the calculated fair value. The fair value of the conversion option was recorded at $248,000 and recognized as a derivative liability and the equity was recorded at $62,000. The fair value of the conversion option was calculated using the Binomial option pricing model under the following assumptions: estimated life of one year, risk free rate of 0.19%, dividend yield of 0% and volatility of 139.16%. The debt discount is being accreted over the one year term of the October 2012 Note using the effective interest rate method.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For the six months ended June 30, 2013, accretion of the debt discount of $168,603 was recorded for the October 2012 Note.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October 9, 2012 Convertible Note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October 9, 2012, the Company converted accounts payable of $100,000 into convertible notes (the “October 9, 2012 Note”). The note holder has the option to convert a portion or all of the outstanding balance of the October 9, 2012 Note into shares of the Company’s common stock at a conversion rate of $0.09 per share. The note has no terms of repayment and no interest charges. Only under certain events of default the note will incur an interest rate of 20% per year.</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9" w:name="PGBRK13"/>
      <w:bookmarkStart w:id="120" w:name="PGBRK13"/>
      <w:bookmarkEnd w:id="1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1" w:name="FTR13"/>
      <w:bookmarkStart w:id="122" w:name="FTR13"/>
      <w:bookmarkEnd w:id="1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3" w:name="GLFTR13"/>
      <w:bookmarkEnd w:id="12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4" w:name="PN13"/>
      <w:bookmarkEnd w:id="124"/>
      <w:r>
        <w:rPr>
          <w:rFonts w:ascii="Times New Roman" w:hAnsi="Times New Roman"/>
          <w:sz w:val="20"/>
        </w:rPr>
        <w:t>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5" w:name="HDR13"/>
      <w:bookmarkStart w:id="126" w:name="HDR13"/>
      <w:bookmarkEnd w:id="1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7" w:name="GLHDR13"/>
      <w:bookmarkEnd w:id="12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six months ended June 30, 2013, the note was amended and assigned to a third party with price adjustment features ratified by the Company and converted into 5,368,956 shares of the Company, of which, 318,823 shares have yet to be issued. The Company recorded $135,527 as loss on settlement of debt (Note 9).</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November 1, 2012 Convertible Note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year, the Company converted a promissory note of $100,000 (Note 7) with an accredited investor into three convertible notes of $105,000 cumulatively. The three convertible notes were assigned to a third party, of which, two notes were converted into equity. In November and December 2012, the Note holder converted $73,737 of principal and interest into 1,262,727 shares. The fair value of the shares was determined to be $140,538 based on the quoted market prices. The Company recorded $66,801 as loss on settlement of debt (Note 9).</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third Convertible Note (the “November 1, 2012 Note”) was issued with a maturity date of six months in the aggregate principal amount of $31,471. The note holder has the option to convert a portion or all of the outstanding balance of the November 1, 2012 Note including any accrued interest into shares of the Company’s common stock at a conversion rate of $0.09 per share or 65% of the lowest bid price in the 20 trading days prior to conversion.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November 1, 2012 Note bears interest at the rate of 10% per annum starting on November 15, 2012. If the Company is in default under certain events, the November 1, 2012 Note shall incur interest at the rate of 20% per annum retroactively.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had allocated $31,471 of the balance of the November 1, 2012 Note to the conversion option and debt based on the calculated fair value. The fair value of the conversion option was recorded at $27,300 and recognized as a derivative liability and the debt was recorded at $4,171. The fair value of the conversion option was calculated using the Binomial option pricing model under the following assumptions: estimated life of 0.49 year, risk free rate of 0.09%, dividend yield of 0% and volatility of 127.26%. The debt discount is being accreted over the 0.49 year term of the November 1, 2012 Note using the effective interest rate method.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six months ended June 30, 2013, the investor converted the November 1, 2012 Note and accrued interest into 512,822 common shares (Note 9).</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For the six months ended June 30, 2013, accretion of the debt discount of $7,921 was recorded for the November 1, 2012 Note.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November 20, 2012 Convertible Note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November 20, 2012, the Company entered into a securities purchase agreement with an accredited investor to place a Convertible Note (the “November 20, 2012 Note”) with a maturity date of one year after the issuance thereof in the aggregate principal amount of $55,710. Consideration under the notes consisted of $50,000 in cash proceeds after $4,000 payment of finder’s fee and an original issue discount of $5,710. The note holder has the option to convert a portion or all of the outstanding balance of the November 20, 2012 Note including any accrued interest into shares of the Company’s common stock at a conversion rate of $0.09 per share or 70% of the lowest traded price in the 25 trading days prior to conversion.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November 20, 2012 Note carries no interest if the Company repays the note within 90 days from issuance. If the Company does not repay the note within 90 days, a one-time interest of 5% shall apply to the principal sum.</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finder’s fee of $4,000 was accounted for as deferred financing costs, and is being amortized over the term of the note. At June 30, 2013, 1,567 of the $23,794 in deferred financing costs relates to the November 20, 2012 Note which remains unamortized, and is presented in current assets on the Company’s Balance Sheet.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has allocated the net proceeds to the conversion option based on the calculated fair value. The fair value of the conversion option was recorded at $69,000 and recognized as a derivative liability and the debt was recorded at $nil. The transaction resulted in an accounting loss on debt financing of $19,000. The fair value of the conversion option was calculated using the Binomial option pricing model under the following assumptions: estimated life of one year, risk free rate of 0.16%, dividend yield of 0% and volatility of 134.71%. The debt discount is being accreted over the one year term of the November 20, 2012 Note using the effective interest rate method.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six months ended June 30, 2013, the investor converted the principal amount of $17,540 and accrued interest of the November 20, 2012 Note into 2,000,000 common shares (Note 9). The balance remaining on the November 20, 2012 Note as on June 30, 2013 was $$38,170.</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For the six months ended June 30, 2013, accretion of the debt discount of $26,577 was recorded for the November 20, 2012 Note.</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8" w:name="PGBRK14"/>
      <w:bookmarkStart w:id="129" w:name="PGBRK14"/>
      <w:bookmarkEnd w:id="1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0" w:name="FTR14"/>
      <w:bookmarkStart w:id="131" w:name="FTR14"/>
      <w:bookmarkEnd w:id="1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2" w:name="GLFTR14"/>
      <w:bookmarkEnd w:id="13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33" w:name="PN14"/>
      <w:bookmarkEnd w:id="133"/>
      <w:r>
        <w:rPr>
          <w:rFonts w:ascii="Times New Roman" w:hAnsi="Times New Roman"/>
          <w:sz w:val="20"/>
        </w:rPr>
        <w:t>15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4" w:name="HDR14"/>
      <w:bookmarkStart w:id="135" w:name="HDR14"/>
      <w:bookmarkEnd w:id="1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6" w:name="GLHDR14"/>
      <w:bookmarkEnd w:id="13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December 14, 2012 Convertible Note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December 14, 2012, the Company converted part of the February 2011 Notes in the amount of $220,255 into a Convertible Note (the “December 14, 2012 Note”) with a maturity date of four months after the issuance thereof in the aggregate principal amount of $252,280. Consideration under the notes consisted of $220,255 from February 2011 Notes, $10,000 payment of legal fee and an original issue discount of $22,025. The December 14, 2012 Note is repayable in four equal installments with accrued interest, starting on January 18, 2013 and subsequently, the same day on each of the following calendar months. The Company can elect to pay the installments in cash or shares of Company’s common stock.</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December 14, 2012 Note bears interest at the rate of 8% per annum. In the event of default under certain conditions, the interest will accrue at the rate of 18% per annum.</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note holder has the option to convert a portion or all of the outstanding balance of the December 14, 2012 Note including any accrued interest into shares of the Company’s common stock at a conversion rate of 70% of the three lowest closing bid prices in the 20 trading days prior to conversion.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December 2012, the December 14, 2012 Note was assigned to a third party and the Company paid the first installment of $65,032 consisting of principal and interest in 1,078,477 shares. The fair value of the shares was determined to be $96,523 based on the quoted market price of $0.09 per share. The Company recorded $31,491 as loss on settlement of debt (Note 9).</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has allocated $189,210 of the balance of the December 14, 2012 Note to the conversion option and debt based on the calculated fair value. The fair value of the conversion option was recorded at $94,100 and recognized as a derivative liability and the debt was recorded at $95,110. The fair value of the conversion option was calculated using the Binomial option pricing model under the following assumptions: estimated life of 0.35 year, risk free rate of 0.06%, dividend yield of 0% and volatility of 100.88%. The debt discount is being accreted over the 0.45 year term of the December 14, 2012 Note using the effective interest rate method.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six months ended June 30, 2013, the investor converted the remaining balance of the note of $189,210 and accrued interest on the December 14, 2012 Note into common shares (Note 9).</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December 18, 2012 Convertible Note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December 18, 2012, the Company entered into a securities purchase agreement with accredited investors to place convertible notes (the “December 18, 2012 Notes”) with a maturity date of one year after the issuance thereof in the aggregate principal amount of $50,000. The note holders have the option to convert a portion or all of the outstanding balance of the November 20, 2012 Note including any accrued interest into shares of the Company’s common stock at a conversion rate of $0.10 per share.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December 18, 2012 Notes carry an interest rate of 9%, due and payable on the maturity date.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January 5, 2013 Convertible Notes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January 5, 2013, the Company exchanged amounts due to related parties into convertible notes (the “January 5, 2013 Notes”) with no terms of repayment and no interest charges in the aggregate principal amount of $567,729. The related parties have the option to convert a portion or all of the outstanding balance of the January 5, 2013 Notes into shares of the Company’s common stock at a conversion rate of $0.08 per share.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February 27, 2013 Convertible Note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February 27, 2013, the Company entered into a securities purchase agreement with an accredited investor to place a Convertible Note (the “February 27, 2013 Note”) with a maturity date of one year after the issuance thereof in the aggregate principal amount of $55,710. Consideration under the notes consisted of $46,000 in cash proceeds after $4,000 payment of finders’ fee and an original issue discount of $5,710. The note holder has the option to convert a portion or all of the outstanding balance of the February 27, 2013 Note including any accrued interest into shares of the Company’s common stock at a conversion rate of $0.09 per share or 70% of the lowest traded price in the 25 trading days prior to conversion.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February 27, 2013 Note carries no interest if the Company repays the note within 90 days from issuance. If the Company does not repay the note within 90 days, a one-time interest of 5% shall apply to the principal sum.</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finder’s fee of $4,000 was accounted for as deferred financing costs, and is being amortized over the term of the note. At June 30, 2013, $2,652 of the $23,794 in deferred financing costs relates to the February 27, 2013 Note which remains unamortized, and is presented in current assets on the Company’s Balance Sheet.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7" w:name="PGBRK15"/>
      <w:bookmarkStart w:id="138" w:name="PGBRK15"/>
      <w:bookmarkEnd w:id="1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9" w:name="FTR15"/>
      <w:bookmarkStart w:id="140" w:name="FTR15"/>
      <w:bookmarkEnd w:id="1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41" w:name="GLFTR15"/>
      <w:bookmarkEnd w:id="14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42" w:name="PN15"/>
      <w:bookmarkEnd w:id="142"/>
      <w:r>
        <w:rPr>
          <w:rFonts w:ascii="Times New Roman" w:hAnsi="Times New Roman"/>
          <w:sz w:val="20"/>
        </w:rPr>
        <w:t>16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3" w:name="HDR15"/>
      <w:bookmarkStart w:id="144" w:name="HDR15"/>
      <w:bookmarkEnd w:id="1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5" w:name="GLHDR15"/>
      <w:bookmarkEnd w:id="14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has allocated the net proceeds to the conversion option based on the calculated fair value. The fair value of the conversion option was recorded at $44,700 and recognized as a derivative liability and the debt was recorded at $5,300. The fair value of the conversion option was calculated using the Binomial option pricing model under the following assumptions: estimated life of one year, risk free rate of 0.17%, dividend yield of 0% and volatility of 123.76%. The debt discount is being accreted over the one year term of the February 27, 2013 Note using the effective interest rate method.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For the six months ended June 30, 2013, accretion of the debt discount of $16,987 was recorded for the February 27, 2013 Note.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April 2, 2013 Convertible Note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April 2, 2013, the Company exchanged accounts payable into convertible notes (the “April 2, 2013 Note”) in the aggregate principal amount of $80,967. The note holder has the option to convert a portion or all of the outstanding balance of the April 2, 2013 Note into shares of the Company’s common stock at a conversion rate of $0.07 per share.  The note will incur an interest rate of 8% per year unless the Company defaults under certain conditions, in which case, the note will incur an interest rate of 20% per year.</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April 18, 2013 Convertible Note</w:t>
      </w:r>
    </w:p>
    <w:p>
      <w:pPr>
        <w:pStyle w:val="TextBody"/>
        <w:spacing w:before="0" w:after="0"/>
        <w:ind w:left="0" w:right="0" w:hanging="0"/>
        <w:jc w:val="left"/>
        <w:rPr>
          <w:rFonts w:ascii="Times New Roman" w:hAnsi="Times New Roman"/>
          <w:sz w:val="20"/>
        </w:rPr>
      </w:pPr>
      <w:r>
        <w:rPr>
          <w:rFonts w:ascii="Times New Roman" w:hAnsi="Times New Roman"/>
          <w:sz w:val="20"/>
        </w:rPr>
        <w:t>Note due December 18, 2013</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April 18, 2013, the Company entered into a securities purchase agreement with an accredited investor to place a Convertible Note (the “April 18, 2013 Note”) with a maturity date of eight months after the issuance thereof in the aggregate principal amount of $60,000. Consideration under the notes consisted of $50,000 in cash proceeds after $5,000 payment of transaction costs and an original issue discount of $5,000. The note holder has the option to convert a portion or all of the outstanding balance of the April 18, 2013 Note including any accrued interest into shares of the Company’s common stock at a conversion rate of $0.12 per share or 70% of the average of the lowest closing bidding price in the 20 trading days prior to conversion.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April 18, 2013 Note carries an interest rate of 8% per year unless the note is in default under certain conditions, in which case, the interest rate would be 18% per year.</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has allocated the net proceeds to the conversion option based on the calculated fair value. The fair value of the conversion option was recorded at $27,800 and recognized as a derivative liability and the debt was recorded at $27,200. The fair value of the conversion option was calculated using the Binomial option pricing model under the following assumptions: estimated life of eight months, risk free rate of 0.10%, dividend yield of 0% and volatility of 115.82%. The debt discount is being accreted over the eight month term of the April 18, 2013 Note using the effective interest rate method.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For the six months ended June 30, 2013, accretion of the debt discount of $10,146 was recorded for the April 18, 2013 Note.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May 5, 2013 Convertible Note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May 5, 2013, the Company exchanged accounts payable into convertible notes (the “May 5, 2013 Note”) in the aggregate principal amount of $45,000. The note holder has the option to convert a portion or all of the outstanding balance of the May 5, 2013 Note into shares of the Company’s common stock at a conversion rate of $0.07 per share.  The note will incur an interest rate of 8% per year unless the Company defaults under certain conditions, in which case, the note will incur an interest rate of 20% per year.</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May 14, 2013 Convertible Note</w:t>
      </w:r>
    </w:p>
    <w:p>
      <w:pPr>
        <w:pStyle w:val="TextBody"/>
        <w:spacing w:before="0" w:after="0"/>
        <w:ind w:left="0" w:right="0" w:hanging="0"/>
        <w:jc w:val="both"/>
        <w:rPr>
          <w:rFonts w:ascii="Times New Roman" w:hAnsi="Times New Roman"/>
          <w:sz w:val="20"/>
        </w:rPr>
      </w:pPr>
      <w:r>
        <w:rPr>
          <w:rFonts w:ascii="Times New Roman" w:hAnsi="Times New Roman"/>
          <w:sz w:val="20"/>
        </w:rPr>
        <w:t>Note due May 14, 2014</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May 14, 2013, the Company entered into a securities purchase agreement with an accredited investor to place a Convertible Note (the “May 14, 2013 Note”) with a maturity date of one year after the issuance thereof in the aggregate principal amount of $126,000. The Company also issued 2,000,000 warrants to the note holder, exercisable at $0.06 per share with a four year term. Consideration under the notes consisted of $110,000 in cash proceeds after $5,000 payment of finders’ fee and an original issue discount of $11,000. The note holder has the option to convert a portion or all of the outstanding balance of the May 14, 2013 Note including any accrued interest into shares of the Company’s common stock at a conversion rate of $0.072 per share or 70% of the average of the lowest closing bid prices in the 20 trading days prior to conversion.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May 14, 2013 Note carries an interest rate of 8% per year unless the note is in default, in which case, the note will incur an interest rate of 18% per year.</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finder’s fee of $5,000 was accounted for as deferred financing costs, and is being amortized over the term of the note. At June 30, 2013, $4,356 of the $23,794 in deferred financing costs relates to the May 14, 2013 Note which remains unamortized, and is presented in current assets on the Company’s Balance Sheet.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6" w:name="PGBRK16"/>
      <w:bookmarkStart w:id="147" w:name="PGBRK16"/>
      <w:bookmarkEnd w:id="1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8" w:name="FTR16"/>
      <w:bookmarkStart w:id="149" w:name="FTR16"/>
      <w:bookmarkEnd w:id="1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50" w:name="GLFTR16"/>
      <w:bookmarkEnd w:id="15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51" w:name="PN16"/>
      <w:bookmarkEnd w:id="151"/>
      <w:r>
        <w:rPr>
          <w:rFonts w:ascii="Times New Roman" w:hAnsi="Times New Roman"/>
          <w:sz w:val="20"/>
        </w:rPr>
        <w:t>17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2" w:name="HDR16"/>
      <w:bookmarkStart w:id="153" w:name="HDR16"/>
      <w:bookmarkEnd w:id="1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54" w:name="GLHDR16"/>
      <w:bookmarkEnd w:id="15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has allocated the net proceeds to the conversion option and warrants based on the calculated fair values. The fair value of the conversion option was recorded at $115,000 and fair value of the warrants was recorded as $96,000 recognized as a derivative liabilities and the debt was recorded at $nil. The transaction resulted in an accounting loss on debt financing of $96,000. The fair value of the conversion option was calculated using the Binomial option pricing model under the following assumptions: estimated life of one year, risk free rate of 0.15%, dividend yield of 0% and volatility of 149.87%. The debt discount has being accreted of the May 14, 2013 Note using the effective interest rate method.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For the six months ended June 30, 2013, accretion of the debt discount of $16,225 was recorded for the May 14, 2013 Note.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June 27, 2013 Convertible Note</w:t>
      </w:r>
    </w:p>
    <w:p>
      <w:pPr>
        <w:pStyle w:val="TextBody"/>
        <w:spacing w:before="0" w:after="0"/>
        <w:ind w:left="0" w:right="0" w:hanging="0"/>
        <w:jc w:val="both"/>
        <w:rPr>
          <w:rFonts w:ascii="Times New Roman" w:hAnsi="Times New Roman"/>
          <w:sz w:val="20"/>
        </w:rPr>
      </w:pPr>
      <w:r>
        <w:rPr>
          <w:rFonts w:ascii="Times New Roman" w:hAnsi="Times New Roman"/>
          <w:sz w:val="20"/>
        </w:rPr>
        <w:t>Note due June 27, 2014</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June 27, 2013, the Company entered into a securities purchase agreement with an accredited investor to place a Convertible Note (the “June 27, 2013 Note”) with a maturity date of one year after the issuance thereof in the aggregate principal amount of $36,333. Consideration under the notes consisted of $30,000 in cash proceeds after $3,000 payment of finder’s fee and an original issue discount of $3,333. The note holder has the option to convert a portion or all of the outstanding balance of the June 27, 2013 Note including any accrued interest into shares of the Company’s common stock at a conversion rate of $0.09 per share or 70% of the lowest traded price in the 25 trading days prior to conversion.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June 27, 2013 Note carries no interest if the Company repays the note within 90 days from issuance. If the Company does not repay the note within 90 days, a one-time interest of 5% shall apply to the principal sum.</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finder’s fee of $3,000 was accounted for as deferred financing costs, and is being amortized over the term of the note. At June 30, 2013, 3,000 of the $23,794 in deferred financing costs relates to the June 27, 2013 Note which remains unamortized, and is presented in current assets on the Company’s Balance Sheet.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has allocated the net proceeds to the conversion option based on the calculated fair value. The fair value of the conversion option was recorded at $30,200 and recognized as a derivative liability and the debt was recorded at $2,800. The fair value of the conversion option was calculated using the Binomial option pricing model under the following assumptions: estimated life of one year, risk free rate of 0.15%, dividend yield of 0% and volatility of 156.41%. The debt discount is being accreted over the one year term of the June 27, 2013 Note using the effective interest rate method.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For the six months ended June 30, 2013, accretion of the debt discount of $276 was recorded for the June 27, 2013 Note.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NOTE 6:</w:t>
      </w:r>
      <w:r>
        <w:rPr>
          <w:rFonts w:ascii="Times New Roman" w:hAnsi="Times New Roman"/>
          <w:b/>
          <w:sz w:val="20"/>
        </w:rPr>
        <w:t>                 </w:t>
      </w:r>
      <w:r>
        <w:rPr>
          <w:rFonts w:ascii="Times New Roman" w:hAnsi="Times New Roman"/>
          <w:b/>
          <w:sz w:val="20"/>
          <w:u w:val="single"/>
        </w:rPr>
        <w:t>LOANS PAYABLE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at June 30, 2013, there were unsecured loan advances from third parties in the amount of $10,000 (December 31, 2012 - $10,000), which is due on demand. The loan is accruing interest of 10% per annum.</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NOTE 7:</w:t>
      </w:r>
      <w:r>
        <w:rPr>
          <w:rFonts w:ascii="Times New Roman" w:hAnsi="Times New Roman"/>
          <w:b/>
          <w:sz w:val="20"/>
        </w:rPr>
        <w:t>                 </w:t>
      </w:r>
      <w:r>
        <w:rPr>
          <w:rFonts w:ascii="Times New Roman" w:hAnsi="Times New Roman"/>
          <w:b/>
          <w:sz w:val="20"/>
          <w:u w:val="single"/>
        </w:rPr>
        <w:t>PROMISSORY NOTES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year ended December 31, 2011, the Company issued a note in the amount of $100,000 towards future legal services, which matured July 24, 2011. As of December 31, 2012, the Company had received legal services in the amount of $100,000 against the note. The note bears interest at 10% per annum and may be converted into shares at equal to lower of $0.09 or 65% of the arithmetic average of the lowest closing bid prices of the Company’s shares during the consecutive twenty day trading period prior to notice of conversion.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year ended December 31, 2012, the Company issued 500,000 shares to the holder of the note in exchange for the note holder’s agreement to forbear from pursuing collections actions on the outstanding note (Note 9) and converted the promissory note into three convertible notes (Note 5).</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year ended December 31, 2012, the Company issued additional promissory notes in the amount of $67,942, of which $38,000 of promissory notes were issued to an officer and a director of the Company (Note 8). The promissory notes had no interest charges and no fixed repayment terms.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six months ended June 30, 2013, the Company converted $210,000 of accounts payable into a promissory note, payable on a preset schedule of payments starting in April 2013. Any of the late payments will incur interest at the rate of 9% per year. The Company had not made any payments and was in default of the payment schedule. The payments in default are accruing interest of 9% per year.</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5" w:name="PGBRK17"/>
      <w:bookmarkStart w:id="156" w:name="PGBRK17"/>
      <w:bookmarkEnd w:id="1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7" w:name="FTR17"/>
      <w:bookmarkStart w:id="158" w:name="FTR17"/>
      <w:bookmarkEnd w:id="1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59" w:name="GLFTR17"/>
      <w:bookmarkEnd w:id="15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60" w:name="PN17"/>
      <w:bookmarkEnd w:id="160"/>
      <w:r>
        <w:rPr>
          <w:rFonts w:ascii="Times New Roman" w:hAnsi="Times New Roman"/>
          <w:sz w:val="20"/>
        </w:rPr>
        <w:t>18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1" w:name="HDR17"/>
      <w:bookmarkStart w:id="162" w:name="HDR17"/>
      <w:bookmarkEnd w:id="1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63" w:name="GLHDR17"/>
      <w:bookmarkEnd w:id="16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NOTE 8:</w:t>
      </w:r>
      <w:r>
        <w:rPr>
          <w:rFonts w:ascii="Times New Roman" w:hAnsi="Times New Roman"/>
          <w:b/>
          <w:sz w:val="20"/>
        </w:rPr>
        <w:t>                 </w:t>
      </w:r>
      <w:r>
        <w:rPr>
          <w:rFonts w:ascii="Times New Roman" w:hAnsi="Times New Roman"/>
          <w:b/>
          <w:sz w:val="20"/>
          <w:u w:val="single"/>
        </w:rPr>
        <w:t>RELATED PARTY TRANSACTIONS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six months ended June 30, 2013, the Company entered into transactions with certain officers and directors of the Company as follows: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64" w:name="hangingindent"/>
      <w:bookmarkStart w:id="165" w:name="hangingindent"/>
      <w:bookmarkEnd w:id="165"/>
    </w:p>
    <w:tbl>
      <w:tblPr>
        <w:tblW w:w="5000" w:type="pct"/>
        <w:jc w:val="center"/>
        <w:tblInd w:w="0" w:type="dxa"/>
        <w:tblCellMar>
          <w:top w:w="0" w:type="dxa"/>
          <w:left w:w="0" w:type="dxa"/>
          <w:bottom w:w="0" w:type="dxa"/>
          <w:right w:w="0" w:type="dxa"/>
        </w:tblCellMar>
      </w:tblPr>
      <w:tblGrid>
        <w:gridCol w:w="95"/>
        <w:gridCol w:w="206"/>
        <w:gridCol w:w="9904"/>
      </w:tblGrid>
      <w:tr>
        <w:trPr/>
        <w:tc>
          <w:tcPr>
            <w:tcW w:w="95" w:type="dxa"/>
            <w:tcBorders/>
            <w:shd w:fill="auto" w:val="clear"/>
          </w:tcPr>
          <w:p>
            <w:pPr>
              <w:pStyle w:val="TableContents"/>
              <w:spacing w:before="0" w:after="0"/>
              <w:rPr/>
            </w:pPr>
            <w:r>
              <w:rPr/>
              <w:t xml:space="preserve">  </w:t>
            </w:r>
          </w:p>
        </w:tc>
        <w:tc>
          <w:tcPr>
            <w:tcW w:w="206"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90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incurred $178,500 (June 30, 2012 - $102,600) in management fees and $66,000 (June 30, 2012 - $45,000) in research and development services paid to officers and directors during the period;</w:t>
            </w:r>
          </w:p>
        </w:tc>
      </w:tr>
    </w:tbl>
    <w:p>
      <w:pPr>
        <w:pStyle w:val="TextBody"/>
        <w:spacing w:before="0" w:after="0"/>
        <w:ind w:left="0" w:right="0" w:hanging="0"/>
        <w:rPr/>
      </w:pPr>
      <w:r>
        <w:rPr/>
      </w:r>
    </w:p>
    <w:p>
      <w:pPr>
        <w:pStyle w:val="Normal"/>
        <w:spacing w:before="0" w:after="0"/>
        <w:rPr>
          <w:sz w:val="4"/>
          <w:szCs w:val="4"/>
        </w:rPr>
      </w:pPr>
      <w:r>
        <w:rPr>
          <w:sz w:val="4"/>
          <w:szCs w:val="4"/>
        </w:rPr>
      </w:r>
      <w:bookmarkStart w:id="166" w:name="hangingindent1"/>
      <w:bookmarkStart w:id="167" w:name="hangingindent1"/>
      <w:bookmarkEnd w:id="167"/>
    </w:p>
    <w:tbl>
      <w:tblPr>
        <w:tblW w:w="5000" w:type="pct"/>
        <w:jc w:val="center"/>
        <w:tblInd w:w="0" w:type="dxa"/>
        <w:tblCellMar>
          <w:top w:w="0" w:type="dxa"/>
          <w:left w:w="0" w:type="dxa"/>
          <w:bottom w:w="0" w:type="dxa"/>
          <w:right w:w="0" w:type="dxa"/>
        </w:tblCellMar>
      </w:tblPr>
      <w:tblGrid>
        <w:gridCol w:w="98"/>
        <w:gridCol w:w="224"/>
        <w:gridCol w:w="9883"/>
      </w:tblGrid>
      <w:tr>
        <w:trPr/>
        <w:tc>
          <w:tcPr>
            <w:tcW w:w="98" w:type="dxa"/>
            <w:tcBorders/>
            <w:shd w:fill="auto" w:val="clear"/>
          </w:tcPr>
          <w:p>
            <w:pPr>
              <w:pStyle w:val="TableContents"/>
              <w:spacing w:before="0" w:after="0"/>
              <w:rPr/>
            </w:pPr>
            <w:r>
              <w:rPr/>
              <w:t xml:space="preserve">  </w:t>
            </w:r>
          </w:p>
        </w:tc>
        <w:tc>
          <w:tcPr>
            <w:tcW w:w="22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88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recorded $14,925 (June 30, 2012 - $115,626) in stock based compensation for the fair value of options granted to management that were granted and or vested during the period;</w:t>
            </w:r>
          </w:p>
        </w:tc>
      </w:tr>
    </w:tbl>
    <w:p>
      <w:pPr>
        <w:pStyle w:val="TextBody"/>
        <w:spacing w:before="0" w:after="0"/>
        <w:ind w:left="0" w:right="0" w:hanging="0"/>
        <w:rPr/>
      </w:pPr>
      <w:r>
        <w:rPr/>
      </w:r>
    </w:p>
    <w:p>
      <w:pPr>
        <w:pStyle w:val="Normal"/>
        <w:spacing w:before="0" w:after="0"/>
        <w:rPr>
          <w:sz w:val="4"/>
          <w:szCs w:val="4"/>
        </w:rPr>
      </w:pPr>
      <w:r>
        <w:rPr>
          <w:sz w:val="4"/>
          <w:szCs w:val="4"/>
        </w:rPr>
      </w:r>
      <w:bookmarkStart w:id="168" w:name="hangingindent2"/>
      <w:bookmarkStart w:id="169" w:name="hangingindent2"/>
      <w:bookmarkEnd w:id="169"/>
    </w:p>
    <w:tbl>
      <w:tblPr>
        <w:tblW w:w="5000" w:type="pct"/>
        <w:jc w:val="center"/>
        <w:tblInd w:w="0" w:type="dxa"/>
        <w:tblCellMar>
          <w:top w:w="0" w:type="dxa"/>
          <w:left w:w="0" w:type="dxa"/>
          <w:bottom w:w="0" w:type="dxa"/>
          <w:right w:w="0" w:type="dxa"/>
        </w:tblCellMar>
      </w:tblPr>
      <w:tblGrid>
        <w:gridCol w:w="121"/>
        <w:gridCol w:w="232"/>
        <w:gridCol w:w="9852"/>
      </w:tblGrid>
      <w:tr>
        <w:trPr/>
        <w:tc>
          <w:tcPr>
            <w:tcW w:w="121" w:type="dxa"/>
            <w:tcBorders/>
            <w:shd w:fill="auto" w:val="clear"/>
          </w:tcPr>
          <w:p>
            <w:pPr>
              <w:pStyle w:val="TableContents"/>
              <w:spacing w:before="0" w:after="0"/>
              <w:rPr/>
            </w:pPr>
            <w:r>
              <w:rPr/>
              <w:t xml:space="preserve">  </w:t>
            </w:r>
          </w:p>
        </w:tc>
        <w:tc>
          <w:tcPr>
            <w:tcW w:w="23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(c)</w:t>
            </w:r>
          </w:p>
        </w:tc>
        <w:tc>
          <w:tcPr>
            <w:tcW w:w="985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converted $nil (June 30, 2012 - $50,000) of debt due to related parties during the period, which were settled with shares;</w:t>
            </w:r>
          </w:p>
        </w:tc>
      </w:tr>
    </w:tbl>
    <w:p>
      <w:pPr>
        <w:pStyle w:val="TextBody"/>
        <w:spacing w:before="0" w:after="0"/>
        <w:ind w:left="0" w:right="0" w:hanging="0"/>
        <w:rPr/>
      </w:pPr>
      <w:r>
        <w:rPr/>
      </w:r>
    </w:p>
    <w:p>
      <w:pPr>
        <w:pStyle w:val="Normal"/>
        <w:spacing w:before="0" w:after="0"/>
        <w:rPr>
          <w:sz w:val="4"/>
          <w:szCs w:val="4"/>
        </w:rPr>
      </w:pPr>
      <w:r>
        <w:rPr>
          <w:sz w:val="4"/>
          <w:szCs w:val="4"/>
        </w:rPr>
      </w:r>
      <w:bookmarkStart w:id="170" w:name="hangingindent3"/>
      <w:bookmarkStart w:id="171" w:name="hangingindent3"/>
      <w:bookmarkEnd w:id="171"/>
    </w:p>
    <w:tbl>
      <w:tblPr>
        <w:tblW w:w="5000" w:type="pct"/>
        <w:jc w:val="center"/>
        <w:tblInd w:w="0" w:type="dxa"/>
        <w:tblCellMar>
          <w:top w:w="0" w:type="dxa"/>
          <w:left w:w="0" w:type="dxa"/>
          <w:bottom w:w="0" w:type="dxa"/>
          <w:right w:w="0" w:type="dxa"/>
        </w:tblCellMar>
      </w:tblPr>
      <w:tblGrid>
        <w:gridCol w:w="133"/>
        <w:gridCol w:w="272"/>
        <w:gridCol w:w="9800"/>
      </w:tblGrid>
      <w:tr>
        <w:trPr/>
        <w:tc>
          <w:tcPr>
            <w:tcW w:w="133" w:type="dxa"/>
            <w:tcBorders/>
            <w:shd w:fill="auto" w:val="clear"/>
          </w:tcPr>
          <w:p>
            <w:pPr>
              <w:pStyle w:val="TableContents"/>
              <w:spacing w:before="0" w:after="0"/>
              <w:rPr/>
            </w:pPr>
            <w:r>
              <w:rPr/>
              <w:t xml:space="preserve">  </w:t>
            </w:r>
          </w:p>
        </w:tc>
        <w:tc>
          <w:tcPr>
            <w:tcW w:w="27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(d)</w:t>
            </w:r>
          </w:p>
        </w:tc>
        <w:tc>
          <w:tcPr>
            <w:tcW w:w="980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issued $nil (June 30, 2012 - $38,000) in promissory notes to an officer and director of the Company (Note 5).</w:t>
            </w:r>
          </w:p>
        </w:tc>
      </w:tr>
    </w:tbl>
    <w:p>
      <w:pPr>
        <w:pStyle w:val="TextBody"/>
        <w:spacing w:before="0" w:after="0"/>
        <w:ind w:left="0" w:right="0" w:hanging="0"/>
        <w:rPr/>
      </w:pPr>
      <w:r>
        <w:rPr/>
      </w:r>
    </w:p>
    <w:p>
      <w:pPr>
        <w:pStyle w:val="Normal"/>
        <w:spacing w:before="0" w:after="0"/>
        <w:rPr>
          <w:sz w:val="4"/>
          <w:szCs w:val="4"/>
        </w:rPr>
      </w:pPr>
      <w:r>
        <w:rPr>
          <w:sz w:val="4"/>
          <w:szCs w:val="4"/>
        </w:rPr>
      </w:r>
      <w:bookmarkStart w:id="172" w:name="hangingindent4"/>
      <w:bookmarkStart w:id="173" w:name="hangingindent4"/>
      <w:bookmarkEnd w:id="173"/>
    </w:p>
    <w:tbl>
      <w:tblPr>
        <w:tblW w:w="5000" w:type="pct"/>
        <w:jc w:val="center"/>
        <w:tblInd w:w="0" w:type="dxa"/>
        <w:tblCellMar>
          <w:top w:w="0" w:type="dxa"/>
          <w:left w:w="0" w:type="dxa"/>
          <w:bottom w:w="0" w:type="dxa"/>
          <w:right w:w="0" w:type="dxa"/>
        </w:tblCellMar>
      </w:tblPr>
      <w:tblGrid>
        <w:gridCol w:w="114"/>
        <w:gridCol w:w="225"/>
        <w:gridCol w:w="9866"/>
      </w:tblGrid>
      <w:tr>
        <w:trPr/>
        <w:tc>
          <w:tcPr>
            <w:tcW w:w="114" w:type="dxa"/>
            <w:tcBorders/>
            <w:shd w:fill="auto" w:val="clear"/>
          </w:tcPr>
          <w:p>
            <w:pPr>
              <w:pStyle w:val="TableContents"/>
              <w:spacing w:before="0" w:after="0"/>
              <w:rPr/>
            </w:pPr>
            <w:r>
              <w:rPr/>
              <w:t xml:space="preserve">  </w:t>
            </w:r>
          </w:p>
        </w:tc>
        <w:tc>
          <w:tcPr>
            <w:tcW w:w="22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(e)</w:t>
            </w:r>
          </w:p>
        </w:tc>
        <w:tc>
          <w:tcPr>
            <w:tcW w:w="986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converted $567,729 (2012 - $nil) of payable into convertible notes to officers, consultant and a director of the Company (Note 5).</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All related party transactions (other than stock based consideration) involving provision of services were recorded at the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exchange amount, which is the amount established and agreed to by the related parties as representing fair value. The Company accounted for the debt settlement transactions with related parties at management’s estimate of fair value, using amounts similar to arm’s length settlements for debt settled.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At June 30, 2013, the Company had amounts owing to directors, consultants and officers of $269,845 (December 31, 2012 - $293,805). Amounts due to related parties are unsecured, non-interest bearing and have no specific terms of repayment.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NOTE 9:</w:t>
      </w:r>
      <w:r>
        <w:rPr>
          <w:rFonts w:ascii="Times New Roman" w:hAnsi="Times New Roman"/>
          <w:b/>
          <w:sz w:val="20"/>
        </w:rPr>
        <w:t>                 </w:t>
      </w:r>
      <w:r>
        <w:rPr>
          <w:rFonts w:ascii="Times New Roman" w:hAnsi="Times New Roman"/>
          <w:b/>
          <w:sz w:val="20"/>
          <w:u w:val="single"/>
        </w:rPr>
        <w:t>CAPITAL STOCK</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u w:val="single"/>
        </w:rPr>
      </w:pPr>
      <w:r>
        <w:rPr>
          <w:rFonts w:ascii="Times New Roman" w:hAnsi="Times New Roman"/>
          <w:b/>
          <w:i/>
          <w:sz w:val="20"/>
          <w:u w:val="single"/>
        </w:rPr>
        <w:t>Share Capital</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Prior to March 27, 2007, the authorized capital of the Company consisted of 50,000,000 common shares with $0.001 par value and 5,000,000 non-voting preferred shares with $0.001 par value. On March 27, 2007, the Company’s Articles of Incorporation were amended to increase the authorized shares of common stock from 50,000,000 shares of common stock to 200,000,000 shares. On June 28, 2007, the Company completed a reverse stock split thereby issuing 1 new share for each 2.5 outstanding shares of the Company’s common stock.  Accordingly, the Company’s authorized share capital was decreased from 200,000,000 common shares to 80,000,000 common shares. On January 22, 2009 the authorized shares of common stock increased from 80,000,000 shares to 500,000,000 shares. Effective July 10, 2009, the Company executed a further 1 for 10 reverse stock split while simultaneously reducing the authorized shares of common stock to 50,000,000 common shares with a $0.001 par value. Effective February 21, 2010, the Company increased its authorized shares of common stock from 50,000,000 shares to 150,000,000 common shares. The Company maintained its authorized shares of preferred stock at 5,000,000.</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All prior period share transactions included in the Company’s stock transactions and balances have been retroactively restated for the transactions described above.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u w:val="single"/>
        </w:rPr>
      </w:pPr>
      <w:r>
        <w:rPr>
          <w:rFonts w:ascii="Times New Roman" w:hAnsi="Times New Roman"/>
          <w:b/>
          <w:i/>
          <w:sz w:val="20"/>
          <w:u w:val="single"/>
        </w:rPr>
        <w:t>2013 Share Transactions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January 2013, the Company issued 231,332 shares of its restricted common stock for conversion of one of the two November 1, 2012 Notes (Note 5) at a conversion price of $.0662 per share. The fair value of the shares was determined to be $36,550 based on the quoted market price of $0.158 per share. The Company recorded $21,230 as loss on settlement of debt.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February 2013, the Company issued 250,000 common shares to a consultant pursuant to a consulting agreement. The fair value of the shares was determined to be $28,925 based on the quoted market price of $0.116 per share.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February 2013, the Company issued 1,898,588 common shares on a cashless conversion of 3,000,000 warrants at an exercise price of $0.0572. The fair value of the shares was determined to be $246,816 based on the quoted market price of $0.13 per share.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March 2013, the Company issued 100,000 common shares to a consultant pursuant to a consulting agreement. The fair value of the shares was determined to be $10,010 based on the quoted market price of $0.1001 per share.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February and March 2013, the Company received subscription proceeds of $242,950. The subscribers purchased 3,470,709 share units at $0.07 per unit. Each unit consists of one share of Company’s common stock and one warrant exercisable at $0.07, which expires in two years. The fair value of these warrants was determined to be $245,000.</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74" w:name="PGBRK18"/>
      <w:bookmarkStart w:id="175" w:name="PGBRK18"/>
      <w:bookmarkEnd w:id="1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6" w:name="FTR18"/>
      <w:bookmarkStart w:id="177" w:name="FTR18"/>
      <w:bookmarkEnd w:id="1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78" w:name="GLFTR18"/>
      <w:bookmarkEnd w:id="17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79" w:name="PN18"/>
      <w:bookmarkEnd w:id="179"/>
      <w:r>
        <w:rPr>
          <w:rFonts w:ascii="Times New Roman" w:hAnsi="Times New Roman"/>
          <w:sz w:val="20"/>
        </w:rPr>
        <w:t>19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0" w:name="HDR18"/>
      <w:bookmarkStart w:id="181" w:name="HDR18"/>
      <w:bookmarkEnd w:id="1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82" w:name="GLHDR18"/>
      <w:bookmarkEnd w:id="18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period ended June 30, 2013, the Company issued 3,176,334 shares of its restricted common stock for conversion of December 14, 2012 Note (Note 5) at a conversion price of $.0603 per share. The fair value of the shares was determined to be $404,849 based on the average quoted market price of $0.1245 per share. The Company recorded $213,316 as loss on settlement of debt.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period ended June 30, 2013, the Company issued 1,944,444 shares of its restricted common stock for partial conversion of September 18, 2012 Note (Note 5) at an average conversion price of $.036 per share. The fair value of the shares was determined to be $166,667 based on the average quoted market price of $0.0857 per share. The Company recorded $96,667 as loss on settlement of debt.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period ended June 30, 2013, the Company issued 1,050,000 shares of its restricted common stock for partial conversion of August 8, 2012 Note (Note 5) at an average conversion price of $.0681 per share. The fair value of the shares was determined to be $110,700 based on the average quoted market price of $0.1063 per share. The Company recorded $39,160 as loss on settlement of debt.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April 2013, the Company issued 281,490 shares of its restricted common stock for conversion of the balance of the November 1, 2012 Notes (Note 5) at a conversion price of $.0607 per share. The fair value of the shares was determined to be $28,490 based on the quoted market price of $0.108 per share. The Company recorded $11,059 as loss on settlement of debt.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period ended June 30, 2013, the Company issued 18,464,921 shares of its restricted common stock for settlement of accounts payable in the amount of $510,572. The fair value of the shares was determined to be $1,101,527 based on the average quoted market price of $0.0597 per share. The Company recorded $585,955 as loss on settlement of debt.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period ended June 30, 2013, the Company issued 250,000 shares of its restricted common stock under a settlement agreement with a former director of the Company. The fair value of the shares was determined to be $8,175 based on the average quoted market price of $0.0327 per share. The Company recorded $8,175 as stock-based management fee.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period ended June 30, 2013, the Company issued 5,050,133 shares of its restricted common stock for and agreed to issue an additional 318,823 shares of its restricted common stock for conversion of October 9, 2012 Convertible Notes (Note 5). The fair value of the shares was determined to be $248,278 based on the average quoted market price of $0.0462 per share. The Company recorded $135,527 as loss on settlement of debt.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period ended June 30, 2013, the Company issued 3,000,000 shares of its restricted common stock for conversion of the balances of the August 8, 2012 Note and November 20, 2013 Note (Note 5) at an average conversion price of $.021 per share. The fair value of the shares was determined to be $137,200 based on the average quoted market price of $0.0457 per share. The Company recorded $74,200 as loss on settlement of debt.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u w:val="single"/>
        </w:rPr>
      </w:pPr>
      <w:r>
        <w:rPr>
          <w:rFonts w:ascii="Times New Roman" w:hAnsi="Times New Roman"/>
          <w:b/>
          <w:i/>
          <w:sz w:val="20"/>
          <w:u w:val="single"/>
        </w:rPr>
        <w:t>2012 Share Transactions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March 15, 2012, the Company issued 333,334 shares of its restricted common stock to related parties, pursuant to debt settlement agreements to settle $50,000 of outstanding trade payable. At the time of issuance the fair value of the shares was determined to be $50,000 based on the quoted market price of $0.15 per share.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March 15, 2012, the Company issued 400,000 shares of its restricted common stock pursuant to a debt settlement and a consulting agreement. At the time of issuance the fair value of the shares was determined to be $71,200 based on the quoted market price of $0.15 per share. The Company recorded $9,930 as gain on settlement of debt.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March 15, 2012, the Company issued 789,778 shares of its restricted common stock in settlement of accrued interest on the outstanding 2011 Notes. At the time of issuance the fair value of the shares was determined to be $118,467 based on the quoted market price of $0.15 per share. No gain or loss was recorded on settlement.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March 2012, the Company received subscription proceeds of $85,000. The subscribers purchased 733,334 share units at $0.15 per unit. Each unit consists of 1 share of Company’s common stock and half a warrant exercisable at $0.40, which expires in two years. The fair value of these warrants was determined to be $5,133.</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April 2012, the Company received subscription proceeds of $345,000. The subscribers purchased 2,300,000 share units at $0.15 per unit. Each unit consists of 1 share of Company’s common stock and half a warrant exercisable at $0.40, which expires in two years. The fair value of these warrants was determined to be $123,000.</w:t>
      </w:r>
    </w:p>
    <w:p>
      <w:pPr>
        <w:pStyle w:val="TextBody"/>
        <w:spacing w:before="0" w:after="0"/>
        <w:ind w:left="0" w:right="0" w:hanging="0"/>
        <w:jc w:val="left"/>
        <w:rPr>
          <w:rFonts w:ascii="Times New Roman" w:hAnsi="Times New Roman"/>
          <w:sz w:val="20"/>
        </w:rPr>
      </w:pPr>
      <w:r>
        <w:rPr>
          <w:rFonts w:ascii="Times New Roman" w:hAnsi="Times New Roman"/>
          <w:sz w:val="20"/>
        </w:rPr>
        <w:t>In April, 2012, the Company issued 100,000 shares of its restricted common stock pursuant to a debt settlement and a consulting agreement. At the time of issuance the fair value of the shares was determined to be $18,500 based on the quoted market price of $0.185 per share. The Company recorded $18,758 as gain on settlement.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In April 2012, the Company issued 933,333 restricted common shares, at $0.15 per share, for proceeds of $140,000 received in October 2011, in a private placement.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3" w:name="PGBRK19"/>
      <w:bookmarkStart w:id="184" w:name="PGBRK19"/>
      <w:bookmarkEnd w:id="1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5" w:name="FTR19"/>
      <w:bookmarkStart w:id="186" w:name="FTR19"/>
      <w:bookmarkEnd w:id="1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87" w:name="GLFTR19"/>
      <w:bookmarkEnd w:id="18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88" w:name="PN19"/>
      <w:bookmarkEnd w:id="188"/>
      <w:r>
        <w:rPr>
          <w:rFonts w:ascii="Times New Roman" w:hAnsi="Times New Roman"/>
          <w:sz w:val="20"/>
        </w:rPr>
        <w:t>20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9" w:name="HDR19"/>
      <w:bookmarkStart w:id="190" w:name="HDR19"/>
      <w:bookmarkEnd w:id="1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91" w:name="GLHDR19"/>
      <w:bookmarkEnd w:id="19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April 2012, the Company issued 1,000,000 common shares to a consultant pursuant to a consulting agreement effective October 1, 2011.</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April, 2012, the Company issued 163,334 shares of its restricted common stock in settlement of accrued interest on the outstanding 2011 Notes. At the time of issuance the fair value of the shares was determined to be $24,500 based on the quoted market price of $0.15 per share. No gain or loss was recorded on settlement.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May 2012, the Company issued 14,000,000 common shares to consultants pursuant to a consulting agreement (Note 12). At the time of issuance the fair value of the shares was determined to be $1,918,000 based on the quoted market price of $0.137 per share.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June 2012, the Company issued 35,179 shares of its restricted common stock pursuant to a consulting agreement. The fair value of the shares was determined to be $6,000 based on the quoted market price of $0.17 per share.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August 2012, the Company issued 500,000 shares of its restricted common stock pursuant to a consulting agreement. The fair value of the shares was determined to be $74,000 based on the quoted market price of $0.148 per share.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September 2012, the Company issued 500,000 shares of its restricted common stock to the holder of a promissory note in exchange for the note holder’s agreement to forebear from pursuing collection action on that note (Note 7). The fair value of the shares was determined to be $72,750 based on the quoted market price of $0.146 per share.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November 2012, the Company issued 437,063 shares of its restricted common stock on election by the holder to convert part of a convertible debt (Note 5) at a conversion price of $.0572 per share. The fair value of the shares was determined to be $55,944 based on the quoted market price of $0.128 per share. The Company recorded $30,944 as loss on settlement of debt.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November 2012, the Company issued 597,185 shares of its restricted common stock on election by the holder to convert part of a convertible debt (Note 5) at a conversion price of $.0586 per share. The fair value of the shares was determined to be $63,003 based on the quoted market price of $0.106 per share. The Company recorded $28,003 as loss on settlement of debt.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November 2012, the Company issued 228,479 shares of its restricted common stock on election by the holder to convert part of a convertible debt (Note 5) at a conversion price of $.0601 per share. The fair value of the shares was determined to be $21,591 based on the quoted market price of $0.095 per share. The Company recorded $7,854 as loss on settlement of debt.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December 2012, the Company issued 1,078,477 shares of its restricted common stock as payment of installment of $65,032 for a convertible debt (Note 5) at a conversion price of $.0603 per share. The fair value of the shares was determined to be $96,523 based on the quoted market price of $0.09 per share. The Company recorded $31,491 as loss on settlement of debt.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u w:val="single"/>
        </w:rPr>
      </w:pPr>
      <w:r>
        <w:rPr>
          <w:rFonts w:ascii="Times New Roman" w:hAnsi="Times New Roman"/>
          <w:b/>
          <w:i/>
          <w:sz w:val="20"/>
          <w:u w:val="single"/>
        </w:rPr>
        <w:t>Stock Compensation Plan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October 14, 2009, the Company adopted the 2009 Stock Incentive Plan (the “2009 Plan”) which supersedes and replaces the 2007 Stock Plan. The 2009 Plan allows for the issuance of up to 10,000,000 common shares. Options granted under the Plan shall be at prices and for terms as determined by the Board of Directors.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April 30, 2012, the Company granted 250,000 stock options to a management at an exercise price of $0.18 per share, vesting monthly over thirty six month period. The aggregate fair value of the grant was estimated at $45,000, or $0.18 per option, using the Black-Scholes Option Pricing Model with weighted average assumptions as follows: a risk free interest rate of 1.95%, a dividend yield of 0%, an expected volatility of 199.0%, and an expected life of 10 years.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May 8, 2012, the Company granted 250,000 stock options to a consultant at an exercise price of $0.17 per share, vesting monthly over twelve month period. The aggregate fair value of the grant was estimated at $40,000, or $0.17 per option, using the Black-Scholes Option Pricing Model with weighted average assumptions as follows: a risk free interest rate of 1.71%, a dividend yield of 0%, an expected volatility of 199.0%, and an expected life of 10 years.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expensed portion of the value of the vesting options during the six months ended June 30, 2013 was $39,341 (June 30, 2012 - $106,072) which was recorded as stock based consulting and management fees. During the period, stock-based consulting and management fees also includes share based compensation.</w:t>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92" w:name="PGBRK20"/>
      <w:bookmarkStart w:id="193" w:name="PGBRK20"/>
      <w:bookmarkEnd w:id="1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4" w:name="FTR20"/>
      <w:bookmarkStart w:id="195" w:name="FTR20"/>
      <w:bookmarkEnd w:id="1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96" w:name="GLFTR20"/>
      <w:bookmarkEnd w:id="19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97" w:name="PN20"/>
      <w:bookmarkEnd w:id="197"/>
      <w:r>
        <w:rPr>
          <w:rFonts w:ascii="Times New Roman" w:hAnsi="Times New Roman"/>
          <w:sz w:val="20"/>
        </w:rPr>
        <w:t>21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8" w:name="HDR20"/>
      <w:bookmarkStart w:id="199" w:name="HDR20"/>
      <w:bookmarkEnd w:id="1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00" w:name="GLHDR20"/>
      <w:bookmarkEnd w:id="20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Share purchase options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 summary of the Company’s stock options as of June 30, 2013 and changes during the period is presented below:</w:t>
      </w:r>
    </w:p>
    <w:p>
      <w:pPr>
        <w:pStyle w:val="TextBody"/>
        <w:spacing w:before="0" w:after="0"/>
        <w:ind w:left="0" w:right="0" w:hanging="0"/>
        <w:jc w:val="both"/>
        <w:rPr/>
      </w:pPr>
      <w:r>
        <w:rPr/>
        <w:t> </w:t>
      </w:r>
    </w:p>
    <w:tbl>
      <w:tblPr>
        <w:tblW w:w="5000" w:type="pct"/>
        <w:jc w:val="left"/>
        <w:tblInd w:w="0" w:type="dxa"/>
        <w:tblCellMar>
          <w:top w:w="28" w:type="dxa"/>
          <w:left w:w="0" w:type="dxa"/>
          <w:bottom w:w="28" w:type="dxa"/>
          <w:right w:w="0" w:type="dxa"/>
        </w:tblCellMar>
      </w:tblPr>
      <w:tblGrid>
        <w:gridCol w:w="5554"/>
        <w:gridCol w:w="113"/>
        <w:gridCol w:w="113"/>
        <w:gridCol w:w="1216"/>
        <w:gridCol w:w="126"/>
        <w:gridCol w:w="113"/>
        <w:gridCol w:w="201"/>
        <w:gridCol w:w="1072"/>
        <w:gridCol w:w="113"/>
        <w:gridCol w:w="113"/>
        <w:gridCol w:w="153"/>
        <w:gridCol w:w="1185"/>
        <w:gridCol w:w="133"/>
      </w:tblGrid>
      <w:tr>
        <w:trPr/>
        <w:tc>
          <w:tcPr>
            <w:tcW w:w="5554" w:type="dxa"/>
            <w:tcBorders>
              <w:top w:val="single" w:sz="12" w:space="0" w:color="000000"/>
              <w:bottom w:val="single" w:sz="12" w:space="0" w:color="000000"/>
            </w:tcBorders>
            <w:shd w:fill="auto" w:val="clear"/>
            <w:vAlign w:val="bottom"/>
          </w:tcPr>
          <w:p>
            <w:pPr>
              <w:pStyle w:val="TableContents"/>
              <w:spacing w:before="0" w:after="283"/>
              <w:rPr/>
            </w:pPr>
            <w:r>
              <w:rPr/>
              <w:t xml:space="preserve">  </w:t>
            </w:r>
          </w:p>
        </w:tc>
        <w:tc>
          <w:tcPr>
            <w:tcW w:w="113" w:type="dxa"/>
            <w:tcBorders>
              <w:top w:val="single" w:sz="12" w:space="0" w:color="000000"/>
            </w:tcBorders>
            <w:shd w:fill="auto" w:val="clear"/>
            <w:tcMar>
              <w:bottom w:w="0" w:type="dxa"/>
            </w:tcMar>
            <w:vAlign w:val="bottom"/>
          </w:tcPr>
          <w:p>
            <w:pPr>
              <w:pStyle w:val="TableContents"/>
              <w:spacing w:before="0" w:after="283"/>
              <w:rPr/>
            </w:pPr>
            <w:r>
              <w:rPr/>
              <w:t> </w:t>
            </w:r>
          </w:p>
        </w:tc>
        <w:tc>
          <w:tcPr>
            <w:tcW w:w="1329"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 of</w:t>
            </w:r>
          </w:p>
          <w:p>
            <w:pPr>
              <w:pStyle w:val="TableContents"/>
              <w:spacing w:before="0" w:after="0"/>
              <w:ind w:left="0" w:right="0" w:hanging="0"/>
              <w:jc w:val="center"/>
              <w:rPr>
                <w:rFonts w:ascii="times new roman" w:hAnsi="times new roman"/>
                <w:sz w:val="20"/>
              </w:rPr>
            </w:pPr>
            <w:r>
              <w:rPr>
                <w:rFonts w:ascii="times new roman" w:hAnsi="times new roman"/>
                <w:sz w:val="20"/>
              </w:rPr>
              <w:t>Options</w:t>
            </w:r>
          </w:p>
        </w:tc>
        <w:tc>
          <w:tcPr>
            <w:tcW w:w="126"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13" w:type="dxa"/>
            <w:tcBorders>
              <w:top w:val="single" w:sz="12" w:space="0" w:color="000000"/>
            </w:tcBorders>
            <w:shd w:fill="auto" w:val="clear"/>
            <w:tcMar>
              <w:bottom w:w="0" w:type="dxa"/>
            </w:tcMar>
            <w:vAlign w:val="bottom"/>
          </w:tcPr>
          <w:p>
            <w:pPr>
              <w:pStyle w:val="TableContents"/>
              <w:spacing w:before="0" w:after="283"/>
              <w:rPr/>
            </w:pPr>
            <w:r>
              <w:rPr/>
              <w:t> </w:t>
            </w:r>
          </w:p>
        </w:tc>
        <w:tc>
          <w:tcPr>
            <w:tcW w:w="1273"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 Average</w:t>
            </w:r>
          </w:p>
          <w:p>
            <w:pPr>
              <w:pStyle w:val="TableContents"/>
              <w:spacing w:before="0" w:after="0"/>
              <w:ind w:left="0" w:right="0" w:hanging="0"/>
              <w:jc w:val="center"/>
              <w:rPr>
                <w:rFonts w:ascii="times new roman" w:hAnsi="times new roman"/>
                <w:sz w:val="20"/>
              </w:rPr>
            </w:pPr>
            <w:r>
              <w:rPr>
                <w:rFonts w:ascii="times new roman" w:hAnsi="times new roman"/>
                <w:sz w:val="20"/>
              </w:rPr>
              <w:t>Exercise Price</w:t>
            </w:r>
          </w:p>
        </w:tc>
        <w:tc>
          <w:tcPr>
            <w:tcW w:w="113"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13" w:type="dxa"/>
            <w:tcBorders>
              <w:top w:val="single" w:sz="12" w:space="0" w:color="000000"/>
            </w:tcBorders>
            <w:shd w:fill="auto" w:val="clear"/>
            <w:tcMar>
              <w:bottom w:w="0" w:type="dxa"/>
            </w:tcMar>
            <w:vAlign w:val="bottom"/>
          </w:tcPr>
          <w:p>
            <w:pPr>
              <w:pStyle w:val="TableContents"/>
              <w:spacing w:before="0" w:after="283"/>
              <w:rPr/>
            </w:pPr>
            <w:r>
              <w:rPr/>
              <w:t> </w:t>
            </w:r>
          </w:p>
        </w:tc>
        <w:tc>
          <w:tcPr>
            <w:tcW w:w="1338"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 Average</w:t>
            </w:r>
          </w:p>
          <w:p>
            <w:pPr>
              <w:pStyle w:val="TableContents"/>
              <w:spacing w:before="0" w:after="0"/>
              <w:ind w:left="0" w:right="0" w:hanging="0"/>
              <w:jc w:val="center"/>
              <w:rPr>
                <w:rFonts w:ascii="times new roman" w:hAnsi="times new roman"/>
                <w:sz w:val="20"/>
              </w:rPr>
            </w:pPr>
            <w:r>
              <w:rPr>
                <w:rFonts w:ascii="times new roman" w:hAnsi="times new roman"/>
                <w:sz w:val="20"/>
              </w:rPr>
              <w:t>Remaining Life</w:t>
            </w:r>
          </w:p>
        </w:tc>
        <w:tc>
          <w:tcPr>
            <w:tcW w:w="133" w:type="dxa"/>
            <w:tcBorders>
              <w:top w:val="single" w:sz="12" w:space="0" w:color="000000"/>
            </w:tcBorders>
            <w:shd w:fill="auto" w:val="clear"/>
            <w:tcMar>
              <w:bottom w:w="0" w:type="dxa"/>
            </w:tcMar>
            <w:vAlign w:val="bottom"/>
          </w:tcPr>
          <w:p>
            <w:pPr>
              <w:pStyle w:val="TableContents"/>
              <w:spacing w:before="0" w:after="283"/>
              <w:jc w:val="left"/>
              <w:rPr/>
            </w:pPr>
            <w:r>
              <w:rPr/>
              <w:t> </w:t>
            </w:r>
          </w:p>
        </w:tc>
      </w:tr>
      <w:tr>
        <w:trPr/>
        <w:tc>
          <w:tcPr>
            <w:tcW w:w="5554" w:type="dxa"/>
            <w:tcBorders/>
            <w:shd w:fill="auto" w:val="clear"/>
            <w:tcMar>
              <w:top w:w="0" w:type="dxa"/>
              <w:bottom w:w="0" w:type="dxa"/>
            </w:tcMar>
            <w:vAlign w:val="bottom"/>
          </w:tcPr>
          <w:p>
            <w:pPr>
              <w:pStyle w:val="TableContents"/>
              <w:spacing w:before="0" w:after="283"/>
              <w:rPr/>
            </w:pPr>
            <w:r>
              <w:rPr/>
              <w:t xml:space="preserve">  </w:t>
            </w:r>
          </w:p>
        </w:tc>
        <w:tc>
          <w:tcPr>
            <w:tcW w:w="113" w:type="dxa"/>
            <w:tcBorders/>
            <w:shd w:fill="auto" w:val="clear"/>
            <w:tcMar>
              <w:top w:w="0" w:type="dxa"/>
              <w:bottom w:w="0" w:type="dxa"/>
            </w:tcMar>
            <w:vAlign w:val="bottom"/>
          </w:tcPr>
          <w:p>
            <w:pPr>
              <w:pStyle w:val="TableContents"/>
              <w:spacing w:before="0" w:after="283"/>
              <w:rPr/>
            </w:pPr>
            <w:r>
              <w:rPr/>
              <w:t> </w:t>
            </w:r>
          </w:p>
        </w:tc>
        <w:tc>
          <w:tcPr>
            <w:tcW w:w="1329" w:type="dxa"/>
            <w:gridSpan w:val="2"/>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rPr/>
            </w:pPr>
            <w:r>
              <w:rPr/>
              <w:t> </w:t>
            </w:r>
          </w:p>
        </w:tc>
        <w:tc>
          <w:tcPr>
            <w:tcW w:w="1273" w:type="dxa"/>
            <w:gridSpan w:val="2"/>
            <w:tcBorders/>
            <w:shd w:fill="auto" w:val="clear"/>
            <w:tcMar>
              <w:top w:w="0" w:type="dxa"/>
              <w:bottom w:w="0" w:type="dxa"/>
            </w:tcMar>
            <w:vAlign w:val="bottom"/>
          </w:tcPr>
          <w:p>
            <w:pPr>
              <w:pStyle w:val="TableContents"/>
              <w:spacing w:before="0" w:after="283"/>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rPr/>
            </w:pPr>
            <w:r>
              <w:rPr/>
              <w:t> </w:t>
            </w:r>
          </w:p>
        </w:tc>
        <w:tc>
          <w:tcPr>
            <w:tcW w:w="1338" w:type="dxa"/>
            <w:gridSpan w:val="2"/>
            <w:tcBorders/>
            <w:shd w:fill="auto" w:val="clear"/>
            <w:tcMar>
              <w:top w:w="0" w:type="dxa"/>
              <w:bottom w:w="0" w:type="dxa"/>
            </w:tcMar>
            <w:vAlign w:val="bottom"/>
          </w:tcPr>
          <w:p>
            <w:pPr>
              <w:pStyle w:val="TableContents"/>
              <w:spacing w:before="0" w:after="283"/>
              <w:rPr/>
            </w:pPr>
            <w:r>
              <w:rPr/>
              <w:t> </w:t>
            </w:r>
          </w:p>
        </w:tc>
        <w:tc>
          <w:tcPr>
            <w:tcW w:w="133" w:type="dxa"/>
            <w:tcBorders/>
            <w:shd w:fill="auto" w:val="clear"/>
            <w:tcMar>
              <w:top w:w="0" w:type="dxa"/>
              <w:bottom w:w="0" w:type="dxa"/>
            </w:tcMar>
            <w:vAlign w:val="bottom"/>
          </w:tcPr>
          <w:p>
            <w:pPr>
              <w:pStyle w:val="TableContents"/>
              <w:spacing w:before="0" w:after="283"/>
              <w:jc w:val="left"/>
              <w:rPr/>
            </w:pPr>
            <w:r>
              <w:rPr/>
              <w:t> </w:t>
            </w:r>
          </w:p>
        </w:tc>
      </w:tr>
      <w:tr>
        <w:trPr/>
        <w:tc>
          <w:tcPr>
            <w:tcW w:w="5554"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Balance, December 31, 2011</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21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6,278,000</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201"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0.18</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53" w:type="dxa"/>
            <w:tcBorders/>
            <w:shd w:fill="auto" w:val="clear"/>
            <w:tcMar>
              <w:top w:w="0" w:type="dxa"/>
              <w:bottom w:w="0" w:type="dxa"/>
            </w:tcMar>
            <w:vAlign w:val="bottom"/>
          </w:tcPr>
          <w:p>
            <w:pPr>
              <w:pStyle w:val="TableContents"/>
              <w:spacing w:before="0" w:after="283"/>
              <w:jc w:val="left"/>
              <w:rPr/>
            </w:pPr>
            <w:r>
              <w:rPr/>
              <w:t> </w:t>
            </w:r>
          </w:p>
        </w:tc>
        <w:tc>
          <w:tcPr>
            <w:tcW w:w="118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6.85</w:t>
            </w:r>
          </w:p>
        </w:tc>
        <w:tc>
          <w:tcPr>
            <w:tcW w:w="133" w:type="dxa"/>
            <w:tcBorders/>
            <w:shd w:fill="auto" w:val="clear"/>
            <w:tcMar>
              <w:top w:w="0" w:type="dxa"/>
              <w:bottom w:w="0" w:type="dxa"/>
            </w:tcMar>
            <w:vAlign w:val="bottom"/>
          </w:tcPr>
          <w:p>
            <w:pPr>
              <w:pStyle w:val="TableContents"/>
              <w:spacing w:before="0" w:after="283"/>
              <w:jc w:val="left"/>
              <w:rPr/>
            </w:pPr>
            <w:r>
              <w:rPr/>
              <w:t> </w:t>
            </w:r>
          </w:p>
        </w:tc>
      </w:tr>
      <w:tr>
        <w:trPr/>
        <w:tc>
          <w:tcPr>
            <w:tcW w:w="5554"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Issued</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21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500,000</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201" w:type="dxa"/>
            <w:tcBorders/>
            <w:shd w:fill="auto" w:val="clear"/>
            <w:tcMar>
              <w:top w:w="0" w:type="dxa"/>
              <w:bottom w:w="0" w:type="dxa"/>
            </w:tcMar>
            <w:vAlign w:val="bottom"/>
          </w:tcPr>
          <w:p>
            <w:pPr>
              <w:pStyle w:val="TableContents"/>
              <w:spacing w:before="0" w:after="283"/>
              <w:jc w:val="left"/>
              <w:rPr/>
            </w:pPr>
            <w:r>
              <w:rPr/>
              <w:t> </w:t>
            </w:r>
          </w:p>
        </w:tc>
        <w:tc>
          <w:tcPr>
            <w:tcW w:w="107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0.17</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53" w:type="dxa"/>
            <w:tcBorders/>
            <w:shd w:fill="auto" w:val="clear"/>
            <w:tcMar>
              <w:top w:w="0" w:type="dxa"/>
              <w:bottom w:w="0" w:type="dxa"/>
            </w:tcMar>
            <w:vAlign w:val="bottom"/>
          </w:tcPr>
          <w:p>
            <w:pPr>
              <w:pStyle w:val="TableContents"/>
              <w:spacing w:before="0" w:after="283"/>
              <w:jc w:val="left"/>
              <w:rPr/>
            </w:pPr>
            <w:r>
              <w:rPr/>
              <w:t> </w:t>
            </w:r>
          </w:p>
        </w:tc>
        <w:tc>
          <w:tcPr>
            <w:tcW w:w="118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9.35</w:t>
            </w:r>
          </w:p>
        </w:tc>
        <w:tc>
          <w:tcPr>
            <w:tcW w:w="133" w:type="dxa"/>
            <w:tcBorders/>
            <w:shd w:fill="auto" w:val="clear"/>
            <w:tcMar>
              <w:top w:w="0" w:type="dxa"/>
              <w:bottom w:w="0" w:type="dxa"/>
            </w:tcMar>
            <w:vAlign w:val="bottom"/>
          </w:tcPr>
          <w:p>
            <w:pPr>
              <w:pStyle w:val="TableContents"/>
              <w:spacing w:before="0" w:after="283"/>
              <w:jc w:val="left"/>
              <w:rPr/>
            </w:pPr>
            <w:r>
              <w:rPr/>
              <w:t> </w:t>
            </w:r>
          </w:p>
        </w:tc>
      </w:tr>
      <w:tr>
        <w:trPr/>
        <w:tc>
          <w:tcPr>
            <w:tcW w:w="5554" w:type="dxa"/>
            <w:tcBorders>
              <w:bottom w:val="single" w:sz="12" w:space="0" w:color="000000"/>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Cancelled</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13"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216"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(250,000</w:t>
            </w:r>
          </w:p>
        </w:tc>
        <w:tc>
          <w:tcPr>
            <w:tcW w:w="126"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201"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72"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0.35</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53"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85"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3" w:type="dxa"/>
            <w:tcBorders/>
            <w:shd w:fill="auto" w:val="clear"/>
            <w:tcMar>
              <w:top w:w="0" w:type="dxa"/>
              <w:bottom w:w="0" w:type="dxa"/>
            </w:tcMar>
            <w:vAlign w:val="bottom"/>
          </w:tcPr>
          <w:p>
            <w:pPr>
              <w:pStyle w:val="TableContents"/>
              <w:spacing w:before="0" w:after="283"/>
              <w:jc w:val="left"/>
              <w:rPr/>
            </w:pPr>
            <w:r>
              <w:rPr/>
              <w:t> </w:t>
            </w:r>
          </w:p>
        </w:tc>
      </w:tr>
      <w:tr>
        <w:trPr/>
        <w:tc>
          <w:tcPr>
            <w:tcW w:w="5554" w:type="dxa"/>
            <w:tcBorders/>
            <w:shd w:fill="auto" w:val="clear"/>
            <w:tcMar>
              <w:top w:w="0" w:type="dxa"/>
              <w:bottom w:w="0" w:type="dxa"/>
            </w:tcMar>
            <w:vAlign w:val="bottom"/>
          </w:tcPr>
          <w:p>
            <w:pPr>
              <w:pStyle w:val="TableContents"/>
              <w:spacing w:before="0" w:after="283"/>
              <w:rPr/>
            </w:pPr>
            <w:r>
              <w:rPr/>
              <w:t xml:space="preserve">  </w:t>
            </w:r>
          </w:p>
        </w:tc>
        <w:tc>
          <w:tcPr>
            <w:tcW w:w="113" w:type="dxa"/>
            <w:tcBorders/>
            <w:shd w:fill="auto" w:val="clear"/>
            <w:tcMar>
              <w:top w:w="0" w:type="dxa"/>
              <w:bottom w:w="0" w:type="dxa"/>
            </w:tcMar>
            <w:vAlign w:val="bottom"/>
          </w:tcPr>
          <w:p>
            <w:pPr>
              <w:pStyle w:val="TableContents"/>
              <w:spacing w:before="0" w:after="283"/>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216"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rPr/>
            </w:pPr>
            <w:r>
              <w:rPr/>
              <w:t> </w:t>
            </w:r>
          </w:p>
        </w:tc>
        <w:tc>
          <w:tcPr>
            <w:tcW w:w="201" w:type="dxa"/>
            <w:tcBorders/>
            <w:shd w:fill="auto" w:val="clear"/>
            <w:tcMar>
              <w:top w:w="0" w:type="dxa"/>
              <w:bottom w:w="0" w:type="dxa"/>
            </w:tcMar>
            <w:vAlign w:val="bottom"/>
          </w:tcPr>
          <w:p>
            <w:pPr>
              <w:pStyle w:val="TableContents"/>
              <w:spacing w:before="0" w:after="283"/>
              <w:jc w:val="left"/>
              <w:rPr/>
            </w:pPr>
            <w:r>
              <w:rPr/>
              <w:t> </w:t>
            </w:r>
          </w:p>
        </w:tc>
        <w:tc>
          <w:tcPr>
            <w:tcW w:w="1072"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rPr/>
            </w:pPr>
            <w:r>
              <w:rPr/>
              <w:t> </w:t>
            </w:r>
          </w:p>
        </w:tc>
        <w:tc>
          <w:tcPr>
            <w:tcW w:w="153" w:type="dxa"/>
            <w:tcBorders/>
            <w:shd w:fill="auto" w:val="clear"/>
            <w:tcMar>
              <w:top w:w="0" w:type="dxa"/>
              <w:bottom w:w="0" w:type="dxa"/>
            </w:tcMar>
            <w:vAlign w:val="bottom"/>
          </w:tcPr>
          <w:p>
            <w:pPr>
              <w:pStyle w:val="TableContents"/>
              <w:spacing w:before="0" w:after="283"/>
              <w:jc w:val="left"/>
              <w:rPr/>
            </w:pPr>
            <w:r>
              <w:rPr/>
              <w:t> </w:t>
            </w:r>
          </w:p>
        </w:tc>
        <w:tc>
          <w:tcPr>
            <w:tcW w:w="1185" w:type="dxa"/>
            <w:tcBorders/>
            <w:shd w:fill="auto" w:val="clear"/>
            <w:tcMar>
              <w:top w:w="0" w:type="dxa"/>
              <w:bottom w:w="0" w:type="dxa"/>
            </w:tcMar>
            <w:vAlign w:val="bottom"/>
          </w:tcPr>
          <w:p>
            <w:pPr>
              <w:pStyle w:val="TableContents"/>
              <w:spacing w:before="0" w:after="283"/>
              <w:jc w:val="right"/>
              <w:rPr/>
            </w:pPr>
            <w:r>
              <w:rPr/>
              <w:t> </w:t>
            </w:r>
          </w:p>
        </w:tc>
        <w:tc>
          <w:tcPr>
            <w:tcW w:w="133" w:type="dxa"/>
            <w:tcBorders/>
            <w:shd w:fill="auto" w:val="clear"/>
            <w:tcMar>
              <w:top w:w="0" w:type="dxa"/>
              <w:bottom w:w="0" w:type="dxa"/>
            </w:tcMar>
            <w:vAlign w:val="bottom"/>
          </w:tcPr>
          <w:p>
            <w:pPr>
              <w:pStyle w:val="TableContents"/>
              <w:spacing w:before="0" w:after="283"/>
              <w:jc w:val="left"/>
              <w:rPr/>
            </w:pPr>
            <w:r>
              <w:rPr/>
              <w:t> </w:t>
            </w:r>
          </w:p>
        </w:tc>
      </w:tr>
      <w:tr>
        <w:trPr/>
        <w:tc>
          <w:tcPr>
            <w:tcW w:w="5554"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Balance, December 31, 2012</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21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6,528,000</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201"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0.18</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53" w:type="dxa"/>
            <w:tcBorders/>
            <w:shd w:fill="auto" w:val="clear"/>
            <w:tcMar>
              <w:top w:w="0" w:type="dxa"/>
              <w:bottom w:w="0" w:type="dxa"/>
            </w:tcMar>
            <w:vAlign w:val="bottom"/>
          </w:tcPr>
          <w:p>
            <w:pPr>
              <w:pStyle w:val="TableContents"/>
              <w:spacing w:before="0" w:after="283"/>
              <w:jc w:val="left"/>
              <w:rPr/>
            </w:pPr>
            <w:r>
              <w:rPr/>
              <w:t> </w:t>
            </w:r>
          </w:p>
        </w:tc>
        <w:tc>
          <w:tcPr>
            <w:tcW w:w="118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6.05</w:t>
            </w:r>
          </w:p>
        </w:tc>
        <w:tc>
          <w:tcPr>
            <w:tcW w:w="133" w:type="dxa"/>
            <w:tcBorders/>
            <w:shd w:fill="auto" w:val="clear"/>
            <w:tcMar>
              <w:top w:w="0" w:type="dxa"/>
              <w:bottom w:w="0" w:type="dxa"/>
            </w:tcMar>
            <w:vAlign w:val="bottom"/>
          </w:tcPr>
          <w:p>
            <w:pPr>
              <w:pStyle w:val="TableContents"/>
              <w:spacing w:before="0" w:after="283"/>
              <w:jc w:val="left"/>
              <w:rPr/>
            </w:pPr>
            <w:r>
              <w:rPr/>
              <w:t> </w:t>
            </w:r>
          </w:p>
        </w:tc>
      </w:tr>
      <w:tr>
        <w:trPr/>
        <w:tc>
          <w:tcPr>
            <w:tcW w:w="5554"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Issued</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21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201" w:type="dxa"/>
            <w:tcBorders/>
            <w:shd w:fill="auto" w:val="clear"/>
            <w:tcMar>
              <w:top w:w="0" w:type="dxa"/>
              <w:bottom w:w="0" w:type="dxa"/>
            </w:tcMar>
            <w:vAlign w:val="bottom"/>
          </w:tcPr>
          <w:p>
            <w:pPr>
              <w:pStyle w:val="TableContents"/>
              <w:spacing w:before="0" w:after="283"/>
              <w:jc w:val="left"/>
              <w:rPr/>
            </w:pPr>
            <w:r>
              <w:rPr/>
              <w:t> </w:t>
            </w:r>
          </w:p>
        </w:tc>
        <w:tc>
          <w:tcPr>
            <w:tcW w:w="107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53" w:type="dxa"/>
            <w:tcBorders/>
            <w:shd w:fill="auto" w:val="clear"/>
            <w:tcMar>
              <w:top w:w="0" w:type="dxa"/>
              <w:bottom w:w="0" w:type="dxa"/>
            </w:tcMar>
            <w:vAlign w:val="bottom"/>
          </w:tcPr>
          <w:p>
            <w:pPr>
              <w:pStyle w:val="TableContents"/>
              <w:spacing w:before="0" w:after="283"/>
              <w:jc w:val="left"/>
              <w:rPr/>
            </w:pPr>
            <w:r>
              <w:rPr/>
              <w:t> </w:t>
            </w:r>
          </w:p>
        </w:tc>
        <w:tc>
          <w:tcPr>
            <w:tcW w:w="118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3" w:type="dxa"/>
            <w:tcBorders/>
            <w:shd w:fill="auto" w:val="clear"/>
            <w:tcMar>
              <w:top w:w="0" w:type="dxa"/>
              <w:bottom w:w="0" w:type="dxa"/>
            </w:tcMar>
            <w:vAlign w:val="bottom"/>
          </w:tcPr>
          <w:p>
            <w:pPr>
              <w:pStyle w:val="TableContents"/>
              <w:spacing w:before="0" w:after="283"/>
              <w:jc w:val="left"/>
              <w:rPr/>
            </w:pPr>
            <w:r>
              <w:rPr/>
              <w:t> </w:t>
            </w:r>
          </w:p>
        </w:tc>
      </w:tr>
      <w:tr>
        <w:trPr/>
        <w:tc>
          <w:tcPr>
            <w:tcW w:w="5554"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Cancelled/Forfeited</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21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201" w:type="dxa"/>
            <w:tcBorders/>
            <w:shd w:fill="auto" w:val="clear"/>
            <w:tcMar>
              <w:top w:w="0" w:type="dxa"/>
              <w:bottom w:w="0" w:type="dxa"/>
            </w:tcMar>
            <w:vAlign w:val="bottom"/>
          </w:tcPr>
          <w:p>
            <w:pPr>
              <w:pStyle w:val="TableContents"/>
              <w:spacing w:before="0" w:after="283"/>
              <w:jc w:val="left"/>
              <w:rPr/>
            </w:pPr>
            <w:r>
              <w:rPr/>
              <w:t> </w:t>
            </w:r>
          </w:p>
        </w:tc>
        <w:tc>
          <w:tcPr>
            <w:tcW w:w="107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53" w:type="dxa"/>
            <w:tcBorders/>
            <w:shd w:fill="auto" w:val="clear"/>
            <w:tcMar>
              <w:top w:w="0" w:type="dxa"/>
              <w:bottom w:w="0" w:type="dxa"/>
            </w:tcMar>
            <w:vAlign w:val="bottom"/>
          </w:tcPr>
          <w:p>
            <w:pPr>
              <w:pStyle w:val="TableContents"/>
              <w:spacing w:before="0" w:after="283"/>
              <w:jc w:val="left"/>
              <w:rPr/>
            </w:pPr>
            <w:r>
              <w:rPr/>
              <w:t> </w:t>
            </w:r>
          </w:p>
        </w:tc>
        <w:tc>
          <w:tcPr>
            <w:tcW w:w="118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3" w:type="dxa"/>
            <w:tcBorders/>
            <w:shd w:fill="auto" w:val="clear"/>
            <w:tcMar>
              <w:top w:w="0" w:type="dxa"/>
              <w:bottom w:w="0" w:type="dxa"/>
            </w:tcMar>
            <w:vAlign w:val="bottom"/>
          </w:tcPr>
          <w:p>
            <w:pPr>
              <w:pStyle w:val="TableContents"/>
              <w:spacing w:before="0" w:after="283"/>
              <w:jc w:val="left"/>
              <w:rPr/>
            </w:pPr>
            <w:r>
              <w:rPr/>
              <w:t> </w:t>
            </w:r>
          </w:p>
        </w:tc>
      </w:tr>
      <w:tr>
        <w:trPr/>
        <w:tc>
          <w:tcPr>
            <w:tcW w:w="5554" w:type="dxa"/>
            <w:tcBorders>
              <w:bottom w:val="single" w:sz="12" w:space="0" w:color="000000"/>
            </w:tcBorders>
            <w:shd w:fill="auto" w:val="clear"/>
            <w:tcMar>
              <w:top w:w="0" w:type="dxa"/>
            </w:tcMar>
            <w:vAlign w:val="bottom"/>
          </w:tcPr>
          <w:p>
            <w:pPr>
              <w:pStyle w:val="TableContents"/>
              <w:spacing w:before="0" w:after="283"/>
              <w:rPr/>
            </w:pPr>
            <w:r>
              <w:rPr/>
              <w:t xml:space="preserve">  </w:t>
            </w:r>
          </w:p>
        </w:tc>
        <w:tc>
          <w:tcPr>
            <w:tcW w:w="113" w:type="dxa"/>
            <w:tcBorders/>
            <w:shd w:fill="auto" w:val="clear"/>
            <w:tcMar>
              <w:top w:w="0" w:type="dxa"/>
              <w:bottom w:w="0" w:type="dxa"/>
            </w:tcMar>
            <w:vAlign w:val="bottom"/>
          </w:tcPr>
          <w:p>
            <w:pPr>
              <w:pStyle w:val="TableContents"/>
              <w:spacing w:before="0" w:after="283"/>
              <w:rPr/>
            </w:pPr>
            <w:r>
              <w:rPr/>
              <w:t> </w:t>
            </w:r>
          </w:p>
        </w:tc>
        <w:tc>
          <w:tcPr>
            <w:tcW w:w="113"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216" w:type="dxa"/>
            <w:tcBorders>
              <w:bottom w:val="single" w:sz="12" w:space="0" w:color="000000"/>
            </w:tcBorders>
            <w:shd w:fill="auto" w:val="clear"/>
            <w:tcMar>
              <w:top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rPr/>
            </w:pPr>
            <w:r>
              <w:rPr/>
              <w:t> </w:t>
            </w:r>
          </w:p>
        </w:tc>
        <w:tc>
          <w:tcPr>
            <w:tcW w:w="201"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72" w:type="dxa"/>
            <w:tcBorders>
              <w:bottom w:val="single" w:sz="12" w:space="0" w:color="000000"/>
            </w:tcBorders>
            <w:shd w:fill="auto" w:val="clear"/>
            <w:tcMar>
              <w:top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rPr/>
            </w:pPr>
            <w:r>
              <w:rPr/>
              <w:t> </w:t>
            </w:r>
          </w:p>
        </w:tc>
        <w:tc>
          <w:tcPr>
            <w:tcW w:w="153"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85" w:type="dxa"/>
            <w:tcBorders>
              <w:bottom w:val="single" w:sz="12" w:space="0" w:color="000000"/>
            </w:tcBorders>
            <w:shd w:fill="auto" w:val="clear"/>
            <w:tcMar>
              <w:top w:w="0" w:type="dxa"/>
            </w:tcMar>
            <w:vAlign w:val="bottom"/>
          </w:tcPr>
          <w:p>
            <w:pPr>
              <w:pStyle w:val="TableContents"/>
              <w:spacing w:before="0" w:after="283"/>
              <w:jc w:val="right"/>
              <w:rPr/>
            </w:pPr>
            <w:r>
              <w:rPr/>
              <w:t> </w:t>
            </w:r>
          </w:p>
        </w:tc>
        <w:tc>
          <w:tcPr>
            <w:tcW w:w="133" w:type="dxa"/>
            <w:tcBorders/>
            <w:shd w:fill="auto" w:val="clear"/>
            <w:tcMar>
              <w:top w:w="0" w:type="dxa"/>
              <w:bottom w:w="0" w:type="dxa"/>
            </w:tcMar>
            <w:vAlign w:val="bottom"/>
          </w:tcPr>
          <w:p>
            <w:pPr>
              <w:pStyle w:val="TableContents"/>
              <w:spacing w:before="0" w:after="283"/>
              <w:jc w:val="left"/>
              <w:rPr/>
            </w:pPr>
            <w:r>
              <w:rPr/>
              <w:t> </w:t>
            </w:r>
          </w:p>
        </w:tc>
      </w:tr>
      <w:tr>
        <w:trPr/>
        <w:tc>
          <w:tcPr>
            <w:tcW w:w="5554"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Balance, June 30, 2013</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13" w:type="dxa"/>
            <w:tcBorders>
              <w:bottom w:val="double" w:sz="8" w:space="0" w:color="000000"/>
            </w:tcBorders>
            <w:shd w:fill="auto" w:val="clear"/>
            <w:tcMar>
              <w:top w:w="0" w:type="dxa"/>
            </w:tcMar>
            <w:vAlign w:val="bottom"/>
          </w:tcPr>
          <w:p>
            <w:pPr>
              <w:pStyle w:val="TableContents"/>
              <w:spacing w:before="0" w:after="283"/>
              <w:jc w:val="left"/>
              <w:rPr/>
            </w:pPr>
            <w:r>
              <w:rPr/>
              <w:t> </w:t>
            </w:r>
          </w:p>
        </w:tc>
        <w:tc>
          <w:tcPr>
            <w:tcW w:w="1216"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6,528,000</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201"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2"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0.18</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53" w:type="dxa"/>
            <w:tcBorders>
              <w:bottom w:val="double" w:sz="8" w:space="0" w:color="000000"/>
            </w:tcBorders>
            <w:shd w:fill="auto" w:val="clear"/>
            <w:tcMar>
              <w:top w:w="0" w:type="dxa"/>
            </w:tcMar>
            <w:vAlign w:val="bottom"/>
          </w:tcPr>
          <w:p>
            <w:pPr>
              <w:pStyle w:val="TableContents"/>
              <w:spacing w:before="0" w:after="283"/>
              <w:jc w:val="left"/>
              <w:rPr/>
            </w:pPr>
            <w:r>
              <w:rPr/>
              <w:t> </w:t>
            </w:r>
          </w:p>
        </w:tc>
        <w:tc>
          <w:tcPr>
            <w:tcW w:w="1185"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5.55</w:t>
            </w:r>
          </w:p>
        </w:tc>
        <w:tc>
          <w:tcPr>
            <w:tcW w:w="133" w:type="dxa"/>
            <w:tcBorders/>
            <w:shd w:fill="auto" w:val="clear"/>
            <w:tcMar>
              <w:top w:w="0" w:type="dxa"/>
              <w:bottom w:w="0" w:type="dxa"/>
            </w:tcM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At June 30, 2013, the intrinsic value of the vested options was equal to $nil (December 31, 2012 - $nil).</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 summary of the status of the Company’s unvested options as of June 30, 2012 is presented below:</w:t>
      </w:r>
    </w:p>
    <w:p>
      <w:pPr>
        <w:pStyle w:val="TextBody"/>
        <w:spacing w:before="0" w:after="0"/>
        <w:ind w:left="0" w:right="0" w:hanging="0"/>
        <w:jc w:val="both"/>
        <w:rPr/>
      </w:pPr>
      <w:r>
        <w:rPr/>
        <w:t> </w:t>
      </w:r>
    </w:p>
    <w:tbl>
      <w:tblPr>
        <w:tblW w:w="5000" w:type="pct"/>
        <w:jc w:val="left"/>
        <w:tblInd w:w="0" w:type="dxa"/>
        <w:tblCellMar>
          <w:top w:w="28" w:type="dxa"/>
          <w:left w:w="0" w:type="dxa"/>
          <w:bottom w:w="28" w:type="dxa"/>
          <w:right w:w="0" w:type="dxa"/>
        </w:tblCellMar>
      </w:tblPr>
      <w:tblGrid>
        <w:gridCol w:w="6940"/>
        <w:gridCol w:w="121"/>
        <w:gridCol w:w="121"/>
        <w:gridCol w:w="1228"/>
        <w:gridCol w:w="133"/>
        <w:gridCol w:w="121"/>
        <w:gridCol w:w="225"/>
        <w:gridCol w:w="1181"/>
        <w:gridCol w:w="135"/>
      </w:tblGrid>
      <w:tr>
        <w:trPr/>
        <w:tc>
          <w:tcPr>
            <w:tcW w:w="6940" w:type="dxa"/>
            <w:tcBorders>
              <w:top w:val="single" w:sz="12" w:space="0" w:color="000000"/>
              <w:bottom w:val="single" w:sz="12" w:space="0" w:color="000000"/>
            </w:tcBorders>
            <w:shd w:fill="auto" w:val="clear"/>
            <w:vAlign w:val="bottom"/>
          </w:tcPr>
          <w:p>
            <w:pPr>
              <w:pStyle w:val="TableContents"/>
              <w:spacing w:before="0" w:after="283"/>
              <w:rPr/>
            </w:pPr>
            <w:r>
              <w:rPr/>
              <w:t xml:space="preserve">  </w:t>
            </w:r>
          </w:p>
        </w:tc>
        <w:tc>
          <w:tcPr>
            <w:tcW w:w="121" w:type="dxa"/>
            <w:tcBorders>
              <w:top w:val="single" w:sz="12" w:space="0" w:color="000000"/>
            </w:tcBorders>
            <w:shd w:fill="auto" w:val="clear"/>
            <w:tcMar>
              <w:bottom w:w="0" w:type="dxa"/>
            </w:tcMar>
            <w:vAlign w:val="bottom"/>
          </w:tcPr>
          <w:p>
            <w:pPr>
              <w:pStyle w:val="TableContents"/>
              <w:spacing w:before="0" w:after="283"/>
              <w:rPr/>
            </w:pPr>
            <w:r>
              <w:rPr/>
              <w:t> </w:t>
            </w:r>
          </w:p>
        </w:tc>
        <w:tc>
          <w:tcPr>
            <w:tcW w:w="1349"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 of</w:t>
            </w:r>
          </w:p>
          <w:p>
            <w:pPr>
              <w:pStyle w:val="TableContents"/>
              <w:spacing w:before="0" w:after="0"/>
              <w:ind w:left="0" w:right="0" w:hanging="0"/>
              <w:jc w:val="center"/>
              <w:rPr>
                <w:rFonts w:ascii="times new roman" w:hAnsi="times new roman"/>
                <w:sz w:val="20"/>
              </w:rPr>
            </w:pPr>
            <w:r>
              <w:rPr>
                <w:rFonts w:ascii="times new roman" w:hAnsi="times new roman"/>
                <w:sz w:val="20"/>
              </w:rPr>
              <w:t>Shares</w:t>
            </w:r>
          </w:p>
        </w:tc>
        <w:tc>
          <w:tcPr>
            <w:tcW w:w="133"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21" w:type="dxa"/>
            <w:tcBorders>
              <w:top w:val="single" w:sz="12" w:space="0" w:color="000000"/>
            </w:tcBorders>
            <w:shd w:fill="auto" w:val="clear"/>
            <w:tcMar>
              <w:bottom w:w="0" w:type="dxa"/>
            </w:tcMar>
            <w:vAlign w:val="bottom"/>
          </w:tcPr>
          <w:p>
            <w:pPr>
              <w:pStyle w:val="TableContents"/>
              <w:spacing w:before="0" w:after="283"/>
              <w:rPr/>
            </w:pPr>
            <w:r>
              <w:rPr/>
              <w:t> </w:t>
            </w:r>
          </w:p>
        </w:tc>
        <w:tc>
          <w:tcPr>
            <w:tcW w:w="1406"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 Average</w:t>
            </w:r>
          </w:p>
          <w:p>
            <w:pPr>
              <w:pStyle w:val="TableContents"/>
              <w:spacing w:before="0" w:after="0"/>
              <w:ind w:left="0" w:right="0" w:hanging="0"/>
              <w:jc w:val="center"/>
              <w:rPr>
                <w:rFonts w:ascii="times new roman" w:hAnsi="times new roman"/>
                <w:sz w:val="20"/>
              </w:rPr>
            </w:pPr>
            <w:r>
              <w:rPr>
                <w:rFonts w:ascii="times new roman" w:hAnsi="times new roman"/>
                <w:sz w:val="20"/>
              </w:rPr>
              <w:t>Grant-Date</w:t>
            </w:r>
          </w:p>
          <w:p>
            <w:pPr>
              <w:pStyle w:val="TableContents"/>
              <w:spacing w:before="0" w:after="0"/>
              <w:ind w:left="0" w:right="0" w:hanging="0"/>
              <w:jc w:val="center"/>
              <w:rPr>
                <w:rFonts w:ascii="times new roman" w:hAnsi="times new roman"/>
                <w:sz w:val="20"/>
              </w:rPr>
            </w:pPr>
            <w:r>
              <w:rPr>
                <w:rFonts w:ascii="times new roman" w:hAnsi="times new roman"/>
                <w:sz w:val="20"/>
              </w:rPr>
              <w:t>Fair Value</w:t>
            </w:r>
          </w:p>
        </w:tc>
        <w:tc>
          <w:tcPr>
            <w:tcW w:w="135" w:type="dxa"/>
            <w:tcBorders>
              <w:top w:val="single" w:sz="12" w:space="0" w:color="000000"/>
            </w:tcBorders>
            <w:shd w:fill="auto" w:val="clear"/>
            <w:tcMar>
              <w:bottom w:w="0" w:type="dxa"/>
            </w:tcMar>
            <w:vAlign w:val="bottom"/>
          </w:tcPr>
          <w:p>
            <w:pPr>
              <w:pStyle w:val="TableContents"/>
              <w:spacing w:before="0" w:after="283"/>
              <w:jc w:val="left"/>
              <w:rPr/>
            </w:pPr>
            <w:r>
              <w:rPr/>
              <w:t> </w:t>
            </w:r>
          </w:p>
        </w:tc>
      </w:tr>
      <w:tr>
        <w:trPr/>
        <w:tc>
          <w:tcPr>
            <w:tcW w:w="6940" w:type="dxa"/>
            <w:tcBorders/>
            <w:shd w:fill="auto" w:val="clear"/>
            <w:tcMar>
              <w:top w:w="0" w:type="dxa"/>
              <w:bottom w:w="0" w:type="dxa"/>
            </w:tcMar>
            <w:vAlign w:val="bottom"/>
          </w:tcPr>
          <w:p>
            <w:pPr>
              <w:pStyle w:val="TableContents"/>
              <w:spacing w:before="0" w:after="283"/>
              <w:rPr/>
            </w:pPr>
            <w:r>
              <w:rPr/>
              <w:t xml:space="preserve">  </w:t>
            </w:r>
          </w:p>
        </w:tc>
        <w:tc>
          <w:tcPr>
            <w:tcW w:w="121" w:type="dxa"/>
            <w:tcBorders/>
            <w:shd w:fill="auto" w:val="clear"/>
            <w:tcMar>
              <w:top w:w="0" w:type="dxa"/>
              <w:bottom w:w="0" w:type="dxa"/>
            </w:tcMar>
            <w:vAlign w:val="bottom"/>
          </w:tcPr>
          <w:p>
            <w:pPr>
              <w:pStyle w:val="TableContents"/>
              <w:spacing w:before="0" w:after="283"/>
              <w:rPr/>
            </w:pPr>
            <w:r>
              <w:rPr/>
              <w:t> </w:t>
            </w:r>
          </w:p>
        </w:tc>
        <w:tc>
          <w:tcPr>
            <w:tcW w:w="1349" w:type="dxa"/>
            <w:gridSpan w:val="2"/>
            <w:tcBorders/>
            <w:shd w:fill="auto" w:val="clear"/>
            <w:tcMar>
              <w:top w:w="0" w:type="dxa"/>
              <w:bottom w:w="0" w:type="dxa"/>
            </w:tcMar>
            <w:vAlign w:val="bottom"/>
          </w:tcPr>
          <w:p>
            <w:pPr>
              <w:pStyle w:val="TableContents"/>
              <w:spacing w:before="0" w:after="283"/>
              <w:rPr/>
            </w:pPr>
            <w:r>
              <w:rPr/>
              <w:t> </w:t>
            </w:r>
          </w:p>
        </w:tc>
        <w:tc>
          <w:tcPr>
            <w:tcW w:w="133" w:type="dxa"/>
            <w:tcBorders/>
            <w:shd w:fill="auto" w:val="clear"/>
            <w:tcMar>
              <w:top w:w="0" w:type="dxa"/>
              <w:bottom w:w="0" w:type="dxa"/>
            </w:tcMar>
            <w:vAlign w:val="bottom"/>
          </w:tcPr>
          <w:p>
            <w:pPr>
              <w:pStyle w:val="TableContents"/>
              <w:spacing w:before="0" w:after="283"/>
              <w:jc w:val="left"/>
              <w:rPr/>
            </w:pPr>
            <w:r>
              <w:rPr/>
              <w:t> </w:t>
            </w:r>
          </w:p>
        </w:tc>
        <w:tc>
          <w:tcPr>
            <w:tcW w:w="121" w:type="dxa"/>
            <w:tcBorders/>
            <w:shd w:fill="auto" w:val="clear"/>
            <w:tcMar>
              <w:top w:w="0" w:type="dxa"/>
              <w:bottom w:w="0" w:type="dxa"/>
            </w:tcMar>
            <w:vAlign w:val="bottom"/>
          </w:tcPr>
          <w:p>
            <w:pPr>
              <w:pStyle w:val="TableContents"/>
              <w:spacing w:before="0" w:after="283"/>
              <w:rPr/>
            </w:pPr>
            <w:r>
              <w:rPr/>
              <w:t> </w:t>
            </w:r>
          </w:p>
        </w:tc>
        <w:tc>
          <w:tcPr>
            <w:tcW w:w="1406" w:type="dxa"/>
            <w:gridSpan w:val="2"/>
            <w:tcBorders/>
            <w:shd w:fill="auto" w:val="clear"/>
            <w:tcMar>
              <w:top w:w="0" w:type="dxa"/>
              <w:bottom w:w="0" w:type="dxa"/>
            </w:tcMar>
            <w:vAlign w:val="bottom"/>
          </w:tcPr>
          <w:p>
            <w:pPr>
              <w:pStyle w:val="TableContents"/>
              <w:spacing w:before="0" w:after="283"/>
              <w:rPr/>
            </w:pPr>
            <w:r>
              <w:rPr/>
              <w:t> </w:t>
            </w:r>
          </w:p>
        </w:tc>
        <w:tc>
          <w:tcPr>
            <w:tcW w:w="135" w:type="dxa"/>
            <w:tcBorders/>
            <w:shd w:fill="auto" w:val="clear"/>
            <w:tcMar>
              <w:top w:w="0" w:type="dxa"/>
              <w:bottom w:w="0" w:type="dxa"/>
            </w:tcMar>
            <w:vAlign w:val="bottom"/>
          </w:tcPr>
          <w:p>
            <w:pPr>
              <w:pStyle w:val="TableContents"/>
              <w:spacing w:before="0" w:after="283"/>
              <w:jc w:val="left"/>
              <w:rPr/>
            </w:pPr>
            <w:r>
              <w:rPr/>
              <w:t> </w:t>
            </w:r>
          </w:p>
        </w:tc>
      </w:tr>
      <w:tr>
        <w:trPr/>
        <w:tc>
          <w:tcPr>
            <w:tcW w:w="6940"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Unvested, December 31, 2012</w:t>
            </w:r>
          </w:p>
        </w:tc>
        <w:tc>
          <w:tcPr>
            <w:tcW w:w="121" w:type="dxa"/>
            <w:tcBorders/>
            <w:shd w:fill="auto" w:val="clear"/>
            <w:tcMar>
              <w:top w:w="0" w:type="dxa"/>
              <w:bottom w:w="0" w:type="dxa"/>
            </w:tcMar>
            <w:vAlign w:val="bottom"/>
          </w:tcPr>
          <w:p>
            <w:pPr>
              <w:pStyle w:val="TableContents"/>
              <w:spacing w:before="0" w:after="283"/>
              <w:jc w:val="right"/>
              <w:rPr/>
            </w:pPr>
            <w:r>
              <w:rPr/>
              <w:t> </w:t>
            </w:r>
          </w:p>
        </w:tc>
        <w:tc>
          <w:tcPr>
            <w:tcW w:w="121" w:type="dxa"/>
            <w:tcBorders/>
            <w:shd w:fill="auto" w:val="clear"/>
            <w:tcMar>
              <w:top w:w="0" w:type="dxa"/>
              <w:bottom w:w="0" w:type="dxa"/>
            </w:tcMar>
            <w:vAlign w:val="bottom"/>
          </w:tcPr>
          <w:p>
            <w:pPr>
              <w:pStyle w:val="TableContents"/>
              <w:spacing w:before="0" w:after="283"/>
              <w:jc w:val="left"/>
              <w:rPr/>
            </w:pPr>
            <w:r>
              <w:rPr/>
              <w:t> </w:t>
            </w:r>
          </w:p>
        </w:tc>
        <w:tc>
          <w:tcPr>
            <w:tcW w:w="122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379,575</w:t>
            </w:r>
          </w:p>
        </w:tc>
        <w:tc>
          <w:tcPr>
            <w:tcW w:w="133" w:type="dxa"/>
            <w:tcBorders/>
            <w:shd w:fill="auto" w:val="clear"/>
            <w:tcMar>
              <w:top w:w="0" w:type="dxa"/>
              <w:bottom w:w="0" w:type="dxa"/>
            </w:tcMar>
            <w:vAlign w:val="bottom"/>
          </w:tcPr>
          <w:p>
            <w:pPr>
              <w:pStyle w:val="TableContents"/>
              <w:spacing w:before="0" w:after="283"/>
              <w:jc w:val="left"/>
              <w:rPr/>
            </w:pPr>
            <w:r>
              <w:rPr/>
              <w:t> </w:t>
            </w:r>
          </w:p>
        </w:tc>
        <w:tc>
          <w:tcPr>
            <w:tcW w:w="121" w:type="dxa"/>
            <w:tcBorders/>
            <w:shd w:fill="auto" w:val="clear"/>
            <w:tcMar>
              <w:top w:w="0" w:type="dxa"/>
              <w:bottom w:w="0" w:type="dxa"/>
            </w:tcMar>
            <w:vAlign w:val="bottom"/>
          </w:tcPr>
          <w:p>
            <w:pPr>
              <w:pStyle w:val="TableContents"/>
              <w:spacing w:before="0" w:after="283"/>
              <w:jc w:val="right"/>
              <w:rPr/>
            </w:pPr>
            <w:r>
              <w:rPr/>
              <w:t> </w:t>
            </w:r>
          </w:p>
        </w:tc>
        <w:tc>
          <w:tcPr>
            <w:tcW w:w="2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81"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0.18</w:t>
            </w:r>
          </w:p>
        </w:tc>
        <w:tc>
          <w:tcPr>
            <w:tcW w:w="135" w:type="dxa"/>
            <w:tcBorders/>
            <w:shd w:fill="auto" w:val="clear"/>
            <w:tcMar>
              <w:top w:w="0" w:type="dxa"/>
              <w:bottom w:w="0" w:type="dxa"/>
            </w:tcMar>
            <w:vAlign w:val="bottom"/>
          </w:tcPr>
          <w:p>
            <w:pPr>
              <w:pStyle w:val="TableContents"/>
              <w:spacing w:before="0" w:after="283"/>
              <w:jc w:val="left"/>
              <w:rPr/>
            </w:pPr>
            <w:r>
              <w:rPr/>
              <w:t> </w:t>
            </w:r>
          </w:p>
        </w:tc>
      </w:tr>
      <w:tr>
        <w:trPr/>
        <w:tc>
          <w:tcPr>
            <w:tcW w:w="6940"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Granted</w:t>
            </w:r>
          </w:p>
        </w:tc>
        <w:tc>
          <w:tcPr>
            <w:tcW w:w="121" w:type="dxa"/>
            <w:tcBorders/>
            <w:shd w:fill="auto" w:val="clear"/>
            <w:tcMar>
              <w:top w:w="0" w:type="dxa"/>
              <w:bottom w:w="0" w:type="dxa"/>
            </w:tcMar>
            <w:vAlign w:val="bottom"/>
          </w:tcPr>
          <w:p>
            <w:pPr>
              <w:pStyle w:val="TableContents"/>
              <w:spacing w:before="0" w:after="283"/>
              <w:jc w:val="right"/>
              <w:rPr/>
            </w:pPr>
            <w:r>
              <w:rPr/>
              <w:t> </w:t>
            </w:r>
          </w:p>
        </w:tc>
        <w:tc>
          <w:tcPr>
            <w:tcW w:w="121" w:type="dxa"/>
            <w:tcBorders/>
            <w:shd w:fill="auto" w:val="clear"/>
            <w:tcMar>
              <w:top w:w="0" w:type="dxa"/>
              <w:bottom w:w="0" w:type="dxa"/>
            </w:tcMar>
            <w:vAlign w:val="bottom"/>
          </w:tcPr>
          <w:p>
            <w:pPr>
              <w:pStyle w:val="TableContents"/>
              <w:spacing w:before="0" w:after="283"/>
              <w:jc w:val="left"/>
              <w:rPr/>
            </w:pPr>
            <w:r>
              <w:rPr/>
              <w:t> </w:t>
            </w:r>
          </w:p>
        </w:tc>
        <w:tc>
          <w:tcPr>
            <w:tcW w:w="122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3" w:type="dxa"/>
            <w:tcBorders/>
            <w:shd w:fill="auto" w:val="clear"/>
            <w:tcMar>
              <w:top w:w="0" w:type="dxa"/>
              <w:bottom w:w="0" w:type="dxa"/>
            </w:tcMar>
            <w:vAlign w:val="bottom"/>
          </w:tcPr>
          <w:p>
            <w:pPr>
              <w:pStyle w:val="TableContents"/>
              <w:spacing w:before="0" w:after="283"/>
              <w:jc w:val="left"/>
              <w:rPr/>
            </w:pPr>
            <w:r>
              <w:rPr/>
              <w:t> </w:t>
            </w:r>
          </w:p>
        </w:tc>
        <w:tc>
          <w:tcPr>
            <w:tcW w:w="121" w:type="dxa"/>
            <w:tcBorders/>
            <w:shd w:fill="auto" w:val="clear"/>
            <w:tcMar>
              <w:top w:w="0" w:type="dxa"/>
              <w:bottom w:w="0" w:type="dxa"/>
            </w:tcMar>
            <w:vAlign w:val="bottom"/>
          </w:tcPr>
          <w:p>
            <w:pPr>
              <w:pStyle w:val="TableContents"/>
              <w:spacing w:before="0" w:after="283"/>
              <w:jc w:val="right"/>
              <w:rPr/>
            </w:pPr>
            <w:r>
              <w:rPr/>
              <w:t> </w:t>
            </w:r>
          </w:p>
        </w:tc>
        <w:tc>
          <w:tcPr>
            <w:tcW w:w="225" w:type="dxa"/>
            <w:tcBorders/>
            <w:shd w:fill="auto" w:val="clear"/>
            <w:tcMar>
              <w:top w:w="0" w:type="dxa"/>
              <w:bottom w:w="0" w:type="dxa"/>
            </w:tcMar>
            <w:vAlign w:val="bottom"/>
          </w:tcPr>
          <w:p>
            <w:pPr>
              <w:pStyle w:val="TableContents"/>
              <w:spacing w:before="0" w:after="283"/>
              <w:jc w:val="left"/>
              <w:rPr/>
            </w:pPr>
            <w:r>
              <w:rPr/>
              <w:t> </w:t>
            </w:r>
          </w:p>
        </w:tc>
        <w:tc>
          <w:tcPr>
            <w:tcW w:w="1181"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5" w:type="dxa"/>
            <w:tcBorders/>
            <w:shd w:fill="auto" w:val="clear"/>
            <w:tcMar>
              <w:top w:w="0" w:type="dxa"/>
              <w:bottom w:w="0" w:type="dxa"/>
            </w:tcMar>
            <w:vAlign w:val="bottom"/>
          </w:tcPr>
          <w:p>
            <w:pPr>
              <w:pStyle w:val="TableContents"/>
              <w:spacing w:before="0" w:after="283"/>
              <w:jc w:val="left"/>
              <w:rPr/>
            </w:pPr>
            <w:r>
              <w:rPr/>
              <w:t> </w:t>
            </w:r>
          </w:p>
        </w:tc>
      </w:tr>
      <w:tr>
        <w:trPr/>
        <w:tc>
          <w:tcPr>
            <w:tcW w:w="6940"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Vested</w:t>
            </w:r>
          </w:p>
        </w:tc>
        <w:tc>
          <w:tcPr>
            <w:tcW w:w="121" w:type="dxa"/>
            <w:tcBorders/>
            <w:shd w:fill="auto" w:val="clear"/>
            <w:tcMar>
              <w:top w:w="0" w:type="dxa"/>
              <w:bottom w:w="0" w:type="dxa"/>
            </w:tcMar>
            <w:vAlign w:val="bottom"/>
          </w:tcPr>
          <w:p>
            <w:pPr>
              <w:pStyle w:val="TableContents"/>
              <w:spacing w:before="0" w:after="283"/>
              <w:jc w:val="right"/>
              <w:rPr/>
            </w:pPr>
            <w:r>
              <w:rPr/>
              <w:t> </w:t>
            </w:r>
          </w:p>
        </w:tc>
        <w:tc>
          <w:tcPr>
            <w:tcW w:w="121" w:type="dxa"/>
            <w:tcBorders/>
            <w:shd w:fill="auto" w:val="clear"/>
            <w:tcMar>
              <w:top w:w="0" w:type="dxa"/>
              <w:bottom w:w="0" w:type="dxa"/>
            </w:tcMar>
            <w:vAlign w:val="bottom"/>
          </w:tcPr>
          <w:p>
            <w:pPr>
              <w:pStyle w:val="TableContents"/>
              <w:spacing w:before="0" w:after="283"/>
              <w:jc w:val="left"/>
              <w:rPr/>
            </w:pPr>
            <w:r>
              <w:rPr/>
              <w:t> </w:t>
            </w:r>
          </w:p>
        </w:tc>
        <w:tc>
          <w:tcPr>
            <w:tcW w:w="122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(226,797</w:t>
            </w:r>
          </w:p>
        </w:tc>
        <w:tc>
          <w:tcPr>
            <w:tcW w:w="133"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1" w:type="dxa"/>
            <w:tcBorders/>
            <w:shd w:fill="auto" w:val="clear"/>
            <w:tcMar>
              <w:top w:w="0" w:type="dxa"/>
              <w:bottom w:w="0" w:type="dxa"/>
            </w:tcMar>
            <w:vAlign w:val="bottom"/>
          </w:tcPr>
          <w:p>
            <w:pPr>
              <w:pStyle w:val="TableContents"/>
              <w:spacing w:before="0" w:after="283"/>
              <w:jc w:val="right"/>
              <w:rPr/>
            </w:pPr>
            <w:r>
              <w:rPr/>
              <w:t> </w:t>
            </w:r>
          </w:p>
        </w:tc>
        <w:tc>
          <w:tcPr>
            <w:tcW w:w="225" w:type="dxa"/>
            <w:tcBorders/>
            <w:shd w:fill="auto" w:val="clear"/>
            <w:tcMar>
              <w:top w:w="0" w:type="dxa"/>
              <w:bottom w:w="0" w:type="dxa"/>
            </w:tcMar>
            <w:vAlign w:val="bottom"/>
          </w:tcPr>
          <w:p>
            <w:pPr>
              <w:pStyle w:val="TableContents"/>
              <w:spacing w:before="0" w:after="283"/>
              <w:jc w:val="left"/>
              <w:rPr/>
            </w:pPr>
            <w:r>
              <w:rPr/>
              <w:t> </w:t>
            </w:r>
          </w:p>
        </w:tc>
        <w:tc>
          <w:tcPr>
            <w:tcW w:w="1181"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0.18</w:t>
            </w:r>
          </w:p>
        </w:tc>
        <w:tc>
          <w:tcPr>
            <w:tcW w:w="135" w:type="dxa"/>
            <w:tcBorders/>
            <w:shd w:fill="auto" w:val="clear"/>
            <w:tcMar>
              <w:top w:w="0" w:type="dxa"/>
              <w:bottom w:w="0" w:type="dxa"/>
            </w:tcMar>
            <w:vAlign w:val="bottom"/>
          </w:tcPr>
          <w:p>
            <w:pPr>
              <w:pStyle w:val="TableContents"/>
              <w:spacing w:before="0" w:after="283"/>
              <w:jc w:val="left"/>
              <w:rPr/>
            </w:pPr>
            <w:r>
              <w:rPr/>
              <w:t> </w:t>
            </w:r>
          </w:p>
        </w:tc>
      </w:tr>
      <w:tr>
        <w:trPr/>
        <w:tc>
          <w:tcPr>
            <w:tcW w:w="6940" w:type="dxa"/>
            <w:tcBorders>
              <w:bottom w:val="single" w:sz="12" w:space="0" w:color="000000"/>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Cancelled</w:t>
            </w:r>
          </w:p>
        </w:tc>
        <w:tc>
          <w:tcPr>
            <w:tcW w:w="121" w:type="dxa"/>
            <w:tcBorders/>
            <w:shd w:fill="auto" w:val="clear"/>
            <w:tcMar>
              <w:top w:w="0" w:type="dxa"/>
              <w:bottom w:w="0" w:type="dxa"/>
            </w:tcMar>
            <w:vAlign w:val="bottom"/>
          </w:tcPr>
          <w:p>
            <w:pPr>
              <w:pStyle w:val="TableContents"/>
              <w:spacing w:before="0" w:after="283"/>
              <w:jc w:val="right"/>
              <w:rPr/>
            </w:pPr>
            <w:r>
              <w:rPr/>
              <w:t> </w:t>
            </w:r>
          </w:p>
        </w:tc>
        <w:tc>
          <w:tcPr>
            <w:tcW w:w="121"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228"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3" w:type="dxa"/>
            <w:tcBorders/>
            <w:shd w:fill="auto" w:val="clear"/>
            <w:tcMar>
              <w:top w:w="0" w:type="dxa"/>
              <w:bottom w:w="0" w:type="dxa"/>
            </w:tcMar>
            <w:vAlign w:val="bottom"/>
          </w:tcPr>
          <w:p>
            <w:pPr>
              <w:pStyle w:val="TableContents"/>
              <w:spacing w:before="0" w:after="283"/>
              <w:jc w:val="left"/>
              <w:rPr/>
            </w:pPr>
            <w:r>
              <w:rPr/>
              <w:t> </w:t>
            </w:r>
          </w:p>
        </w:tc>
        <w:tc>
          <w:tcPr>
            <w:tcW w:w="121" w:type="dxa"/>
            <w:tcBorders/>
            <w:shd w:fill="auto" w:val="clear"/>
            <w:tcMar>
              <w:top w:w="0" w:type="dxa"/>
              <w:bottom w:w="0" w:type="dxa"/>
            </w:tcMar>
            <w:vAlign w:val="bottom"/>
          </w:tcPr>
          <w:p>
            <w:pPr>
              <w:pStyle w:val="TableContents"/>
              <w:spacing w:before="0" w:after="283"/>
              <w:jc w:val="right"/>
              <w:rPr/>
            </w:pPr>
            <w:r>
              <w:rPr/>
              <w:t> </w:t>
            </w:r>
          </w:p>
        </w:tc>
        <w:tc>
          <w:tcPr>
            <w:tcW w:w="2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81"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5" w:type="dxa"/>
            <w:tcBorders/>
            <w:shd w:fill="auto" w:val="clear"/>
            <w:tcMar>
              <w:top w:w="0" w:type="dxa"/>
              <w:bottom w:w="0" w:type="dxa"/>
            </w:tcMar>
            <w:vAlign w:val="bottom"/>
          </w:tcPr>
          <w:p>
            <w:pPr>
              <w:pStyle w:val="TableContents"/>
              <w:spacing w:before="0" w:after="283"/>
              <w:jc w:val="left"/>
              <w:rPr/>
            </w:pPr>
            <w:r>
              <w:rPr/>
              <w:t> </w:t>
            </w:r>
          </w:p>
        </w:tc>
      </w:tr>
      <w:tr>
        <w:trPr/>
        <w:tc>
          <w:tcPr>
            <w:tcW w:w="6940" w:type="dxa"/>
            <w:tcBorders/>
            <w:shd w:fill="auto" w:val="clear"/>
            <w:tcMar>
              <w:top w:w="0" w:type="dxa"/>
              <w:bottom w:w="0" w:type="dxa"/>
            </w:tcMar>
            <w:vAlign w:val="bottom"/>
          </w:tcPr>
          <w:p>
            <w:pPr>
              <w:pStyle w:val="TableContents"/>
              <w:spacing w:before="0" w:after="283"/>
              <w:rPr/>
            </w:pPr>
            <w:r>
              <w:rPr/>
              <w:t xml:space="preserve">  </w:t>
            </w:r>
          </w:p>
        </w:tc>
        <w:tc>
          <w:tcPr>
            <w:tcW w:w="121" w:type="dxa"/>
            <w:tcBorders/>
            <w:shd w:fill="auto" w:val="clear"/>
            <w:tcMar>
              <w:top w:w="0" w:type="dxa"/>
              <w:bottom w:w="0" w:type="dxa"/>
            </w:tcMar>
            <w:vAlign w:val="bottom"/>
          </w:tcPr>
          <w:p>
            <w:pPr>
              <w:pStyle w:val="TableContents"/>
              <w:spacing w:before="0" w:after="283"/>
              <w:rPr/>
            </w:pPr>
            <w:r>
              <w:rPr/>
              <w:t> </w:t>
            </w:r>
          </w:p>
        </w:tc>
        <w:tc>
          <w:tcPr>
            <w:tcW w:w="121" w:type="dxa"/>
            <w:tcBorders/>
            <w:shd w:fill="auto" w:val="clear"/>
            <w:tcMar>
              <w:top w:w="0" w:type="dxa"/>
              <w:bottom w:w="0" w:type="dxa"/>
            </w:tcMar>
            <w:vAlign w:val="bottom"/>
          </w:tcPr>
          <w:p>
            <w:pPr>
              <w:pStyle w:val="TableContents"/>
              <w:spacing w:before="0" w:after="283"/>
              <w:jc w:val="left"/>
              <w:rPr/>
            </w:pPr>
            <w:r>
              <w:rPr/>
              <w:t> </w:t>
            </w:r>
          </w:p>
        </w:tc>
        <w:tc>
          <w:tcPr>
            <w:tcW w:w="1228" w:type="dxa"/>
            <w:tcBorders/>
            <w:shd w:fill="auto" w:val="clear"/>
            <w:tcMar>
              <w:top w:w="0" w:type="dxa"/>
              <w:bottom w:w="0" w:type="dxa"/>
            </w:tcMar>
            <w:vAlign w:val="bottom"/>
          </w:tcPr>
          <w:p>
            <w:pPr>
              <w:pStyle w:val="TableContents"/>
              <w:spacing w:before="0" w:after="283"/>
              <w:jc w:val="right"/>
              <w:rPr/>
            </w:pPr>
            <w:r>
              <w:rPr/>
              <w:t> </w:t>
            </w:r>
          </w:p>
        </w:tc>
        <w:tc>
          <w:tcPr>
            <w:tcW w:w="133" w:type="dxa"/>
            <w:tcBorders/>
            <w:shd w:fill="auto" w:val="clear"/>
            <w:tcMar>
              <w:top w:w="0" w:type="dxa"/>
              <w:bottom w:w="0" w:type="dxa"/>
            </w:tcMar>
            <w:vAlign w:val="bottom"/>
          </w:tcPr>
          <w:p>
            <w:pPr>
              <w:pStyle w:val="TableContents"/>
              <w:spacing w:before="0" w:after="283"/>
              <w:jc w:val="left"/>
              <w:rPr/>
            </w:pPr>
            <w:r>
              <w:rPr/>
              <w:t> </w:t>
            </w:r>
          </w:p>
        </w:tc>
        <w:tc>
          <w:tcPr>
            <w:tcW w:w="121" w:type="dxa"/>
            <w:tcBorders/>
            <w:shd w:fill="auto" w:val="clear"/>
            <w:tcMar>
              <w:top w:w="0" w:type="dxa"/>
              <w:bottom w:w="0" w:type="dxa"/>
            </w:tcMar>
            <w:vAlign w:val="bottom"/>
          </w:tcPr>
          <w:p>
            <w:pPr>
              <w:pStyle w:val="TableContents"/>
              <w:spacing w:before="0" w:after="283"/>
              <w:rPr/>
            </w:pPr>
            <w:r>
              <w:rPr/>
              <w:t> </w:t>
            </w:r>
          </w:p>
        </w:tc>
        <w:tc>
          <w:tcPr>
            <w:tcW w:w="225" w:type="dxa"/>
            <w:tcBorders/>
            <w:shd w:fill="auto" w:val="clear"/>
            <w:tcMar>
              <w:top w:w="0" w:type="dxa"/>
              <w:bottom w:w="0" w:type="dxa"/>
            </w:tcMar>
            <w:vAlign w:val="bottom"/>
          </w:tcPr>
          <w:p>
            <w:pPr>
              <w:pStyle w:val="TableContents"/>
              <w:spacing w:before="0" w:after="283"/>
              <w:jc w:val="left"/>
              <w:rPr/>
            </w:pPr>
            <w:r>
              <w:rPr/>
              <w:t> </w:t>
            </w:r>
          </w:p>
        </w:tc>
        <w:tc>
          <w:tcPr>
            <w:tcW w:w="1181" w:type="dxa"/>
            <w:tcBorders/>
            <w:shd w:fill="auto" w:val="clear"/>
            <w:tcMar>
              <w:top w:w="0" w:type="dxa"/>
              <w:bottom w:w="0" w:type="dxa"/>
            </w:tcMar>
            <w:vAlign w:val="bottom"/>
          </w:tcPr>
          <w:p>
            <w:pPr>
              <w:pStyle w:val="TableContents"/>
              <w:spacing w:before="0" w:after="283"/>
              <w:jc w:val="right"/>
              <w:rPr/>
            </w:pPr>
            <w:r>
              <w:rPr/>
              <w:t> </w:t>
            </w:r>
          </w:p>
        </w:tc>
        <w:tc>
          <w:tcPr>
            <w:tcW w:w="135" w:type="dxa"/>
            <w:tcBorders/>
            <w:shd w:fill="auto" w:val="clear"/>
            <w:tcMar>
              <w:top w:w="0" w:type="dxa"/>
              <w:bottom w:w="0" w:type="dxa"/>
            </w:tcMar>
            <w:vAlign w:val="bottom"/>
          </w:tcPr>
          <w:p>
            <w:pPr>
              <w:pStyle w:val="TableContents"/>
              <w:spacing w:before="0" w:after="283"/>
              <w:jc w:val="left"/>
              <w:rPr/>
            </w:pPr>
            <w:r>
              <w:rPr/>
              <w:t> </w:t>
            </w:r>
          </w:p>
        </w:tc>
      </w:tr>
      <w:tr>
        <w:trPr/>
        <w:tc>
          <w:tcPr>
            <w:tcW w:w="6940"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Unvested, June 30, 2013</w:t>
            </w:r>
          </w:p>
        </w:tc>
        <w:tc>
          <w:tcPr>
            <w:tcW w:w="121" w:type="dxa"/>
            <w:tcBorders/>
            <w:shd w:fill="auto" w:val="clear"/>
            <w:tcMar>
              <w:top w:w="0" w:type="dxa"/>
              <w:bottom w:w="0" w:type="dxa"/>
            </w:tcMar>
            <w:vAlign w:val="bottom"/>
          </w:tcPr>
          <w:p>
            <w:pPr>
              <w:pStyle w:val="TableContents"/>
              <w:spacing w:before="0" w:after="283"/>
              <w:jc w:val="right"/>
              <w:rPr/>
            </w:pPr>
            <w:r>
              <w:rPr/>
              <w:t> </w:t>
            </w:r>
          </w:p>
        </w:tc>
        <w:tc>
          <w:tcPr>
            <w:tcW w:w="121" w:type="dxa"/>
            <w:tcBorders>
              <w:bottom w:val="double" w:sz="8" w:space="0" w:color="000000"/>
            </w:tcBorders>
            <w:shd w:fill="auto" w:val="clear"/>
            <w:tcMar>
              <w:top w:w="0" w:type="dxa"/>
            </w:tcMar>
            <w:vAlign w:val="bottom"/>
          </w:tcPr>
          <w:p>
            <w:pPr>
              <w:pStyle w:val="TableContents"/>
              <w:spacing w:before="0" w:after="283"/>
              <w:jc w:val="left"/>
              <w:rPr/>
            </w:pPr>
            <w:r>
              <w:rPr/>
              <w:t> </w:t>
            </w:r>
          </w:p>
        </w:tc>
        <w:tc>
          <w:tcPr>
            <w:tcW w:w="1228"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152,778</w:t>
            </w:r>
          </w:p>
        </w:tc>
        <w:tc>
          <w:tcPr>
            <w:tcW w:w="133" w:type="dxa"/>
            <w:tcBorders/>
            <w:shd w:fill="auto" w:val="clear"/>
            <w:tcMar>
              <w:top w:w="0" w:type="dxa"/>
              <w:bottom w:w="0" w:type="dxa"/>
            </w:tcMar>
            <w:vAlign w:val="bottom"/>
          </w:tcPr>
          <w:p>
            <w:pPr>
              <w:pStyle w:val="TableContents"/>
              <w:spacing w:before="0" w:after="283"/>
              <w:jc w:val="left"/>
              <w:rPr/>
            </w:pPr>
            <w:r>
              <w:rPr/>
              <w:t> </w:t>
            </w:r>
          </w:p>
        </w:tc>
        <w:tc>
          <w:tcPr>
            <w:tcW w:w="121" w:type="dxa"/>
            <w:tcBorders/>
            <w:shd w:fill="auto" w:val="clear"/>
            <w:tcMar>
              <w:top w:w="0" w:type="dxa"/>
              <w:bottom w:w="0" w:type="dxa"/>
            </w:tcMar>
            <w:vAlign w:val="bottom"/>
          </w:tcPr>
          <w:p>
            <w:pPr>
              <w:pStyle w:val="TableContents"/>
              <w:spacing w:before="0" w:after="283"/>
              <w:jc w:val="right"/>
              <w:rPr/>
            </w:pPr>
            <w:r>
              <w:rPr/>
              <w:t> </w:t>
            </w:r>
          </w:p>
        </w:tc>
        <w:tc>
          <w:tcPr>
            <w:tcW w:w="225"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81"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0.17</w:t>
            </w:r>
          </w:p>
        </w:tc>
        <w:tc>
          <w:tcPr>
            <w:tcW w:w="135" w:type="dxa"/>
            <w:tcBorders/>
            <w:shd w:fill="auto" w:val="clear"/>
            <w:tcMar>
              <w:top w:w="0" w:type="dxa"/>
              <w:bottom w:w="0" w:type="dxa"/>
            </w:tcM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u w:val="single"/>
        </w:rPr>
      </w:pPr>
      <w:r>
        <w:rPr>
          <w:rFonts w:ascii="Times New Roman" w:hAnsi="Times New Roman"/>
          <w:b/>
          <w:i/>
          <w:sz w:val="20"/>
          <w:u w:val="single"/>
        </w:rPr>
        <w:t>Share Purchase Warrants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March, 2012, the Company issued 366,668 share purchase warrants to acquire an equivalent number of common shares of the Company, at an exercise price of $0.40 per share for an exercise period of up to two years from the issuance date. The warrants were issued pursuant to the private placement of $110,000 and included within equity. The fair value of these warrants was determined to be $5,133, using the Black-Scholes Option Pricing Model with an expected life of 2 years, a risk free interest rate of 0.37%, a dividend yield of 0%, and an expected volatility of 63%.</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April, 2012, the Company issued 1,150,000 share purchase warrants to acquire an equivalent number of common shares of the Company, at an exercise price of $0.40 per share for an exercise period of up to two years from the issuance date. The warrants were issued pursuant to a private placement and included within equity. The fair value of these warrants was determined to be $123,000, using the Black-Scholes Option Pricing Model with an expected life of 2 years, a risk free interest rate of 0.27%, a dividend yield of 0%, and an expected volatility of 146.6%.</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October, 2012, the Company issued 3,000,000 share purchase warrants to acquire an equivalent number of common shares of the Company, at an exercise price of $0.25 per share for an exercise period of up to four years from the issuance date. The warrants were issued pursuant to a convertible debt with price adjustment features. The residual fair value of these warrants was determined to be $300,000 and recognized as a derivative liability.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December, 2012, the Company issued 1,000,000 share purchase warrants to acquire an equivalent number of common shares of the Company, at an exercise price of $0.10 per share for an exercise period of up to five years from the issuance date. The warrants were issued pursuant to a private placement and included within equity. The fair value of these warrants was determined to be $178,000, using the Black-Scholes Option Pricing Model with an expected life of 5 years, a risk free interest rate of 0.87%, a dividend yield of 0%, and an expected volatility of 199.0%.</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1" w:name="PGBRK21"/>
      <w:bookmarkStart w:id="202" w:name="PGBRK21"/>
      <w:bookmarkEnd w:id="2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3" w:name="FTR21"/>
      <w:bookmarkStart w:id="204" w:name="FTR21"/>
      <w:bookmarkEnd w:id="2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05" w:name="GLFTR21"/>
      <w:bookmarkEnd w:id="20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06" w:name="PN21"/>
      <w:bookmarkEnd w:id="206"/>
      <w:r>
        <w:rPr>
          <w:rFonts w:ascii="Times New Roman" w:hAnsi="Times New Roman"/>
          <w:sz w:val="20"/>
        </w:rPr>
        <w:t>22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7" w:name="HDR21"/>
      <w:bookmarkStart w:id="208" w:name="HDR21"/>
      <w:bookmarkEnd w:id="2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09" w:name="GLHDR21"/>
      <w:bookmarkEnd w:id="20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March, 2013, the Company issued 3,470,709 share purchase warrants to acquire an equivalent number of common shares of the Company, at an exercise price of $0.07 per share for an exercise period of up to two years from the issuance date. The warrants were issued pursuant to a private placement and included within equity. The fair value of these warrants was determined to be $245,000, using the Black-Scholes Option Pricing Model with an expected life of 2 years, a risk free interest rate of 0.24%, a dividend yield of 0%, and an expected volatility of 131.02%.</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 summary of the Company’s share purchase warrants as of June 30, 2013 and changes during the period is presented below:</w:t>
      </w:r>
    </w:p>
    <w:tbl>
      <w:tblPr>
        <w:tblW w:w="5000" w:type="pct"/>
        <w:jc w:val="left"/>
        <w:tblInd w:w="0" w:type="dxa"/>
        <w:tblCellMar>
          <w:top w:w="28" w:type="dxa"/>
          <w:left w:w="0" w:type="dxa"/>
          <w:bottom w:w="28" w:type="dxa"/>
          <w:right w:w="0" w:type="dxa"/>
        </w:tblCellMar>
      </w:tblPr>
      <w:tblGrid>
        <w:gridCol w:w="5520"/>
        <w:gridCol w:w="112"/>
        <w:gridCol w:w="112"/>
        <w:gridCol w:w="1277"/>
        <w:gridCol w:w="125"/>
        <w:gridCol w:w="112"/>
        <w:gridCol w:w="203"/>
        <w:gridCol w:w="1060"/>
        <w:gridCol w:w="112"/>
        <w:gridCol w:w="112"/>
        <w:gridCol w:w="154"/>
        <w:gridCol w:w="1177"/>
        <w:gridCol w:w="129"/>
      </w:tblGrid>
      <w:tr>
        <w:trPr/>
        <w:tc>
          <w:tcPr>
            <w:tcW w:w="5520" w:type="dxa"/>
            <w:tcBorders>
              <w:top w:val="single" w:sz="12" w:space="0" w:color="000000"/>
              <w:bottom w:val="single" w:sz="12" w:space="0" w:color="000000"/>
            </w:tcBorders>
            <w:shd w:fill="auto" w:val="clear"/>
            <w:vAlign w:val="bottom"/>
          </w:tcPr>
          <w:p>
            <w:pPr>
              <w:pStyle w:val="TableContents"/>
              <w:spacing w:before="0" w:after="283"/>
              <w:rPr/>
            </w:pPr>
            <w:r>
              <w:rPr/>
              <w:t> </w:t>
            </w:r>
          </w:p>
        </w:tc>
        <w:tc>
          <w:tcPr>
            <w:tcW w:w="112" w:type="dxa"/>
            <w:tcBorders>
              <w:top w:val="single" w:sz="12" w:space="0" w:color="000000"/>
            </w:tcBorders>
            <w:shd w:fill="auto" w:val="clear"/>
            <w:tcMar>
              <w:bottom w:w="0" w:type="dxa"/>
            </w:tcMar>
            <w:vAlign w:val="bottom"/>
          </w:tcPr>
          <w:p>
            <w:pPr>
              <w:pStyle w:val="TableContents"/>
              <w:spacing w:before="0" w:after="283"/>
              <w:rPr/>
            </w:pPr>
            <w:r>
              <w:rPr/>
              <w:t> </w:t>
            </w:r>
          </w:p>
        </w:tc>
        <w:tc>
          <w:tcPr>
            <w:tcW w:w="1389"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 of</w:t>
            </w:r>
          </w:p>
          <w:p>
            <w:pPr>
              <w:pStyle w:val="TableContents"/>
              <w:spacing w:before="0" w:after="0"/>
              <w:ind w:left="0" w:right="0" w:hanging="0"/>
              <w:jc w:val="center"/>
              <w:rPr>
                <w:rFonts w:ascii="times new roman" w:hAnsi="times new roman"/>
                <w:sz w:val="20"/>
              </w:rPr>
            </w:pPr>
            <w:r>
              <w:rPr>
                <w:rFonts w:ascii="times new roman" w:hAnsi="times new roman"/>
                <w:sz w:val="20"/>
              </w:rPr>
              <w:t>Warrants</w:t>
            </w:r>
          </w:p>
        </w:tc>
        <w:tc>
          <w:tcPr>
            <w:tcW w:w="125"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12" w:type="dxa"/>
            <w:tcBorders>
              <w:top w:val="single" w:sz="12" w:space="0" w:color="000000"/>
            </w:tcBorders>
            <w:shd w:fill="auto" w:val="clear"/>
            <w:tcMar>
              <w:bottom w:w="0" w:type="dxa"/>
            </w:tcMar>
            <w:vAlign w:val="bottom"/>
          </w:tcPr>
          <w:p>
            <w:pPr>
              <w:pStyle w:val="TableContents"/>
              <w:spacing w:before="0" w:after="283"/>
              <w:rPr/>
            </w:pPr>
            <w:r>
              <w:rPr/>
              <w:t> </w:t>
            </w:r>
          </w:p>
        </w:tc>
        <w:tc>
          <w:tcPr>
            <w:tcW w:w="1263"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 Average</w:t>
            </w:r>
          </w:p>
          <w:p>
            <w:pPr>
              <w:pStyle w:val="TableContents"/>
              <w:spacing w:before="0" w:after="0"/>
              <w:ind w:left="0" w:right="0" w:hanging="0"/>
              <w:jc w:val="center"/>
              <w:rPr>
                <w:rFonts w:ascii="times new roman" w:hAnsi="times new roman"/>
                <w:sz w:val="20"/>
              </w:rPr>
            </w:pPr>
            <w:r>
              <w:rPr>
                <w:rFonts w:ascii="times new roman" w:hAnsi="times new roman"/>
                <w:sz w:val="20"/>
              </w:rPr>
              <w:t>Exercise Price</w:t>
            </w:r>
          </w:p>
        </w:tc>
        <w:tc>
          <w:tcPr>
            <w:tcW w:w="112"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12" w:type="dxa"/>
            <w:tcBorders>
              <w:top w:val="single" w:sz="12" w:space="0" w:color="000000"/>
            </w:tcBorders>
            <w:shd w:fill="auto" w:val="clear"/>
            <w:tcMar>
              <w:bottom w:w="0" w:type="dxa"/>
            </w:tcMar>
            <w:vAlign w:val="bottom"/>
          </w:tcPr>
          <w:p>
            <w:pPr>
              <w:pStyle w:val="TableContents"/>
              <w:spacing w:before="0" w:after="283"/>
              <w:rPr/>
            </w:pPr>
            <w:r>
              <w:rPr/>
              <w:t> </w:t>
            </w:r>
          </w:p>
        </w:tc>
        <w:tc>
          <w:tcPr>
            <w:tcW w:w="1331"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 Average</w:t>
            </w:r>
          </w:p>
          <w:p>
            <w:pPr>
              <w:pStyle w:val="TableContents"/>
              <w:spacing w:before="0" w:after="0"/>
              <w:ind w:left="0" w:right="0" w:hanging="0"/>
              <w:jc w:val="center"/>
              <w:rPr>
                <w:rFonts w:ascii="times new roman" w:hAnsi="times new roman"/>
                <w:sz w:val="20"/>
              </w:rPr>
            </w:pPr>
            <w:r>
              <w:rPr>
                <w:rFonts w:ascii="times new roman" w:hAnsi="times new roman"/>
                <w:sz w:val="20"/>
              </w:rPr>
              <w:t>Remaining Life</w:t>
            </w:r>
          </w:p>
        </w:tc>
        <w:tc>
          <w:tcPr>
            <w:tcW w:w="129" w:type="dxa"/>
            <w:tcBorders>
              <w:top w:val="single" w:sz="12" w:space="0" w:color="000000"/>
            </w:tcBorders>
            <w:shd w:fill="auto" w:val="clear"/>
            <w:tcMar>
              <w:bottom w:w="0" w:type="dxa"/>
            </w:tcMar>
            <w:vAlign w:val="bottom"/>
          </w:tcPr>
          <w:p>
            <w:pPr>
              <w:pStyle w:val="TableContents"/>
              <w:spacing w:before="0" w:after="283"/>
              <w:jc w:val="left"/>
              <w:rPr/>
            </w:pPr>
            <w:r>
              <w:rPr/>
              <w:t> </w:t>
            </w:r>
          </w:p>
        </w:tc>
      </w:tr>
      <w:tr>
        <w:trPr/>
        <w:tc>
          <w:tcPr>
            <w:tcW w:w="5520" w:type="dxa"/>
            <w:tcBorders/>
            <w:shd w:fill="auto" w:val="clear"/>
            <w:tcMar>
              <w:top w:w="0" w:type="dxa"/>
              <w:bottom w:w="0" w:type="dxa"/>
            </w:tcMar>
            <w:vAlign w:val="bottom"/>
          </w:tcPr>
          <w:p>
            <w:pPr>
              <w:pStyle w:val="TableContents"/>
              <w:spacing w:before="0" w:after="283"/>
              <w:rPr/>
            </w:pPr>
            <w:r>
              <w:rPr/>
              <w:t xml:space="preserve">  </w:t>
            </w:r>
          </w:p>
        </w:tc>
        <w:tc>
          <w:tcPr>
            <w:tcW w:w="112" w:type="dxa"/>
            <w:tcBorders/>
            <w:shd w:fill="auto" w:val="clear"/>
            <w:tcMar>
              <w:top w:w="0" w:type="dxa"/>
              <w:bottom w:w="0" w:type="dxa"/>
            </w:tcMar>
            <w:vAlign w:val="bottom"/>
          </w:tcPr>
          <w:p>
            <w:pPr>
              <w:pStyle w:val="TableContents"/>
              <w:spacing w:before="0" w:after="283"/>
              <w:rPr/>
            </w:pPr>
            <w:r>
              <w:rPr/>
              <w:t> </w:t>
            </w:r>
          </w:p>
        </w:tc>
        <w:tc>
          <w:tcPr>
            <w:tcW w:w="1389" w:type="dxa"/>
            <w:gridSpan w:val="2"/>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12" w:type="dxa"/>
            <w:tcBorders/>
            <w:shd w:fill="auto" w:val="clear"/>
            <w:tcMar>
              <w:top w:w="0" w:type="dxa"/>
              <w:bottom w:w="0" w:type="dxa"/>
            </w:tcMar>
            <w:vAlign w:val="bottom"/>
          </w:tcPr>
          <w:p>
            <w:pPr>
              <w:pStyle w:val="TableContents"/>
              <w:spacing w:before="0" w:after="283"/>
              <w:rPr/>
            </w:pPr>
            <w:r>
              <w:rPr/>
              <w:t> </w:t>
            </w:r>
          </w:p>
        </w:tc>
        <w:tc>
          <w:tcPr>
            <w:tcW w:w="1263" w:type="dxa"/>
            <w:gridSpan w:val="2"/>
            <w:tcBorders/>
            <w:shd w:fill="auto" w:val="clear"/>
            <w:tcMar>
              <w:top w:w="0" w:type="dxa"/>
              <w:bottom w:w="0" w:type="dxa"/>
            </w:tcMar>
            <w:vAlign w:val="bottom"/>
          </w:tcPr>
          <w:p>
            <w:pPr>
              <w:pStyle w:val="TableContents"/>
              <w:spacing w:before="0" w:after="283"/>
              <w:rPr/>
            </w:pPr>
            <w:r>
              <w:rPr/>
              <w:t> </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12" w:type="dxa"/>
            <w:tcBorders/>
            <w:shd w:fill="auto" w:val="clear"/>
            <w:tcMar>
              <w:top w:w="0" w:type="dxa"/>
              <w:bottom w:w="0" w:type="dxa"/>
            </w:tcMar>
            <w:vAlign w:val="bottom"/>
          </w:tcPr>
          <w:p>
            <w:pPr>
              <w:pStyle w:val="TableContents"/>
              <w:spacing w:before="0" w:after="283"/>
              <w:rPr/>
            </w:pPr>
            <w:r>
              <w:rPr/>
              <w:t> </w:t>
            </w:r>
          </w:p>
        </w:tc>
        <w:tc>
          <w:tcPr>
            <w:tcW w:w="1331" w:type="dxa"/>
            <w:gridSpan w:val="2"/>
            <w:tcBorders/>
            <w:shd w:fill="auto" w:val="clear"/>
            <w:tcMar>
              <w:top w:w="0" w:type="dxa"/>
              <w:bottom w:w="0" w:type="dxa"/>
            </w:tcMar>
            <w:vAlign w:val="bottom"/>
          </w:tcPr>
          <w:p>
            <w:pPr>
              <w:pStyle w:val="TableContents"/>
              <w:spacing w:before="0" w:after="283"/>
              <w:rPr/>
            </w:pPr>
            <w:r>
              <w:rPr/>
              <w:t> </w:t>
            </w:r>
          </w:p>
        </w:tc>
        <w:tc>
          <w:tcPr>
            <w:tcW w:w="129" w:type="dxa"/>
            <w:tcBorders/>
            <w:shd w:fill="auto" w:val="clear"/>
            <w:tcMar>
              <w:top w:w="0" w:type="dxa"/>
              <w:bottom w:w="0" w:type="dxa"/>
            </w:tcMar>
            <w:vAlign w:val="bottom"/>
          </w:tcPr>
          <w:p>
            <w:pPr>
              <w:pStyle w:val="TableContents"/>
              <w:spacing w:before="0" w:after="283"/>
              <w:jc w:val="left"/>
              <w:rPr/>
            </w:pPr>
            <w:r>
              <w:rPr/>
              <w:t> </w:t>
            </w:r>
          </w:p>
        </w:tc>
      </w:tr>
      <w:tr>
        <w:trPr/>
        <w:tc>
          <w:tcPr>
            <w:tcW w:w="5520"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Balance, December 31, 2011</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277"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12,106,355</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203"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0.56</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154" w:type="dxa"/>
            <w:tcBorders/>
            <w:shd w:fill="auto" w:val="clear"/>
            <w:tcMar>
              <w:top w:w="0" w:type="dxa"/>
              <w:bottom w:w="0" w:type="dxa"/>
            </w:tcMar>
            <w:vAlign w:val="bottom"/>
          </w:tcPr>
          <w:p>
            <w:pPr>
              <w:pStyle w:val="TableContents"/>
              <w:spacing w:before="0" w:after="283"/>
              <w:jc w:val="left"/>
              <w:rPr/>
            </w:pPr>
            <w:r>
              <w:rPr/>
              <w:t> </w:t>
            </w:r>
          </w:p>
        </w:tc>
        <w:tc>
          <w:tcPr>
            <w:tcW w:w="1177"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2.81</w:t>
            </w:r>
          </w:p>
        </w:tc>
        <w:tc>
          <w:tcPr>
            <w:tcW w:w="129" w:type="dxa"/>
            <w:tcBorders/>
            <w:shd w:fill="auto" w:val="clear"/>
            <w:tcMar>
              <w:top w:w="0" w:type="dxa"/>
              <w:bottom w:w="0" w:type="dxa"/>
            </w:tcMar>
            <w:vAlign w:val="bottom"/>
          </w:tcPr>
          <w:p>
            <w:pPr>
              <w:pStyle w:val="TableContents"/>
              <w:spacing w:before="0" w:after="283"/>
              <w:jc w:val="left"/>
              <w:rPr/>
            </w:pPr>
            <w:r>
              <w:rPr/>
              <w:t> </w:t>
            </w:r>
          </w:p>
        </w:tc>
      </w:tr>
      <w:tr>
        <w:trPr/>
        <w:tc>
          <w:tcPr>
            <w:tcW w:w="5520"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Issued</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277"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5,516,668</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203" w:type="dxa"/>
            <w:tcBorders/>
            <w:shd w:fill="auto" w:val="clear"/>
            <w:tcMar>
              <w:top w:w="0" w:type="dxa"/>
              <w:bottom w:w="0" w:type="dxa"/>
            </w:tcMar>
            <w:vAlign w:val="bottom"/>
          </w:tcPr>
          <w:p>
            <w:pPr>
              <w:pStyle w:val="TableContents"/>
              <w:spacing w:before="0" w:after="283"/>
              <w:jc w:val="left"/>
              <w:rPr/>
            </w:pPr>
            <w:r>
              <w:rPr/>
              <w:t> </w:t>
            </w:r>
          </w:p>
        </w:tc>
        <w:tc>
          <w:tcPr>
            <w:tcW w:w="106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0.26</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154" w:type="dxa"/>
            <w:tcBorders/>
            <w:shd w:fill="auto" w:val="clear"/>
            <w:tcMar>
              <w:top w:w="0" w:type="dxa"/>
              <w:bottom w:w="0" w:type="dxa"/>
            </w:tcMar>
            <w:vAlign w:val="bottom"/>
          </w:tcPr>
          <w:p>
            <w:pPr>
              <w:pStyle w:val="TableContents"/>
              <w:spacing w:before="0" w:after="283"/>
              <w:jc w:val="left"/>
              <w:rPr/>
            </w:pPr>
            <w:r>
              <w:rPr/>
              <w:t> </w:t>
            </w:r>
          </w:p>
        </w:tc>
        <w:tc>
          <w:tcPr>
            <w:tcW w:w="1177"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3.32</w:t>
            </w:r>
          </w:p>
        </w:tc>
        <w:tc>
          <w:tcPr>
            <w:tcW w:w="129" w:type="dxa"/>
            <w:tcBorders/>
            <w:shd w:fill="auto" w:val="clear"/>
            <w:tcMar>
              <w:top w:w="0" w:type="dxa"/>
              <w:bottom w:w="0" w:type="dxa"/>
            </w:tcMar>
            <w:vAlign w:val="bottom"/>
          </w:tcPr>
          <w:p>
            <w:pPr>
              <w:pStyle w:val="TableContents"/>
              <w:spacing w:before="0" w:after="283"/>
              <w:jc w:val="left"/>
              <w:rPr/>
            </w:pPr>
            <w:r>
              <w:rPr/>
              <w:t> </w:t>
            </w:r>
          </w:p>
        </w:tc>
      </w:tr>
      <w:tr>
        <w:trPr/>
        <w:tc>
          <w:tcPr>
            <w:tcW w:w="5520" w:type="dxa"/>
            <w:tcBorders>
              <w:bottom w:val="single" w:sz="12" w:space="0" w:color="000000"/>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Exercised, cancelled or expired</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112"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277"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(714,400</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203"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60"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2.33</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154"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77"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9" w:type="dxa"/>
            <w:tcBorders/>
            <w:shd w:fill="auto" w:val="clear"/>
            <w:tcMar>
              <w:top w:w="0" w:type="dxa"/>
              <w:bottom w:w="0" w:type="dxa"/>
            </w:tcMar>
            <w:vAlign w:val="bottom"/>
          </w:tcPr>
          <w:p>
            <w:pPr>
              <w:pStyle w:val="TableContents"/>
              <w:spacing w:before="0" w:after="283"/>
              <w:jc w:val="left"/>
              <w:rPr/>
            </w:pPr>
            <w:r>
              <w:rPr/>
              <w:t> </w:t>
            </w:r>
          </w:p>
        </w:tc>
      </w:tr>
      <w:tr>
        <w:trPr/>
        <w:tc>
          <w:tcPr>
            <w:tcW w:w="5520"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Balance, December 31, 2012</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277"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16,908,623</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203"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0.39</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154" w:type="dxa"/>
            <w:tcBorders/>
            <w:shd w:fill="auto" w:val="clear"/>
            <w:tcMar>
              <w:top w:w="0" w:type="dxa"/>
              <w:bottom w:w="0" w:type="dxa"/>
            </w:tcMar>
            <w:vAlign w:val="bottom"/>
          </w:tcPr>
          <w:p>
            <w:pPr>
              <w:pStyle w:val="TableContents"/>
              <w:spacing w:before="0" w:after="283"/>
              <w:jc w:val="left"/>
              <w:rPr/>
            </w:pPr>
            <w:r>
              <w:rPr/>
              <w:t> </w:t>
            </w:r>
          </w:p>
        </w:tc>
        <w:tc>
          <w:tcPr>
            <w:tcW w:w="1177"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2.19</w:t>
            </w:r>
          </w:p>
        </w:tc>
        <w:tc>
          <w:tcPr>
            <w:tcW w:w="129" w:type="dxa"/>
            <w:tcBorders/>
            <w:shd w:fill="auto" w:val="clear"/>
            <w:tcMar>
              <w:top w:w="0" w:type="dxa"/>
              <w:bottom w:w="0" w:type="dxa"/>
            </w:tcMar>
            <w:vAlign w:val="bottom"/>
          </w:tcPr>
          <w:p>
            <w:pPr>
              <w:pStyle w:val="TableContents"/>
              <w:spacing w:before="0" w:after="283"/>
              <w:jc w:val="left"/>
              <w:rPr/>
            </w:pPr>
            <w:r>
              <w:rPr/>
              <w:t> </w:t>
            </w:r>
          </w:p>
        </w:tc>
      </w:tr>
      <w:tr>
        <w:trPr/>
        <w:tc>
          <w:tcPr>
            <w:tcW w:w="5520"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Issued</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277"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5,470,709</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203" w:type="dxa"/>
            <w:tcBorders/>
            <w:shd w:fill="auto" w:val="clear"/>
            <w:tcMar>
              <w:top w:w="0" w:type="dxa"/>
              <w:bottom w:w="0" w:type="dxa"/>
            </w:tcMar>
            <w:vAlign w:val="bottom"/>
          </w:tcPr>
          <w:p>
            <w:pPr>
              <w:pStyle w:val="TableContents"/>
              <w:spacing w:before="0" w:after="283"/>
              <w:jc w:val="left"/>
              <w:rPr/>
            </w:pPr>
            <w:r>
              <w:rPr/>
              <w:t> </w:t>
            </w:r>
          </w:p>
        </w:tc>
        <w:tc>
          <w:tcPr>
            <w:tcW w:w="106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0.07</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154" w:type="dxa"/>
            <w:tcBorders/>
            <w:shd w:fill="auto" w:val="clear"/>
            <w:tcMar>
              <w:top w:w="0" w:type="dxa"/>
              <w:bottom w:w="0" w:type="dxa"/>
            </w:tcMar>
            <w:vAlign w:val="bottom"/>
          </w:tcPr>
          <w:p>
            <w:pPr>
              <w:pStyle w:val="TableContents"/>
              <w:spacing w:before="0" w:after="283"/>
              <w:jc w:val="left"/>
              <w:rPr/>
            </w:pPr>
            <w:r>
              <w:rPr/>
              <w:t> </w:t>
            </w:r>
          </w:p>
        </w:tc>
        <w:tc>
          <w:tcPr>
            <w:tcW w:w="1177"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2.52</w:t>
            </w:r>
          </w:p>
        </w:tc>
        <w:tc>
          <w:tcPr>
            <w:tcW w:w="129" w:type="dxa"/>
            <w:tcBorders/>
            <w:shd w:fill="auto" w:val="clear"/>
            <w:tcMar>
              <w:top w:w="0" w:type="dxa"/>
              <w:bottom w:w="0" w:type="dxa"/>
            </w:tcMar>
            <w:vAlign w:val="bottom"/>
          </w:tcPr>
          <w:p>
            <w:pPr>
              <w:pStyle w:val="TableContents"/>
              <w:spacing w:before="0" w:after="283"/>
              <w:jc w:val="left"/>
              <w:rPr/>
            </w:pPr>
            <w:r>
              <w:rPr/>
              <w:t> </w:t>
            </w:r>
          </w:p>
        </w:tc>
      </w:tr>
      <w:tr>
        <w:trPr/>
        <w:tc>
          <w:tcPr>
            <w:tcW w:w="5520"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Exercised</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277"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(3,000,000</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203" w:type="dxa"/>
            <w:tcBorders/>
            <w:shd w:fill="auto" w:val="clear"/>
            <w:tcMar>
              <w:top w:w="0" w:type="dxa"/>
              <w:bottom w:w="0" w:type="dxa"/>
            </w:tcMar>
            <w:vAlign w:val="bottom"/>
          </w:tcPr>
          <w:p>
            <w:pPr>
              <w:pStyle w:val="TableContents"/>
              <w:spacing w:before="0" w:after="283"/>
              <w:jc w:val="left"/>
              <w:rPr/>
            </w:pPr>
            <w:r>
              <w:rPr/>
              <w:t> </w:t>
            </w:r>
          </w:p>
        </w:tc>
        <w:tc>
          <w:tcPr>
            <w:tcW w:w="106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0.25</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154" w:type="dxa"/>
            <w:tcBorders/>
            <w:shd w:fill="auto" w:val="clear"/>
            <w:tcMar>
              <w:top w:w="0" w:type="dxa"/>
              <w:bottom w:w="0" w:type="dxa"/>
            </w:tcMar>
            <w:vAlign w:val="bottom"/>
          </w:tcPr>
          <w:p>
            <w:pPr>
              <w:pStyle w:val="TableContents"/>
              <w:spacing w:before="0" w:after="283"/>
              <w:jc w:val="left"/>
              <w:rPr/>
            </w:pPr>
            <w:r>
              <w:rPr/>
              <w:t> </w:t>
            </w:r>
          </w:p>
        </w:tc>
        <w:tc>
          <w:tcPr>
            <w:tcW w:w="1177"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9" w:type="dxa"/>
            <w:tcBorders/>
            <w:shd w:fill="auto" w:val="clear"/>
            <w:tcMar>
              <w:top w:w="0" w:type="dxa"/>
              <w:bottom w:w="0" w:type="dxa"/>
            </w:tcMar>
            <w:vAlign w:val="bottom"/>
          </w:tcPr>
          <w:p>
            <w:pPr>
              <w:pStyle w:val="TableContents"/>
              <w:spacing w:before="0" w:after="283"/>
              <w:jc w:val="left"/>
              <w:rPr/>
            </w:pPr>
            <w:r>
              <w:rPr/>
              <w:t> </w:t>
            </w:r>
          </w:p>
        </w:tc>
      </w:tr>
      <w:tr>
        <w:trPr/>
        <w:tc>
          <w:tcPr>
            <w:tcW w:w="5520" w:type="dxa"/>
            <w:tcBorders>
              <w:bottom w:val="single" w:sz="12" w:space="0" w:color="000000"/>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Extinguished or expired</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112"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277"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(2,099,992</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203"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60"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0.50</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154"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77"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9" w:type="dxa"/>
            <w:tcBorders/>
            <w:shd w:fill="auto" w:val="clear"/>
            <w:tcMar>
              <w:top w:w="0" w:type="dxa"/>
              <w:bottom w:w="0" w:type="dxa"/>
            </w:tcMar>
            <w:vAlign w:val="bottom"/>
          </w:tcPr>
          <w:p>
            <w:pPr>
              <w:pStyle w:val="TableContents"/>
              <w:spacing w:before="0" w:after="283"/>
              <w:jc w:val="left"/>
              <w:rPr/>
            </w:pPr>
            <w:r>
              <w:rPr/>
              <w:t> </w:t>
            </w:r>
          </w:p>
        </w:tc>
      </w:tr>
      <w:tr>
        <w:trPr/>
        <w:tc>
          <w:tcPr>
            <w:tcW w:w="5520"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Balance, June 30, 2013</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112" w:type="dxa"/>
            <w:tcBorders>
              <w:bottom w:val="double" w:sz="8" w:space="0" w:color="000000"/>
            </w:tcBorders>
            <w:shd w:fill="auto" w:val="clear"/>
            <w:tcMar>
              <w:top w:w="0" w:type="dxa"/>
            </w:tcMar>
            <w:vAlign w:val="bottom"/>
          </w:tcPr>
          <w:p>
            <w:pPr>
              <w:pStyle w:val="TableContents"/>
              <w:spacing w:before="0" w:after="283"/>
              <w:jc w:val="left"/>
              <w:rPr/>
            </w:pPr>
            <w:r>
              <w:rPr/>
              <w:t> </w:t>
            </w:r>
          </w:p>
        </w:tc>
        <w:tc>
          <w:tcPr>
            <w:tcW w:w="1277"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17,279,341</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203"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0"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0.29</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154" w:type="dxa"/>
            <w:tcBorders>
              <w:bottom w:val="double" w:sz="8" w:space="0" w:color="000000"/>
            </w:tcBorders>
            <w:shd w:fill="auto" w:val="clear"/>
            <w:tcMar>
              <w:top w:w="0" w:type="dxa"/>
            </w:tcMar>
            <w:vAlign w:val="bottom"/>
          </w:tcPr>
          <w:p>
            <w:pPr>
              <w:pStyle w:val="TableContents"/>
              <w:spacing w:before="0" w:after="283"/>
              <w:jc w:val="left"/>
              <w:rPr/>
            </w:pPr>
            <w:r>
              <w:rPr/>
              <w:t> </w:t>
            </w:r>
          </w:p>
        </w:tc>
        <w:tc>
          <w:tcPr>
            <w:tcW w:w="1177"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1.92</w:t>
            </w:r>
          </w:p>
        </w:tc>
        <w:tc>
          <w:tcPr>
            <w:tcW w:w="129" w:type="dxa"/>
            <w:tcBorders/>
            <w:shd w:fill="auto" w:val="clear"/>
            <w:tcMar>
              <w:top w:w="0" w:type="dxa"/>
              <w:bottom w:w="0" w:type="dxa"/>
            </w:tcM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NOTE 10:</w:t>
      </w:r>
      <w:r>
        <w:rPr>
          <w:rFonts w:ascii="Times New Roman" w:hAnsi="Times New Roman"/>
          <w:b/>
          <w:sz w:val="20"/>
        </w:rPr>
        <w:t>                      </w:t>
      </w:r>
      <w:r>
        <w:rPr>
          <w:rFonts w:ascii="Times New Roman" w:hAnsi="Times New Roman"/>
          <w:b/>
          <w:sz w:val="20"/>
          <w:u w:val="single"/>
        </w:rPr>
        <w:t>SUPPLEMENTAL CASH FLOW INFORMATION AND NON-CASH INVESTING AND FINANCING ACTIVITIES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7356"/>
        <w:gridCol w:w="108"/>
        <w:gridCol w:w="108"/>
        <w:gridCol w:w="1100"/>
        <w:gridCol w:w="108"/>
        <w:gridCol w:w="108"/>
        <w:gridCol w:w="127"/>
        <w:gridCol w:w="1070"/>
        <w:gridCol w:w="120"/>
      </w:tblGrid>
      <w:tr>
        <w:trPr/>
        <w:tc>
          <w:tcPr>
            <w:tcW w:w="7356"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jc w:val="left"/>
              <w:rPr/>
            </w:pPr>
            <w:r>
              <w:rPr/>
              <w:t> </w:t>
            </w:r>
          </w:p>
        </w:tc>
        <w:tc>
          <w:tcPr>
            <w:tcW w:w="2621"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Six Months Ended June 30, 2013</w:t>
            </w:r>
          </w:p>
        </w:tc>
        <w:tc>
          <w:tcPr>
            <w:tcW w:w="120" w:type="dxa"/>
            <w:tcBorders/>
            <w:shd w:fill="auto" w:val="clear"/>
            <w:vAlign w:val="bottom"/>
          </w:tcPr>
          <w:p>
            <w:pPr>
              <w:pStyle w:val="TableContents"/>
              <w:spacing w:before="0" w:after="283"/>
              <w:jc w:val="left"/>
              <w:rPr/>
            </w:pPr>
            <w:r>
              <w:rPr/>
              <w:t> </w:t>
            </w:r>
          </w:p>
        </w:tc>
      </w:tr>
      <w:tr>
        <w:trPr/>
        <w:tc>
          <w:tcPr>
            <w:tcW w:w="7356"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jc w:val="left"/>
              <w:rPr/>
            </w:pPr>
            <w:r>
              <w:rPr/>
              <w:t> </w:t>
            </w:r>
          </w:p>
        </w:tc>
        <w:tc>
          <w:tcPr>
            <w:tcW w:w="120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Shares/warrants</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jc w:val="left"/>
              <w:rPr/>
            </w:pPr>
            <w:r>
              <w:rPr/>
              <w:t> </w:t>
            </w:r>
          </w:p>
        </w:tc>
        <w:tc>
          <w:tcPr>
            <w:tcW w:w="119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Amount</w:t>
            </w:r>
          </w:p>
        </w:tc>
        <w:tc>
          <w:tcPr>
            <w:tcW w:w="120" w:type="dxa"/>
            <w:tcBorders/>
            <w:shd w:fill="auto" w:val="clear"/>
            <w:vAlign w:val="bottom"/>
          </w:tcPr>
          <w:p>
            <w:pPr>
              <w:pStyle w:val="TableContents"/>
              <w:spacing w:before="0" w:after="283"/>
              <w:jc w:val="left"/>
              <w:rPr/>
            </w:pPr>
            <w:r>
              <w:rPr/>
              <w:t> </w:t>
            </w:r>
          </w:p>
        </w:tc>
      </w:tr>
      <w:tr>
        <w:trPr/>
        <w:tc>
          <w:tcPr>
            <w:tcW w:w="7356"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1208" w:type="dxa"/>
            <w:gridSpan w:val="2"/>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jc w:val="left"/>
              <w:rPr/>
            </w:pPr>
            <w:r>
              <w:rPr/>
              <w:t> </w:t>
            </w:r>
          </w:p>
        </w:tc>
        <w:tc>
          <w:tcPr>
            <w:tcW w:w="127" w:type="dxa"/>
            <w:tcBorders/>
            <w:shd w:fill="auto" w:val="clear"/>
            <w:vAlign w:val="bottom"/>
          </w:tcPr>
          <w:p>
            <w:pPr>
              <w:pStyle w:val="TableContents"/>
              <w:spacing w:before="0" w:after="283"/>
              <w:jc w:val="center"/>
              <w:rPr/>
            </w:pPr>
            <w:r>
              <w:rPr/>
              <w:t> </w:t>
            </w:r>
          </w:p>
        </w:tc>
        <w:tc>
          <w:tcPr>
            <w:tcW w:w="1070"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120" w:type="dxa"/>
            <w:tcBorders/>
            <w:shd w:fill="auto" w:val="clear"/>
            <w:vAlign w:val="bottom"/>
          </w:tcPr>
          <w:p>
            <w:pPr>
              <w:pStyle w:val="TableContents"/>
              <w:spacing w:before="0" w:after="283"/>
              <w:jc w:val="left"/>
              <w:rPr/>
            </w:pPr>
            <w:r>
              <w:rPr/>
              <w:t> </w:t>
            </w:r>
          </w:p>
        </w:tc>
      </w:tr>
      <w:tr>
        <w:trPr/>
        <w:tc>
          <w:tcPr>
            <w:tcW w:w="7356"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Shares issued pursuant to consulting arrangements</w:t>
            </w:r>
          </w:p>
        </w:tc>
        <w:tc>
          <w:tcPr>
            <w:tcW w:w="108" w:type="dxa"/>
            <w:tcBorders/>
            <w:shd w:fill="auto" w:val="clear"/>
            <w:vAlign w:val="bottom"/>
          </w:tcPr>
          <w:p>
            <w:pPr>
              <w:pStyle w:val="TableContents"/>
              <w:spacing w:before="0" w:after="283"/>
              <w:jc w:val="right"/>
              <w:rPr/>
            </w:pPr>
            <w:r>
              <w:rPr/>
              <w:t> </w:t>
            </w:r>
          </w:p>
        </w:tc>
        <w:tc>
          <w:tcPr>
            <w:tcW w:w="108" w:type="dxa"/>
            <w:tcBorders/>
            <w:shd w:fill="auto" w:val="clear"/>
            <w:vAlign w:val="bottom"/>
          </w:tcPr>
          <w:p>
            <w:pPr>
              <w:pStyle w:val="TableContents"/>
              <w:spacing w:before="0" w:after="283"/>
              <w:jc w:val="left"/>
              <w:rPr/>
            </w:pPr>
            <w:r>
              <w:rPr/>
              <w:t> </w:t>
            </w:r>
          </w:p>
        </w:tc>
        <w:tc>
          <w:tcPr>
            <w:tcW w:w="110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350,000</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jc w:val="right"/>
              <w:rPr/>
            </w:pPr>
            <w:r>
              <w:rPr/>
              <w:t> </w:t>
            </w:r>
          </w:p>
        </w:tc>
        <w:tc>
          <w:tcPr>
            <w:tcW w:w="127" w:type="dxa"/>
            <w:tcBorders/>
            <w:shd w:fill="auto" w:val="clear"/>
            <w:vAlign w:val="bottom"/>
          </w:tcPr>
          <w:p>
            <w:pPr>
              <w:pStyle w:val="TableContents"/>
              <w:spacing w:before="0" w:after="283"/>
              <w:jc w:val="left"/>
              <w:rPr/>
            </w:pPr>
            <w:r>
              <w:rPr/>
              <w:t> </w:t>
            </w:r>
          </w:p>
        </w:tc>
        <w:tc>
          <w:tcPr>
            <w:tcW w:w="107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38,935</w:t>
            </w:r>
          </w:p>
        </w:tc>
        <w:tc>
          <w:tcPr>
            <w:tcW w:w="120" w:type="dxa"/>
            <w:tcBorders/>
            <w:shd w:fill="auto" w:val="clear"/>
            <w:vAlign w:val="bottom"/>
          </w:tcPr>
          <w:p>
            <w:pPr>
              <w:pStyle w:val="TableContents"/>
              <w:spacing w:before="0" w:after="283"/>
              <w:jc w:val="left"/>
              <w:rPr/>
            </w:pPr>
            <w:r>
              <w:rPr/>
              <w:t> </w:t>
            </w:r>
          </w:p>
        </w:tc>
      </w:tr>
      <w:tr>
        <w:trPr/>
        <w:tc>
          <w:tcPr>
            <w:tcW w:w="7356"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Shares issued pursuant to debt settlement</w:t>
            </w:r>
          </w:p>
        </w:tc>
        <w:tc>
          <w:tcPr>
            <w:tcW w:w="108" w:type="dxa"/>
            <w:tcBorders/>
            <w:shd w:fill="auto" w:val="clear"/>
            <w:vAlign w:val="bottom"/>
          </w:tcPr>
          <w:p>
            <w:pPr>
              <w:pStyle w:val="TableContents"/>
              <w:spacing w:before="0" w:after="283"/>
              <w:jc w:val="right"/>
              <w:rPr/>
            </w:pPr>
            <w:r>
              <w:rPr/>
              <w:t> </w:t>
            </w:r>
          </w:p>
        </w:tc>
        <w:tc>
          <w:tcPr>
            <w:tcW w:w="108" w:type="dxa"/>
            <w:tcBorders/>
            <w:shd w:fill="auto" w:val="clear"/>
            <w:vAlign w:val="bottom"/>
          </w:tcPr>
          <w:p>
            <w:pPr>
              <w:pStyle w:val="TableContents"/>
              <w:spacing w:before="0" w:after="283"/>
              <w:jc w:val="left"/>
              <w:rPr/>
            </w:pPr>
            <w:r>
              <w:rPr/>
              <w:t> </w:t>
            </w:r>
          </w:p>
        </w:tc>
        <w:tc>
          <w:tcPr>
            <w:tcW w:w="110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18,464,921</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jc w:val="right"/>
              <w:rPr/>
            </w:pPr>
            <w:r>
              <w:rPr/>
              <w:t> </w:t>
            </w:r>
          </w:p>
        </w:tc>
        <w:tc>
          <w:tcPr>
            <w:tcW w:w="127" w:type="dxa"/>
            <w:tcBorders/>
            <w:shd w:fill="auto" w:val="clear"/>
            <w:vAlign w:val="bottom"/>
          </w:tcPr>
          <w:p>
            <w:pPr>
              <w:pStyle w:val="TableContents"/>
              <w:spacing w:before="0" w:after="283"/>
              <w:jc w:val="left"/>
              <w:rPr/>
            </w:pPr>
            <w:r>
              <w:rPr/>
              <w:t> </w:t>
            </w:r>
          </w:p>
        </w:tc>
        <w:tc>
          <w:tcPr>
            <w:tcW w:w="107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510,572</w:t>
            </w:r>
          </w:p>
        </w:tc>
        <w:tc>
          <w:tcPr>
            <w:tcW w:w="120" w:type="dxa"/>
            <w:tcBorders/>
            <w:shd w:fill="auto" w:val="clear"/>
            <w:vAlign w:val="bottom"/>
          </w:tcPr>
          <w:p>
            <w:pPr>
              <w:pStyle w:val="TableContents"/>
              <w:spacing w:before="0" w:after="283"/>
              <w:jc w:val="left"/>
              <w:rPr/>
            </w:pPr>
            <w:r>
              <w:rPr/>
              <w:t> </w:t>
            </w:r>
          </w:p>
        </w:tc>
      </w:tr>
      <w:tr>
        <w:trPr/>
        <w:tc>
          <w:tcPr>
            <w:tcW w:w="7356"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Shares issued pursuant to notes conversion</w:t>
            </w:r>
          </w:p>
        </w:tc>
        <w:tc>
          <w:tcPr>
            <w:tcW w:w="108" w:type="dxa"/>
            <w:tcBorders/>
            <w:shd w:fill="auto" w:val="clear"/>
            <w:vAlign w:val="bottom"/>
          </w:tcPr>
          <w:p>
            <w:pPr>
              <w:pStyle w:val="TableContents"/>
              <w:spacing w:before="0" w:after="283"/>
              <w:jc w:val="right"/>
              <w:rPr/>
            </w:pPr>
            <w:r>
              <w:rPr/>
              <w:t> </w:t>
            </w:r>
          </w:p>
        </w:tc>
        <w:tc>
          <w:tcPr>
            <w:tcW w:w="108"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1100"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14,733,733</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jc w:val="right"/>
              <w:rPr/>
            </w:pPr>
            <w:r>
              <w:rPr/>
              <w:t> </w:t>
            </w:r>
          </w:p>
        </w:tc>
        <w:tc>
          <w:tcPr>
            <w:tcW w:w="127"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1070"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561,687</w:t>
            </w:r>
          </w:p>
        </w:tc>
        <w:tc>
          <w:tcPr>
            <w:tcW w:w="120" w:type="dxa"/>
            <w:tcBorders/>
            <w:shd w:fill="auto" w:val="clear"/>
            <w:vAlign w:val="bottom"/>
          </w:tcPr>
          <w:p>
            <w:pPr>
              <w:pStyle w:val="TableContents"/>
              <w:spacing w:before="0" w:after="283"/>
              <w:jc w:val="left"/>
              <w:rPr/>
            </w:pPr>
            <w:r>
              <w:rPr/>
              <w:t> </w:t>
            </w:r>
          </w:p>
        </w:tc>
      </w:tr>
      <w:tr>
        <w:trPr/>
        <w:tc>
          <w:tcPr>
            <w:tcW w:w="7356"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jc w:val="left"/>
              <w:rPr/>
            </w:pPr>
            <w:r>
              <w:rPr/>
              <w:t> </w:t>
            </w:r>
          </w:p>
        </w:tc>
        <w:tc>
          <w:tcPr>
            <w:tcW w:w="1100" w:type="dxa"/>
            <w:tcBorders/>
            <w:shd w:fill="auto" w:val="clear"/>
            <w:vAlign w:val="bottom"/>
          </w:tcPr>
          <w:p>
            <w:pPr>
              <w:pStyle w:val="TableContents"/>
              <w:spacing w:before="0" w:after="283"/>
              <w:jc w:val="right"/>
              <w:rPr/>
            </w:pPr>
            <w:r>
              <w:rPr/>
              <w:t> </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jc w:val="left"/>
              <w:rPr/>
            </w:pPr>
            <w:r>
              <w:rPr/>
              <w:t> </w:t>
            </w:r>
          </w:p>
        </w:tc>
        <w:tc>
          <w:tcPr>
            <w:tcW w:w="1070" w:type="dxa"/>
            <w:tcBorders/>
            <w:shd w:fill="auto" w:val="clear"/>
            <w:vAlign w:val="bottom"/>
          </w:tcPr>
          <w:p>
            <w:pPr>
              <w:pStyle w:val="TableContents"/>
              <w:spacing w:before="0" w:after="283"/>
              <w:jc w:val="right"/>
              <w:rPr/>
            </w:pPr>
            <w:r>
              <w:rPr/>
              <w:t> </w:t>
            </w:r>
          </w:p>
        </w:tc>
        <w:tc>
          <w:tcPr>
            <w:tcW w:w="120" w:type="dxa"/>
            <w:tcBorders/>
            <w:shd w:fill="auto" w:val="clear"/>
            <w:vAlign w:val="bottom"/>
          </w:tcPr>
          <w:p>
            <w:pPr>
              <w:pStyle w:val="TableContents"/>
              <w:spacing w:before="0" w:after="283"/>
              <w:jc w:val="left"/>
              <w:rPr/>
            </w:pPr>
            <w:r>
              <w:rPr/>
              <w:t> </w:t>
            </w:r>
          </w:p>
        </w:tc>
      </w:tr>
      <w:tr>
        <w:trPr/>
        <w:tc>
          <w:tcPr>
            <w:tcW w:w="7356"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jc w:val="left"/>
              <w:rPr/>
            </w:pPr>
            <w:r>
              <w:rPr/>
              <w:t> </w:t>
            </w:r>
          </w:p>
        </w:tc>
        <w:tc>
          <w:tcPr>
            <w:tcW w:w="2621"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Six Months Ended</w:t>
            </w:r>
          </w:p>
          <w:p>
            <w:pPr>
              <w:pStyle w:val="TableContents"/>
              <w:spacing w:before="0" w:after="0"/>
              <w:ind w:left="0" w:right="0" w:hanging="0"/>
              <w:jc w:val="center"/>
              <w:rPr>
                <w:rFonts w:ascii="times new roman" w:hAnsi="times new roman"/>
                <w:sz w:val="20"/>
              </w:rPr>
            </w:pPr>
            <w:r>
              <w:rPr>
                <w:rFonts w:ascii="times new roman" w:hAnsi="times new roman"/>
                <w:sz w:val="20"/>
              </w:rPr>
              <w:t>June 30, 2012</w:t>
            </w:r>
          </w:p>
        </w:tc>
        <w:tc>
          <w:tcPr>
            <w:tcW w:w="120" w:type="dxa"/>
            <w:tcBorders/>
            <w:shd w:fill="auto" w:val="clear"/>
            <w:vAlign w:val="bottom"/>
          </w:tcPr>
          <w:p>
            <w:pPr>
              <w:pStyle w:val="TableContents"/>
              <w:spacing w:before="0" w:after="283"/>
              <w:jc w:val="left"/>
              <w:rPr/>
            </w:pPr>
            <w:r>
              <w:rPr/>
              <w:t> </w:t>
            </w:r>
          </w:p>
        </w:tc>
      </w:tr>
      <w:tr>
        <w:trPr/>
        <w:tc>
          <w:tcPr>
            <w:tcW w:w="7356"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jc w:val="left"/>
              <w:rPr/>
            </w:pPr>
            <w:r>
              <w:rPr/>
              <w:t> </w:t>
            </w:r>
          </w:p>
        </w:tc>
        <w:tc>
          <w:tcPr>
            <w:tcW w:w="120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Shares/warrants</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jc w:val="left"/>
              <w:rPr/>
            </w:pPr>
            <w:r>
              <w:rPr/>
              <w:t> </w:t>
            </w:r>
          </w:p>
        </w:tc>
        <w:tc>
          <w:tcPr>
            <w:tcW w:w="119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Amount</w:t>
            </w:r>
          </w:p>
        </w:tc>
        <w:tc>
          <w:tcPr>
            <w:tcW w:w="120" w:type="dxa"/>
            <w:tcBorders/>
            <w:shd w:fill="auto" w:val="clear"/>
            <w:vAlign w:val="bottom"/>
          </w:tcPr>
          <w:p>
            <w:pPr>
              <w:pStyle w:val="TableContents"/>
              <w:spacing w:before="0" w:after="283"/>
              <w:jc w:val="left"/>
              <w:rPr/>
            </w:pPr>
            <w:r>
              <w:rPr/>
              <w:t> </w:t>
            </w:r>
          </w:p>
        </w:tc>
      </w:tr>
      <w:tr>
        <w:trPr/>
        <w:tc>
          <w:tcPr>
            <w:tcW w:w="7356"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jc w:val="left"/>
              <w:rPr/>
            </w:pPr>
            <w:r>
              <w:rPr/>
              <w:t> </w:t>
            </w:r>
          </w:p>
        </w:tc>
        <w:tc>
          <w:tcPr>
            <w:tcW w:w="1100" w:type="dxa"/>
            <w:tcBorders/>
            <w:shd w:fill="auto" w:val="clear"/>
            <w:vAlign w:val="bottom"/>
          </w:tcPr>
          <w:p>
            <w:pPr>
              <w:pStyle w:val="TableContents"/>
              <w:spacing w:before="0" w:after="283"/>
              <w:jc w:val="right"/>
              <w:rPr/>
            </w:pPr>
            <w:r>
              <w:rPr/>
              <w:t> </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jc w:val="left"/>
              <w:rPr/>
            </w:pPr>
            <w:r>
              <w:rPr/>
              <w:t> </w:t>
            </w:r>
          </w:p>
        </w:tc>
        <w:tc>
          <w:tcPr>
            <w:tcW w:w="127" w:type="dxa"/>
            <w:tcBorders/>
            <w:shd w:fill="auto" w:val="clear"/>
            <w:vAlign w:val="bottom"/>
          </w:tcPr>
          <w:p>
            <w:pPr>
              <w:pStyle w:val="TableContents"/>
              <w:spacing w:before="0" w:after="283"/>
              <w:jc w:val="left"/>
              <w:rPr/>
            </w:pPr>
            <w:r>
              <w:rPr/>
              <w:t> </w:t>
            </w:r>
          </w:p>
        </w:tc>
        <w:tc>
          <w:tcPr>
            <w:tcW w:w="1070"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120" w:type="dxa"/>
            <w:tcBorders/>
            <w:shd w:fill="auto" w:val="clear"/>
            <w:vAlign w:val="bottom"/>
          </w:tcPr>
          <w:p>
            <w:pPr>
              <w:pStyle w:val="TableContents"/>
              <w:spacing w:before="0" w:after="283"/>
              <w:jc w:val="left"/>
              <w:rPr/>
            </w:pPr>
            <w:r>
              <w:rPr/>
              <w:t> </w:t>
            </w:r>
          </w:p>
        </w:tc>
      </w:tr>
      <w:tr>
        <w:trPr/>
        <w:tc>
          <w:tcPr>
            <w:tcW w:w="7356"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Shares issued pursuant to debt settlement agreements</w:t>
            </w:r>
          </w:p>
        </w:tc>
        <w:tc>
          <w:tcPr>
            <w:tcW w:w="108"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jc w:val="left"/>
              <w:rPr/>
            </w:pPr>
            <w:r>
              <w:rPr/>
              <w:t> </w:t>
            </w:r>
          </w:p>
        </w:tc>
        <w:tc>
          <w:tcPr>
            <w:tcW w:w="110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1,626,447</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jc w:val="left"/>
              <w:rPr/>
            </w:pPr>
            <w:r>
              <w:rPr/>
              <w:t> </w:t>
            </w:r>
          </w:p>
        </w:tc>
        <w:tc>
          <w:tcPr>
            <w:tcW w:w="12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254,187</w:t>
            </w:r>
          </w:p>
        </w:tc>
        <w:tc>
          <w:tcPr>
            <w:tcW w:w="120" w:type="dxa"/>
            <w:tcBorders/>
            <w:shd w:fill="auto" w:val="clear"/>
            <w:vAlign w:val="bottom"/>
          </w:tcPr>
          <w:p>
            <w:pPr>
              <w:pStyle w:val="TableContents"/>
              <w:spacing w:before="0" w:after="283"/>
              <w:jc w:val="left"/>
              <w:rPr/>
            </w:pPr>
            <w:r>
              <w:rPr/>
              <w:t> </w:t>
            </w:r>
          </w:p>
        </w:tc>
      </w:tr>
      <w:tr>
        <w:trPr/>
        <w:tc>
          <w:tcPr>
            <w:tcW w:w="7356"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Common shares issued pursuant to consulting service arrangements</w:t>
            </w:r>
          </w:p>
        </w:tc>
        <w:tc>
          <w:tcPr>
            <w:tcW w:w="108" w:type="dxa"/>
            <w:tcBorders/>
            <w:shd w:fill="auto" w:val="clear"/>
            <w:vAlign w:val="bottom"/>
          </w:tcPr>
          <w:p>
            <w:pPr>
              <w:pStyle w:val="TableContents"/>
              <w:spacing w:before="0" w:after="283"/>
              <w:jc w:val="right"/>
              <w:rPr/>
            </w:pPr>
            <w:r>
              <w:rPr/>
              <w:t> </w:t>
            </w:r>
          </w:p>
        </w:tc>
        <w:tc>
          <w:tcPr>
            <w:tcW w:w="108"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1100"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14,035,179</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jc w:val="right"/>
              <w:rPr/>
            </w:pPr>
            <w:r>
              <w:rPr/>
              <w:t> </w:t>
            </w:r>
          </w:p>
        </w:tc>
        <w:tc>
          <w:tcPr>
            <w:tcW w:w="127"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0"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1,924,000</w:t>
            </w:r>
          </w:p>
        </w:tc>
        <w:tc>
          <w:tcPr>
            <w:tcW w:w="120" w:type="dxa"/>
            <w:tcBorders/>
            <w:shd w:fill="auto" w:val="clear"/>
            <w:vAlign w:val="bottom"/>
          </w:tcPr>
          <w:p>
            <w:pPr>
              <w:pStyle w:val="TableContents"/>
              <w:spacing w:before="0" w:after="283"/>
              <w:jc w:val="left"/>
              <w:rPr/>
            </w:pPr>
            <w:r>
              <w:rPr/>
              <w:t> </w:t>
            </w:r>
          </w:p>
        </w:tc>
      </w:tr>
    </w:tbl>
    <w:p>
      <w:pPr>
        <w:pStyle w:val="TextBody"/>
        <w:spacing w:before="0" w:after="0"/>
        <w:jc w:val="left"/>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See Notes 5 and 9 for additional disclosure on non-cash transactions.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184"/>
        <w:gridCol w:w="135"/>
        <w:gridCol w:w="374"/>
        <w:gridCol w:w="856"/>
        <w:gridCol w:w="136"/>
        <w:gridCol w:w="136"/>
        <w:gridCol w:w="372"/>
        <w:gridCol w:w="858"/>
        <w:gridCol w:w="154"/>
      </w:tblGrid>
      <w:tr>
        <w:trPr/>
        <w:tc>
          <w:tcPr>
            <w:tcW w:w="7184"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2732" w:type="dxa"/>
            <w:gridSpan w:val="6"/>
            <w:tcBorders>
              <w:bottom w:val="single" w:sz="12" w:space="0" w:color="000000"/>
            </w:tcBorders>
            <w:shd w:fill="auto" w:val="clear"/>
            <w:tcMar>
              <w:bottom w:w="3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Period Ended June 30,</w:t>
            </w:r>
          </w:p>
        </w:tc>
        <w:tc>
          <w:tcPr>
            <w:tcW w:w="154" w:type="dxa"/>
            <w:tcBorders/>
            <w:shd w:fill="auto" w:val="clear"/>
            <w:vAlign w:val="bottom"/>
          </w:tcPr>
          <w:p>
            <w:pPr>
              <w:pStyle w:val="TableContents"/>
              <w:spacing w:before="0" w:after="283"/>
              <w:jc w:val="left"/>
              <w:rPr/>
            </w:pPr>
            <w:r>
              <w:rPr/>
              <w:t> </w:t>
            </w:r>
          </w:p>
        </w:tc>
      </w:tr>
      <w:tr>
        <w:trPr/>
        <w:tc>
          <w:tcPr>
            <w:tcW w:w="7184" w:type="dxa"/>
            <w:tcBorders/>
            <w:shd w:fill="auto" w:val="clear"/>
            <w:vAlign w:val="bottom"/>
          </w:tcPr>
          <w:p>
            <w:pPr>
              <w:pStyle w:val="TableContents"/>
              <w:spacing w:before="0" w:after="283"/>
              <w:rPr/>
            </w:pPr>
            <w:r>
              <w:rPr/>
              <w:t xml:space="preserve">  </w:t>
            </w:r>
          </w:p>
        </w:tc>
        <w:tc>
          <w:tcPr>
            <w:tcW w:w="135" w:type="dxa"/>
            <w:tcBorders/>
            <w:shd w:fill="auto" w:val="clear"/>
            <w:vAlign w:val="bottom"/>
          </w:tcPr>
          <w:p>
            <w:pPr>
              <w:pStyle w:val="TableContents"/>
              <w:spacing w:before="0" w:after="283"/>
              <w:jc w:val="right"/>
              <w:rPr/>
            </w:pPr>
            <w:r>
              <w:rPr/>
              <w:t> </w:t>
            </w:r>
          </w:p>
        </w:tc>
        <w:tc>
          <w:tcPr>
            <w:tcW w:w="1230" w:type="dxa"/>
            <w:gridSpan w:val="2"/>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2013</w:t>
            </w:r>
          </w:p>
        </w:tc>
        <w:tc>
          <w:tcPr>
            <w:tcW w:w="136" w:type="dxa"/>
            <w:tcBorders/>
            <w:shd w:fill="auto" w:val="clear"/>
            <w:vAlign w:val="bottom"/>
          </w:tcPr>
          <w:p>
            <w:pPr>
              <w:pStyle w:val="TableContents"/>
              <w:spacing w:before="0" w:after="283"/>
              <w:jc w:val="left"/>
              <w:rPr/>
            </w:pPr>
            <w:r>
              <w:rPr/>
              <w:t> </w:t>
            </w:r>
          </w:p>
        </w:tc>
        <w:tc>
          <w:tcPr>
            <w:tcW w:w="136" w:type="dxa"/>
            <w:tcBorders/>
            <w:shd w:fill="auto" w:val="clear"/>
            <w:vAlign w:val="bottom"/>
          </w:tcPr>
          <w:p>
            <w:pPr>
              <w:pStyle w:val="TableContents"/>
              <w:spacing w:before="0" w:after="283"/>
              <w:jc w:val="right"/>
              <w:rPr/>
            </w:pPr>
            <w:r>
              <w:rPr/>
              <w:t> </w:t>
            </w:r>
          </w:p>
        </w:tc>
        <w:tc>
          <w:tcPr>
            <w:tcW w:w="1230" w:type="dxa"/>
            <w:gridSpan w:val="2"/>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2012</w:t>
            </w:r>
          </w:p>
        </w:tc>
        <w:tc>
          <w:tcPr>
            <w:tcW w:w="154" w:type="dxa"/>
            <w:tcBorders/>
            <w:shd w:fill="auto" w:val="clear"/>
            <w:vAlign w:val="bottom"/>
          </w:tcPr>
          <w:p>
            <w:pPr>
              <w:pStyle w:val="TableContents"/>
              <w:spacing w:before="0" w:after="283"/>
              <w:jc w:val="left"/>
              <w:rPr/>
            </w:pPr>
            <w:r>
              <w:rPr/>
              <w:t> </w:t>
            </w:r>
          </w:p>
        </w:tc>
      </w:tr>
      <w:tr>
        <w:trPr/>
        <w:tc>
          <w:tcPr>
            <w:tcW w:w="7184" w:type="dxa"/>
            <w:tcBorders/>
            <w:shd w:fill="auto" w:val="clear"/>
            <w:vAlign w:val="bottom"/>
          </w:tcPr>
          <w:p>
            <w:pPr>
              <w:pStyle w:val="TableContents"/>
              <w:spacing w:before="0" w:after="283"/>
              <w:rPr/>
            </w:pPr>
            <w:r>
              <w:rPr/>
              <w:t xml:space="preserve">  </w:t>
            </w:r>
          </w:p>
        </w:tc>
        <w:tc>
          <w:tcPr>
            <w:tcW w:w="135" w:type="dxa"/>
            <w:tcBorders/>
            <w:shd w:fill="auto" w:val="clear"/>
            <w:vAlign w:val="bottom"/>
          </w:tcPr>
          <w:p>
            <w:pPr>
              <w:pStyle w:val="TableContents"/>
              <w:spacing w:before="0" w:after="283"/>
              <w:rPr/>
            </w:pPr>
            <w:r>
              <w:rPr/>
              <w:t> </w:t>
            </w:r>
          </w:p>
        </w:tc>
        <w:tc>
          <w:tcPr>
            <w:tcW w:w="1230" w:type="dxa"/>
            <w:gridSpan w:val="2"/>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jc w:val="left"/>
              <w:rPr/>
            </w:pPr>
            <w:r>
              <w:rPr/>
              <w:t> </w:t>
            </w:r>
          </w:p>
        </w:tc>
        <w:tc>
          <w:tcPr>
            <w:tcW w:w="136" w:type="dxa"/>
            <w:tcBorders/>
            <w:shd w:fill="auto" w:val="clear"/>
            <w:vAlign w:val="bottom"/>
          </w:tcPr>
          <w:p>
            <w:pPr>
              <w:pStyle w:val="TableContents"/>
              <w:spacing w:before="0" w:after="283"/>
              <w:rPr/>
            </w:pPr>
            <w:r>
              <w:rPr/>
              <w:t> </w:t>
            </w:r>
          </w:p>
        </w:tc>
        <w:tc>
          <w:tcPr>
            <w:tcW w:w="1230" w:type="dxa"/>
            <w:gridSpan w:val="2"/>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r>
      <w:tr>
        <w:trPr/>
        <w:tc>
          <w:tcPr>
            <w:tcW w:w="7184"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paid in cash</w:t>
            </w:r>
          </w:p>
        </w:tc>
        <w:tc>
          <w:tcPr>
            <w:tcW w:w="135" w:type="dxa"/>
            <w:tcBorders/>
            <w:shd w:fill="auto" w:val="clear"/>
            <w:vAlign w:val="bottom"/>
          </w:tcPr>
          <w:p>
            <w:pPr>
              <w:pStyle w:val="TableContents"/>
              <w:spacing w:before="0" w:after="283"/>
              <w:jc w:val="right"/>
              <w:rPr/>
            </w:pPr>
            <w:r>
              <w:rPr/>
              <w:t> </w:t>
            </w:r>
          </w:p>
        </w:tc>
        <w:tc>
          <w:tcPr>
            <w:tcW w:w="37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6" w:type="dxa"/>
            <w:tcBorders/>
            <w:shd w:fill="auto" w:val="clear"/>
            <w:vAlign w:val="bottom"/>
          </w:tcPr>
          <w:p>
            <w:pPr>
              <w:pStyle w:val="TableContents"/>
              <w:spacing w:before="0" w:after="283"/>
              <w:jc w:val="left"/>
              <w:rPr/>
            </w:pPr>
            <w:r>
              <w:rPr/>
              <w:t> </w:t>
            </w:r>
          </w:p>
        </w:tc>
        <w:tc>
          <w:tcPr>
            <w:tcW w:w="136" w:type="dxa"/>
            <w:tcBorders/>
            <w:shd w:fill="auto" w:val="clear"/>
            <w:vAlign w:val="bottom"/>
          </w:tcPr>
          <w:p>
            <w:pPr>
              <w:pStyle w:val="TableContents"/>
              <w:spacing w:before="0" w:after="283"/>
              <w:jc w:val="right"/>
              <w:rPr/>
            </w:pPr>
            <w:r>
              <w:rPr/>
              <w:t> </w:t>
            </w:r>
          </w:p>
        </w:tc>
        <w:tc>
          <w:tcPr>
            <w:tcW w:w="37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54" w:type="dxa"/>
            <w:tcBorders/>
            <w:shd w:fill="auto" w:val="clear"/>
            <w:vAlign w:val="bottom"/>
          </w:tcPr>
          <w:p>
            <w:pPr>
              <w:pStyle w:val="TableContents"/>
              <w:spacing w:before="0" w:after="283"/>
              <w:jc w:val="left"/>
              <w:rPr/>
            </w:pPr>
            <w:r>
              <w:rPr/>
              <w:t> </w:t>
            </w:r>
          </w:p>
        </w:tc>
      </w:tr>
      <w:tr>
        <w:trPr/>
        <w:tc>
          <w:tcPr>
            <w:tcW w:w="7184" w:type="dxa"/>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Income taxes paid</w:t>
            </w:r>
          </w:p>
        </w:tc>
        <w:tc>
          <w:tcPr>
            <w:tcW w:w="135" w:type="dxa"/>
            <w:tcBorders/>
            <w:shd w:fill="auto" w:val="clear"/>
            <w:vAlign w:val="bottom"/>
          </w:tcPr>
          <w:p>
            <w:pPr>
              <w:pStyle w:val="TableContents"/>
              <w:spacing w:before="0" w:after="283"/>
              <w:jc w:val="right"/>
              <w:rPr/>
            </w:pPr>
            <w:r>
              <w:rPr/>
              <w:t> </w:t>
            </w:r>
          </w:p>
        </w:tc>
        <w:tc>
          <w:tcPr>
            <w:tcW w:w="374" w:type="dxa"/>
            <w:tcBorders>
              <w:bottom w:val="single" w:sz="12"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56"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6" w:type="dxa"/>
            <w:tcBorders/>
            <w:shd w:fill="auto" w:val="clear"/>
            <w:vAlign w:val="bottom"/>
          </w:tcPr>
          <w:p>
            <w:pPr>
              <w:pStyle w:val="TableContents"/>
              <w:spacing w:before="0" w:after="283"/>
              <w:jc w:val="left"/>
              <w:rPr/>
            </w:pPr>
            <w:r>
              <w:rPr/>
              <w:t> </w:t>
            </w:r>
          </w:p>
        </w:tc>
        <w:tc>
          <w:tcPr>
            <w:tcW w:w="136" w:type="dxa"/>
            <w:tcBorders/>
            <w:shd w:fill="auto" w:val="clear"/>
            <w:vAlign w:val="bottom"/>
          </w:tcPr>
          <w:p>
            <w:pPr>
              <w:pStyle w:val="TableContents"/>
              <w:spacing w:before="0" w:after="283"/>
              <w:jc w:val="right"/>
              <w:rPr/>
            </w:pPr>
            <w:r>
              <w:rPr/>
              <w:t> </w:t>
            </w:r>
          </w:p>
        </w:tc>
        <w:tc>
          <w:tcPr>
            <w:tcW w:w="372" w:type="dxa"/>
            <w:tcBorders>
              <w:bottom w:val="single" w:sz="12"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58"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54" w:type="dxa"/>
            <w:tcBorders/>
            <w:shd w:fill="auto" w:val="cle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0" w:name="PGBRK22"/>
      <w:bookmarkStart w:id="211" w:name="PGBRK22"/>
      <w:bookmarkEnd w:id="2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2" w:name="FTR22"/>
      <w:bookmarkStart w:id="213" w:name="FTR22"/>
      <w:bookmarkEnd w:id="2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14" w:name="GLFTR22"/>
      <w:bookmarkEnd w:id="21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15" w:name="PN22"/>
      <w:bookmarkEnd w:id="215"/>
      <w:r>
        <w:rPr>
          <w:rFonts w:ascii="Times New Roman" w:hAnsi="Times New Roman"/>
          <w:sz w:val="20"/>
        </w:rPr>
        <w:t>23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6" w:name="HDR22"/>
      <w:bookmarkStart w:id="217" w:name="HDR22"/>
      <w:bookmarkEnd w:id="2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18" w:name="GLHDR22"/>
      <w:bookmarkEnd w:id="21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NOTE 11:</w:t>
      </w:r>
      <w:r>
        <w:rPr>
          <w:rFonts w:ascii="Times New Roman" w:hAnsi="Times New Roman"/>
          <w:b/>
          <w:sz w:val="20"/>
        </w:rPr>
        <w:t>                      </w:t>
      </w:r>
      <w:r>
        <w:rPr>
          <w:rFonts w:ascii="Times New Roman" w:hAnsi="Times New Roman"/>
          <w:b/>
          <w:sz w:val="20"/>
          <w:u w:val="single"/>
        </w:rPr>
        <w:t>CONTINGENCIES AND COMMITMENTS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u w:val="single"/>
        </w:rPr>
      </w:pPr>
      <w:r>
        <w:rPr>
          <w:rFonts w:ascii="Times New Roman" w:hAnsi="Times New Roman"/>
          <w:b/>
          <w:i/>
          <w:sz w:val="20"/>
          <w:u w:val="single"/>
        </w:rPr>
        <w:t>Contingencies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u w:val="single"/>
        </w:rPr>
      </w:pPr>
      <w:r>
        <w:rPr>
          <w:rFonts w:ascii="Times New Roman" w:hAnsi="Times New Roman"/>
          <w:b/>
          <w:i/>
          <w:sz w:val="20"/>
          <w:u w:val="single"/>
        </w:rPr>
        <w:t>Tax Filings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has not filed income tax returns for several years in certain operating jurisdictions (Note 10), and may be subject to possible compliance penalties and interest. Management is currently not able to make a reliably measurable provision for possible liability for penalties and interest, if any, at this time, and the Company may be liable for such amounts upon assessment. Penalties and interest, if assessed in the future, will be recorded in the period such amounts are determinable.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u w:val="single"/>
        </w:rPr>
      </w:pPr>
      <w:r>
        <w:rPr>
          <w:rFonts w:ascii="Times New Roman" w:hAnsi="Times New Roman"/>
          <w:b/>
          <w:i/>
          <w:sz w:val="20"/>
          <w:u w:val="single"/>
        </w:rPr>
        <w:t>Commitments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u w:val="single"/>
        </w:rPr>
      </w:pPr>
      <w:r>
        <w:rPr>
          <w:rFonts w:ascii="Times New Roman" w:hAnsi="Times New Roman"/>
          <w:b/>
          <w:i/>
          <w:sz w:val="20"/>
          <w:u w:val="single"/>
        </w:rPr>
        <w:t>Combined Research and Operating Obligations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Effective May 25, 2010, the Company entered into a research and license Option Agreement with the Mayo Clinic for the development and possible commercial use of a cancer vaccine. Subject to the approval and guidance of the United States Food and Drug Administration (“FDA”) the Mayo Clinic plans to conduct a Phase I human clinical trial (“Phase I Trial”) to test and develop the Company’s technology.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Company has agreed that, during the period of the option and upon approval of FDA to conduct Phase I Trials, will pay all the costs incurred by the Mayo Clinic, not to exceed a total of $841,000, of which, $510,572 has been paid and $50,000 accrued as of June 30, 2013. Both Parties agree that within 30 days after the Mayo Clinic informs the Company in writing about the receipt of FDA approval, the parties shall enter into an a formal research agreement.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u w:val="single"/>
        </w:rPr>
      </w:pPr>
      <w:r>
        <w:rPr>
          <w:rFonts w:ascii="Times New Roman" w:hAnsi="Times New Roman"/>
          <w:b/>
          <w:i/>
          <w:sz w:val="20"/>
          <w:u w:val="single"/>
        </w:rPr>
        <w:t>Management Services Agreement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February 2011, the Company approved an employment agreement with Dr. Wilson with an initial term of 2 years, which may be automatically extended for successive one-year terms. This employment agreement provides for annual compensation of $180,000 and the grant of an option to acquire 2,000,000 shares of the Company’s common stock at $0.19 per share, 50% of which vested on March 16, 2011, while the remainder will vest monthly over a period of two years (41,667 per month). The options shall be exercisable for at least five years.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u w:val="single"/>
        </w:rPr>
      </w:pPr>
      <w:r>
        <w:rPr>
          <w:rFonts w:ascii="Times New Roman" w:hAnsi="Times New Roman"/>
          <w:b/>
          <w:i/>
          <w:sz w:val="20"/>
          <w:u w:val="single"/>
        </w:rPr>
        <w:t>Consultant Agreements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April 2012, the Company entered into an investors’ relation consulting agreement for a one year term, with a one-time right to terminate the agreement at its six month anniversary. The consulting agreement provides for the Company to issue 620,690 shares to the consultant and a monthly payment of $7,500.</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April 2012, the Company entered into financial consulting service agreements, which included compensation of 14,000,000 shares of common stock, whereby the Company agreed to issue additional shares to the consultants to restore their holdings to 24.8% of fully diluted capitalization of the Company if the Company completes a re-organization, re-capitalization or a liquidity event during the eighteen months commencing with the signing of these agreements. In May 2013, the Company recovered 2,800,000 of 14,000,000 common shares issued to the consultant during the year ended December 31, 2012, under a settlement agreement.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May 2012, the Company entered into a one year consulting services agreement superseding the previous management consulting agreement with Mr. Corin to provide expertise in the areas of finance and corporate development to the Management and Board of TapImmune. The consulting services agreement provides for a consulting fee of $12,000 per month from May 2012 to December 2012 and $10,000 for the following four months. The Company also granted 250,000 options to Mr. Corin, vesting equally over twelve months at an exercise price of $0.17 with a ten year term.</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u w:val="single"/>
        </w:rPr>
      </w:pPr>
      <w:r>
        <w:rPr>
          <w:rFonts w:ascii="Times New Roman" w:hAnsi="Times New Roman"/>
          <w:b/>
          <w:i/>
          <w:sz w:val="20"/>
          <w:u w:val="single"/>
        </w:rPr>
        <w:t>Rental Lease Agreement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December 2011, the Company entered into a lease agreement, to start in January 2012 for a two year period. The Company will pay a monthly basic rent of $7,152 and additional rent for operating costs of 2.20% of total operating expenses of the property.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has obligations under various research and consulting agreements through December 31, 2014. The aggregate minimum annual payments for the years ending December 31 are as follows:</w:t>
      </w:r>
    </w:p>
    <w:p>
      <w:pPr>
        <w:pStyle w:val="TextBody"/>
        <w:spacing w:before="0" w:after="0"/>
        <w:ind w:left="0" w:right="0" w:hanging="0"/>
        <w:rPr/>
      </w:pPr>
      <w:r>
        <w:rPr/>
      </w:r>
    </w:p>
    <w:tbl>
      <w:tblPr>
        <w:tblW w:w="5000" w:type="pct"/>
        <w:jc w:val="left"/>
        <w:tblInd w:w="0" w:type="dxa"/>
        <w:shd w:fill="FFFFFF" w:val="clear"/>
        <w:tblCellMar>
          <w:top w:w="0" w:type="dxa"/>
          <w:left w:w="0" w:type="dxa"/>
          <w:bottom w:w="0" w:type="dxa"/>
          <w:right w:w="0" w:type="dxa"/>
        </w:tblCellMar>
      </w:tblPr>
      <w:tblGrid>
        <w:gridCol w:w="8788"/>
        <w:gridCol w:w="111"/>
        <w:gridCol w:w="125"/>
        <w:gridCol w:w="1062"/>
        <w:gridCol w:w="119"/>
      </w:tblGrid>
      <w:tr>
        <w:trPr/>
        <w:tc>
          <w:tcPr>
            <w:tcW w:w="8788" w:type="dxa"/>
            <w:tcBorders/>
            <w:shd w:fill="FFFFFF" w:val="clear"/>
            <w:vAlign w:val="bottom"/>
          </w:tcPr>
          <w:p>
            <w:pPr>
              <w:pStyle w:val="TableContents"/>
              <w:spacing w:before="0" w:after="283"/>
              <w:rPr>
                <w:rFonts w:ascii="times new roman" w:hAnsi="times new roman"/>
                <w:sz w:val="20"/>
              </w:rPr>
            </w:pPr>
            <w:r>
              <w:rPr>
                <w:rFonts w:ascii="times new roman" w:hAnsi="times new roman"/>
                <w:sz w:val="20"/>
              </w:rPr>
              <w:t xml:space="preserve">2013 </w:t>
            </w:r>
          </w:p>
        </w:tc>
        <w:tc>
          <w:tcPr>
            <w:tcW w:w="11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465,247</w:t>
            </w:r>
          </w:p>
        </w:tc>
        <w:tc>
          <w:tcPr>
            <w:tcW w:w="119" w:type="dxa"/>
            <w:tcBorders/>
            <w:shd w:fill="FFFFFF" w:val="clear"/>
            <w:vAlign w:val="bottom"/>
          </w:tcPr>
          <w:p>
            <w:pPr>
              <w:pStyle w:val="TableContents"/>
              <w:spacing w:before="0" w:after="283"/>
              <w:jc w:val="left"/>
              <w:rPr/>
            </w:pPr>
            <w:r>
              <w:rPr/>
              <w:t> </w:t>
            </w:r>
          </w:p>
        </w:tc>
      </w:tr>
      <w:tr>
        <w:trPr/>
        <w:tc>
          <w:tcPr>
            <w:tcW w:w="8788" w:type="dxa"/>
            <w:tcBorders/>
            <w:shd w:fill="FFFFFF" w:val="clear"/>
            <w:vAlign w:val="bottom"/>
          </w:tcPr>
          <w:p>
            <w:pPr>
              <w:pStyle w:val="TableContents"/>
              <w:spacing w:before="0" w:after="283"/>
              <w:rPr>
                <w:rFonts w:ascii="times new roman" w:hAnsi="times new roman"/>
                <w:sz w:val="20"/>
              </w:rPr>
            </w:pPr>
            <w:r>
              <w:rPr>
                <w:rFonts w:ascii="times new roman" w:hAnsi="times new roman"/>
                <w:sz w:val="20"/>
              </w:rPr>
              <w:t>2014</w:t>
            </w:r>
          </w:p>
        </w:tc>
        <w:tc>
          <w:tcPr>
            <w:tcW w:w="111"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2" w:type="dxa"/>
            <w:tcBorders>
              <w:bottom w:val="single" w:sz="12" w:space="0" w:color="000000"/>
            </w:tcBorders>
            <w:shd w:fill="FFFFFF" w:val="clear"/>
            <w:tcMar>
              <w:bottom w:w="28" w:type="dxa"/>
            </w:tcMar>
            <w:vAlign w:val="bottom"/>
          </w:tcPr>
          <w:p>
            <w:pPr>
              <w:pStyle w:val="TableContents"/>
              <w:spacing w:before="0" w:after="283"/>
              <w:jc w:val="right"/>
              <w:rPr/>
            </w:pPr>
            <w:r>
              <w:rPr/>
              <w:t>22,284</w:t>
            </w:r>
          </w:p>
        </w:tc>
        <w:tc>
          <w:tcPr>
            <w:tcW w:w="119" w:type="dxa"/>
            <w:tcBorders/>
            <w:shd w:fill="FFFFFF" w:val="clear"/>
            <w:vAlign w:val="bottom"/>
          </w:tcPr>
          <w:p>
            <w:pPr>
              <w:pStyle w:val="TableContents"/>
              <w:spacing w:before="0" w:after="283"/>
              <w:jc w:val="left"/>
              <w:rPr/>
            </w:pPr>
            <w:r>
              <w:rPr/>
              <w:t> </w:t>
            </w:r>
          </w:p>
        </w:tc>
      </w:tr>
      <w:tr>
        <w:trPr/>
        <w:tc>
          <w:tcPr>
            <w:tcW w:w="8788" w:type="dxa"/>
            <w:tcBorders/>
            <w:shd w:fill="FFFFFF" w:val="clear"/>
            <w:vAlign w:val="bottom"/>
          </w:tcPr>
          <w:p>
            <w:pPr>
              <w:pStyle w:val="TableContents"/>
              <w:spacing w:before="0" w:after="283"/>
              <w:rPr/>
            </w:pPr>
            <w:r>
              <w:rPr/>
              <w:t> </w:t>
            </w:r>
          </w:p>
        </w:tc>
        <w:tc>
          <w:tcPr>
            <w:tcW w:w="111"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2" w:type="dxa"/>
            <w:tcBorders>
              <w:bottom w:val="double" w:sz="8" w:space="0" w:color="000000"/>
            </w:tcBorders>
            <w:shd w:fill="FFFFFF" w:val="clear"/>
            <w:tcMar>
              <w:bottom w:w="28" w:type="dxa"/>
            </w:tcMar>
            <w:vAlign w:val="bottom"/>
          </w:tcPr>
          <w:p>
            <w:pPr>
              <w:pStyle w:val="TableContents"/>
              <w:spacing w:before="0" w:after="283"/>
              <w:jc w:val="right"/>
              <w:rPr/>
            </w:pPr>
            <w:r>
              <w:rPr/>
              <w:t>487,530</w:t>
            </w:r>
          </w:p>
        </w:tc>
        <w:tc>
          <w:tcPr>
            <w:tcW w:w="119" w:type="dxa"/>
            <w:tcBorders/>
            <w:shd w:fill="FFFFFF" w:val="clear"/>
            <w:vAlign w:val="bottom"/>
          </w:tcPr>
          <w:p>
            <w:pPr>
              <w:pStyle w:val="TableContents"/>
              <w:spacing w:before="0" w:after="283"/>
              <w:jc w:val="left"/>
              <w:rPr/>
            </w:pPr>
            <w:r>
              <w:rPr/>
              <w:t> </w:t>
            </w:r>
          </w:p>
        </w:tc>
      </w:tr>
    </w:tbl>
    <w:p>
      <w:pPr>
        <w:pStyle w:val="TextBody"/>
        <w:spacing w:before="0" w:after="0"/>
        <w:ind w:left="2160" w:right="0" w:hanging="0"/>
        <w:jc w:val="left"/>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9" w:name="PGBRK23"/>
      <w:bookmarkStart w:id="220" w:name="PGBRK23"/>
      <w:bookmarkEnd w:id="2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1" w:name="FTR23"/>
      <w:bookmarkStart w:id="222" w:name="FTR23"/>
      <w:bookmarkEnd w:id="2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23" w:name="GLFTR23"/>
      <w:bookmarkEnd w:id="22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24" w:name="PN23"/>
      <w:bookmarkEnd w:id="224"/>
      <w:r>
        <w:rPr>
          <w:rFonts w:ascii="Times New Roman" w:hAnsi="Times New Roman"/>
          <w:sz w:val="20"/>
        </w:rPr>
        <w:t>24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5" w:name="HDR23"/>
      <w:bookmarkStart w:id="226" w:name="HDR23"/>
      <w:bookmarkEnd w:id="2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27" w:name="GLHDR23"/>
      <w:bookmarkEnd w:id="22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NOTE 12:</w:t>
      </w:r>
      <w:r>
        <w:rPr>
          <w:rFonts w:ascii="Times New Roman" w:hAnsi="Times New Roman"/>
          <w:b/>
          <w:sz w:val="20"/>
        </w:rPr>
        <w:t>                      </w:t>
      </w:r>
      <w:r>
        <w:rPr>
          <w:rFonts w:ascii="Times New Roman" w:hAnsi="Times New Roman"/>
          <w:b/>
          <w:sz w:val="20"/>
          <w:u w:val="single"/>
        </w:rPr>
        <w:t>ACCOUNTS PAYABLE AND ACCRUED LIABILITIES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u w:val="single"/>
        </w:rPr>
      </w:pPr>
      <w:r>
        <w:rPr>
          <w:rFonts w:ascii="Times New Roman" w:hAnsi="Times New Roman"/>
          <w:b/>
          <w:i/>
          <w:sz w:val="20"/>
          <w:u w:val="single"/>
        </w:rPr>
        <w:t>Accounts Payable and Accrued Liabilities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7758"/>
        <w:gridCol w:w="102"/>
        <w:gridCol w:w="102"/>
        <w:gridCol w:w="918"/>
        <w:gridCol w:w="101"/>
        <w:gridCol w:w="102"/>
        <w:gridCol w:w="102"/>
        <w:gridCol w:w="918"/>
        <w:gridCol w:w="102"/>
      </w:tblGrid>
      <w:tr>
        <w:trPr/>
        <w:tc>
          <w:tcPr>
            <w:tcW w:w="7758" w:type="dxa"/>
            <w:tcBorders/>
            <w:shd w:fill="auto" w:val="clear"/>
            <w:vAlign w:val="bottom"/>
          </w:tcPr>
          <w:p>
            <w:pPr>
              <w:pStyle w:val="TableContents"/>
              <w:spacing w:before="0" w:after="283"/>
              <w:jc w:val="left"/>
              <w:rPr/>
            </w:pPr>
            <w:r>
              <w:rPr/>
              <w:t xml:space="preserve">  </w:t>
            </w:r>
          </w:p>
        </w:tc>
        <w:tc>
          <w:tcPr>
            <w:tcW w:w="102" w:type="dxa"/>
            <w:tcBorders/>
            <w:shd w:fill="auto" w:val="clear"/>
            <w:vAlign w:val="bottom"/>
          </w:tcPr>
          <w:p>
            <w:pPr>
              <w:pStyle w:val="TableContents"/>
              <w:spacing w:before="0" w:after="283"/>
              <w:jc w:val="left"/>
              <w:rPr/>
            </w:pPr>
            <w:r>
              <w:rPr/>
              <w:t> </w:t>
            </w:r>
          </w:p>
        </w:tc>
        <w:tc>
          <w:tcPr>
            <w:tcW w:w="1020"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June 30, 2013</w:t>
            </w:r>
          </w:p>
        </w:tc>
        <w:tc>
          <w:tcPr>
            <w:tcW w:w="101"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jc w:val="left"/>
              <w:rPr/>
            </w:pPr>
            <w:r>
              <w:rPr/>
              <w:t> </w:t>
            </w:r>
          </w:p>
        </w:tc>
        <w:tc>
          <w:tcPr>
            <w:tcW w:w="1020"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December 31, 2012</w:t>
            </w:r>
          </w:p>
        </w:tc>
        <w:tc>
          <w:tcPr>
            <w:tcW w:w="102" w:type="dxa"/>
            <w:tcBorders/>
            <w:shd w:fill="auto" w:val="clear"/>
            <w:vAlign w:val="bottom"/>
          </w:tcPr>
          <w:p>
            <w:pPr>
              <w:pStyle w:val="TableContents"/>
              <w:spacing w:before="0" w:after="283"/>
              <w:jc w:val="left"/>
              <w:rPr/>
            </w:pPr>
            <w:r>
              <w:rPr/>
              <w:t> </w:t>
            </w:r>
          </w:p>
        </w:tc>
      </w:tr>
      <w:tr>
        <w:trPr/>
        <w:tc>
          <w:tcPr>
            <w:tcW w:w="7758"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rPr/>
            </w:pPr>
            <w:r>
              <w:rPr/>
              <w:t> </w:t>
            </w:r>
          </w:p>
        </w:tc>
        <w:tc>
          <w:tcPr>
            <w:tcW w:w="1020" w:type="dxa"/>
            <w:gridSpan w:val="2"/>
            <w:tcBorders/>
            <w:shd w:fill="auto" w:val="clear"/>
            <w:vAlign w:val="bottom"/>
          </w:tcPr>
          <w:p>
            <w:pPr>
              <w:pStyle w:val="TableContents"/>
              <w:spacing w:before="0" w:after="283"/>
              <w:jc w:val="center"/>
              <w:rPr/>
            </w:pPr>
            <w:r>
              <w:rPr/>
              <w:t> </w:t>
            </w:r>
            <w:r>
              <w:rPr>
                <w:rFonts w:ascii="times new roman" w:hAnsi="times new roman"/>
                <w:sz w:val="20"/>
              </w:rPr>
              <w:t>$</w:t>
            </w:r>
          </w:p>
        </w:tc>
        <w:tc>
          <w:tcPr>
            <w:tcW w:w="101"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020" w:type="dxa"/>
            <w:gridSpan w:val="2"/>
            <w:tcBorders/>
            <w:shd w:fill="auto" w:val="clear"/>
            <w:vAlign w:val="bottom"/>
          </w:tcPr>
          <w:p>
            <w:pPr>
              <w:pStyle w:val="TableContents"/>
              <w:spacing w:before="0" w:after="283"/>
              <w:jc w:val="center"/>
              <w:rPr/>
            </w:pPr>
            <w:r>
              <w:rPr/>
              <w:t> </w:t>
            </w:r>
            <w:r>
              <w:rPr>
                <w:rFonts w:ascii="times new roman" w:hAnsi="times new roman"/>
                <w:sz w:val="20"/>
              </w:rPr>
              <w:t>$</w:t>
            </w:r>
          </w:p>
        </w:tc>
        <w:tc>
          <w:tcPr>
            <w:tcW w:w="102" w:type="dxa"/>
            <w:tcBorders/>
            <w:shd w:fill="auto" w:val="clear"/>
            <w:vAlign w:val="bottom"/>
          </w:tcPr>
          <w:p>
            <w:pPr>
              <w:pStyle w:val="TableContents"/>
              <w:spacing w:before="0" w:after="283"/>
              <w:jc w:val="left"/>
              <w:rPr/>
            </w:pPr>
            <w:r>
              <w:rPr/>
              <w:t> </w:t>
            </w:r>
          </w:p>
        </w:tc>
      </w:tr>
      <w:tr>
        <w:trPr/>
        <w:tc>
          <w:tcPr>
            <w:tcW w:w="7758" w:type="dxa"/>
            <w:tcBorders/>
            <w:shd w:fill="auto" w:val="clear"/>
            <w:vAlign w:val="bottom"/>
          </w:tcPr>
          <w:p>
            <w:pPr>
              <w:pStyle w:val="TableContents"/>
              <w:spacing w:before="0" w:after="283"/>
              <w:jc w:val="left"/>
              <w:rPr/>
            </w:pPr>
            <w:r>
              <w:rPr/>
              <w:t xml:space="preserve">  </w:t>
            </w:r>
          </w:p>
        </w:tc>
        <w:tc>
          <w:tcPr>
            <w:tcW w:w="102" w:type="dxa"/>
            <w:tcBorders/>
            <w:shd w:fill="auto" w:val="clear"/>
            <w:vAlign w:val="bottom"/>
          </w:tcPr>
          <w:p>
            <w:pPr>
              <w:pStyle w:val="TableContents"/>
              <w:spacing w:before="0" w:after="283"/>
              <w:jc w:val="left"/>
              <w:rPr/>
            </w:pPr>
            <w:r>
              <w:rPr/>
              <w:t> </w:t>
            </w:r>
          </w:p>
        </w:tc>
        <w:tc>
          <w:tcPr>
            <w:tcW w:w="1020" w:type="dxa"/>
            <w:gridSpan w:val="2"/>
            <w:tcBorders/>
            <w:shd w:fill="auto" w:val="clear"/>
            <w:vAlign w:val="bottom"/>
          </w:tcPr>
          <w:p>
            <w:pPr>
              <w:pStyle w:val="TableContents"/>
              <w:spacing w:before="0" w:after="283"/>
              <w:jc w:val="left"/>
              <w:rPr/>
            </w:pPr>
            <w:r>
              <w:rPr/>
              <w:t> </w:t>
            </w:r>
          </w:p>
        </w:tc>
        <w:tc>
          <w:tcPr>
            <w:tcW w:w="101"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jc w:val="left"/>
              <w:rPr/>
            </w:pPr>
            <w:r>
              <w:rPr/>
              <w:t> </w:t>
            </w:r>
          </w:p>
        </w:tc>
        <w:tc>
          <w:tcPr>
            <w:tcW w:w="1020" w:type="dxa"/>
            <w:gridSpan w:val="2"/>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jc w:val="left"/>
              <w:rPr/>
            </w:pPr>
            <w:r>
              <w:rPr/>
              <w:t> </w:t>
            </w:r>
          </w:p>
        </w:tc>
      </w:tr>
      <w:tr>
        <w:trPr/>
        <w:tc>
          <w:tcPr>
            <w:tcW w:w="7758" w:type="dxa"/>
            <w:tcBorders/>
            <w:shd w:fill="auto" w:val="clear"/>
            <w:vAlign w:val="bottom"/>
          </w:tcPr>
          <w:p>
            <w:pPr>
              <w:pStyle w:val="TableContents"/>
              <w:spacing w:before="0" w:after="0"/>
              <w:ind w:left="0" w:right="0" w:hanging="0"/>
              <w:jc w:val="left"/>
              <w:rPr/>
            </w:pPr>
            <w:r>
              <w:rPr/>
              <w:t> </w:t>
            </w:r>
            <w:r>
              <w:rPr>
                <w:rFonts w:ascii="times new roman" w:hAnsi="times new roman"/>
                <w:sz w:val="20"/>
              </w:rPr>
              <w:t>Trade accounts payable</w:t>
            </w:r>
          </w:p>
        </w:tc>
        <w:tc>
          <w:tcPr>
            <w:tcW w:w="102"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jc w:val="center"/>
              <w:rPr/>
            </w:pPr>
            <w:r>
              <w:rPr/>
              <w:t> </w:t>
            </w:r>
          </w:p>
        </w:tc>
        <w:tc>
          <w:tcPr>
            <w:tcW w:w="9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980,444</w:t>
            </w:r>
          </w:p>
        </w:tc>
        <w:tc>
          <w:tcPr>
            <w:tcW w:w="101"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jc w:val="left"/>
              <w:rPr/>
            </w:pPr>
            <w:r>
              <w:rPr/>
              <w:t> </w:t>
            </w:r>
          </w:p>
        </w:tc>
        <w:tc>
          <w:tcPr>
            <w:tcW w:w="9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1,663,315</w:t>
            </w:r>
          </w:p>
        </w:tc>
        <w:tc>
          <w:tcPr>
            <w:tcW w:w="102" w:type="dxa"/>
            <w:tcBorders/>
            <w:shd w:fill="auto" w:val="clear"/>
            <w:vAlign w:val="bottom"/>
          </w:tcPr>
          <w:p>
            <w:pPr>
              <w:pStyle w:val="TableContents"/>
              <w:spacing w:before="0" w:after="283"/>
              <w:jc w:val="left"/>
              <w:rPr/>
            </w:pPr>
            <w:r>
              <w:rPr/>
              <w:t> </w:t>
            </w:r>
          </w:p>
        </w:tc>
      </w:tr>
      <w:tr>
        <w:trPr/>
        <w:tc>
          <w:tcPr>
            <w:tcW w:w="7758" w:type="dxa"/>
            <w:tcBorders/>
            <w:shd w:fill="auto" w:val="clear"/>
            <w:vAlign w:val="bottom"/>
          </w:tcPr>
          <w:p>
            <w:pPr>
              <w:pStyle w:val="TableContents"/>
              <w:spacing w:before="0" w:after="0"/>
              <w:ind w:left="0" w:right="0" w:hanging="0"/>
              <w:jc w:val="left"/>
              <w:rPr/>
            </w:pPr>
            <w:r>
              <w:rPr/>
              <w:t> </w:t>
            </w:r>
            <w:r>
              <w:rPr>
                <w:rFonts w:ascii="times new roman" w:hAnsi="times new roman"/>
                <w:sz w:val="20"/>
              </w:rPr>
              <w:t>Accrued liabilities</w:t>
            </w:r>
          </w:p>
        </w:tc>
        <w:tc>
          <w:tcPr>
            <w:tcW w:w="102"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jc w:val="left"/>
              <w:rPr/>
            </w:pPr>
            <w:r>
              <w:rPr/>
              <w:t> </w:t>
            </w:r>
          </w:p>
        </w:tc>
        <w:tc>
          <w:tcPr>
            <w:tcW w:w="9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104,395</w:t>
            </w:r>
          </w:p>
        </w:tc>
        <w:tc>
          <w:tcPr>
            <w:tcW w:w="101"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jc w:val="left"/>
              <w:rPr/>
            </w:pPr>
            <w:r>
              <w:rPr/>
              <w:t> </w:t>
            </w:r>
          </w:p>
        </w:tc>
        <w:tc>
          <w:tcPr>
            <w:tcW w:w="9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242,245</w:t>
            </w:r>
          </w:p>
        </w:tc>
        <w:tc>
          <w:tcPr>
            <w:tcW w:w="102" w:type="dxa"/>
            <w:tcBorders/>
            <w:shd w:fill="auto" w:val="clear"/>
            <w:vAlign w:val="bottom"/>
          </w:tcPr>
          <w:p>
            <w:pPr>
              <w:pStyle w:val="TableContents"/>
              <w:spacing w:before="0" w:after="283"/>
              <w:jc w:val="left"/>
              <w:rPr/>
            </w:pPr>
            <w:r>
              <w:rPr/>
              <w:t> </w:t>
            </w:r>
          </w:p>
        </w:tc>
      </w:tr>
      <w:tr>
        <w:trPr/>
        <w:tc>
          <w:tcPr>
            <w:tcW w:w="7758" w:type="dxa"/>
            <w:tcBorders/>
            <w:shd w:fill="auto" w:val="clear"/>
            <w:vAlign w:val="bottom"/>
          </w:tcPr>
          <w:p>
            <w:pPr>
              <w:pStyle w:val="TableContents"/>
              <w:spacing w:before="0" w:after="0"/>
              <w:ind w:left="0" w:right="0" w:hanging="0"/>
              <w:jc w:val="left"/>
              <w:rPr/>
            </w:pPr>
            <w:r>
              <w:rPr/>
              <w:t> </w:t>
            </w:r>
            <w:r>
              <w:rPr>
                <w:rFonts w:ascii="times new roman" w:hAnsi="times new roman"/>
                <w:sz w:val="20"/>
              </w:rPr>
              <w:t>Employee payroll</w:t>
            </w:r>
          </w:p>
        </w:tc>
        <w:tc>
          <w:tcPr>
            <w:tcW w:w="102"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jc w:val="left"/>
              <w:rPr/>
            </w:pPr>
            <w:r>
              <w:rPr/>
              <w:t> </w:t>
            </w:r>
          </w:p>
        </w:tc>
        <w:tc>
          <w:tcPr>
            <w:tcW w:w="9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132,916</w:t>
            </w:r>
          </w:p>
        </w:tc>
        <w:tc>
          <w:tcPr>
            <w:tcW w:w="101"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jc w:val="left"/>
              <w:rPr/>
            </w:pPr>
            <w:r>
              <w:rPr/>
              <w:t> </w:t>
            </w:r>
          </w:p>
        </w:tc>
        <w:tc>
          <w:tcPr>
            <w:tcW w:w="9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61,458</w:t>
            </w:r>
          </w:p>
        </w:tc>
        <w:tc>
          <w:tcPr>
            <w:tcW w:w="102" w:type="dxa"/>
            <w:tcBorders/>
            <w:shd w:fill="auto" w:val="clear"/>
            <w:vAlign w:val="bottom"/>
          </w:tcPr>
          <w:p>
            <w:pPr>
              <w:pStyle w:val="TableContents"/>
              <w:spacing w:before="0" w:after="283"/>
              <w:jc w:val="left"/>
              <w:rPr/>
            </w:pPr>
            <w:r>
              <w:rPr/>
              <w:t> </w:t>
            </w:r>
          </w:p>
        </w:tc>
      </w:tr>
      <w:tr>
        <w:trPr/>
        <w:tc>
          <w:tcPr>
            <w:tcW w:w="7758" w:type="dxa"/>
            <w:tcBorders/>
            <w:shd w:fill="auto" w:val="clear"/>
            <w:vAlign w:val="bottom"/>
          </w:tcPr>
          <w:p>
            <w:pPr>
              <w:pStyle w:val="TableContents"/>
              <w:spacing w:before="0" w:after="0"/>
              <w:ind w:left="0" w:right="0" w:hanging="0"/>
              <w:jc w:val="left"/>
              <w:rPr/>
            </w:pPr>
            <w:r>
              <w:rPr/>
              <w:t> </w:t>
            </w:r>
            <w:r>
              <w:rPr>
                <w:rFonts w:ascii="times new roman" w:hAnsi="times new roman"/>
                <w:sz w:val="20"/>
              </w:rPr>
              <w:t>Accrued interest</w:t>
            </w:r>
          </w:p>
        </w:tc>
        <w:tc>
          <w:tcPr>
            <w:tcW w:w="102" w:type="dxa"/>
            <w:tcBorders/>
            <w:shd w:fill="auto" w:val="clear"/>
            <w:vAlign w:val="bottom"/>
          </w:tcPr>
          <w:p>
            <w:pPr>
              <w:pStyle w:val="TableContents"/>
              <w:spacing w:before="0" w:after="283"/>
              <w:jc w:val="left"/>
              <w:rPr/>
            </w:pPr>
            <w:r>
              <w:rPr/>
              <w:t> </w:t>
            </w:r>
          </w:p>
        </w:tc>
        <w:tc>
          <w:tcPr>
            <w:tcW w:w="102"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18"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163,744</w:t>
            </w:r>
          </w:p>
        </w:tc>
        <w:tc>
          <w:tcPr>
            <w:tcW w:w="101"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jc w:val="left"/>
              <w:rPr/>
            </w:pPr>
            <w:r>
              <w:rPr/>
              <w:t> </w:t>
            </w:r>
          </w:p>
        </w:tc>
        <w:tc>
          <w:tcPr>
            <w:tcW w:w="102"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18"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74,698</w:t>
            </w:r>
          </w:p>
        </w:tc>
        <w:tc>
          <w:tcPr>
            <w:tcW w:w="102" w:type="dxa"/>
            <w:tcBorders/>
            <w:shd w:fill="auto" w:val="clear"/>
            <w:vAlign w:val="bottom"/>
          </w:tcPr>
          <w:p>
            <w:pPr>
              <w:pStyle w:val="TableContents"/>
              <w:spacing w:before="0" w:after="283"/>
              <w:jc w:val="left"/>
              <w:rPr/>
            </w:pPr>
            <w:r>
              <w:rPr/>
              <w:t> </w:t>
            </w:r>
          </w:p>
        </w:tc>
      </w:tr>
      <w:tr>
        <w:trPr/>
        <w:tc>
          <w:tcPr>
            <w:tcW w:w="7758"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jc w:val="left"/>
              <w:rPr/>
            </w:pPr>
            <w:r>
              <w:rPr/>
              <w:t> </w:t>
            </w:r>
          </w:p>
        </w:tc>
        <w:tc>
          <w:tcPr>
            <w:tcW w:w="9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1,381,500</w:t>
            </w:r>
          </w:p>
        </w:tc>
        <w:tc>
          <w:tcPr>
            <w:tcW w:w="101"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jc w:val="left"/>
              <w:rPr/>
            </w:pPr>
            <w:r>
              <w:rPr/>
              <w:t> </w:t>
            </w:r>
          </w:p>
        </w:tc>
        <w:tc>
          <w:tcPr>
            <w:tcW w:w="9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2,041,716</w:t>
            </w:r>
          </w:p>
        </w:tc>
        <w:tc>
          <w:tcPr>
            <w:tcW w:w="102" w:type="dxa"/>
            <w:tcBorders/>
            <w:shd w:fill="auto" w:val="cle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u w:val="single"/>
        </w:rPr>
        <w:t>NOTE 13:</w:t>
      </w:r>
      <w:r>
        <w:rPr>
          <w:rFonts w:ascii="Times New Roman" w:hAnsi="Times New Roman"/>
          <w:b/>
          <w:i/>
          <w:sz w:val="20"/>
        </w:rPr>
        <w:t>                      </w:t>
      </w:r>
      <w:r>
        <w:rPr>
          <w:rFonts w:ascii="Times New Roman" w:hAnsi="Times New Roman"/>
          <w:b/>
          <w:i/>
          <w:sz w:val="20"/>
          <w:u w:val="single"/>
        </w:rPr>
        <w:t>SUBSEQUENT EVENTS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July, 2013, one of the convertible note holders elected to convert $19,712, a portion of the note, into 1,600,000 shares of the Company at a conversion price of $0.0123.</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Subsequent to June 30, 2013, one of the related parties assigned a convertible note to a third party with amendments ratified by the Company. In July and August 2013, the note holder elected to convert $78,000, a portion of the note, into 6,469,824 shares of the Company at an average conversion price of $0.0121.</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July 2013, the Company issued 5,000,000 shares to a creditor pursuant to a settlement agreement.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July 2013, the Company issued 318,823 shares for the remaining balance outstanding for the conversion of October 9, 2012 Convertible Notes (Note 9).</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July 2013, the Company entered into a securities purchase agreement with an accredited investor to place a Convertible Note with a maturity date of one year after the issuance thereof in the aggregate principal amount of $125,000. The Company also issued 4,166,667 warrants to the note holder, exercisable at $0.03 per share with a five year term. Consideration under the notes consisted of $110,000 in cash proceeds after $4,000 payment of finders’ fee and an original issue discount of $11,000. The note holder has the option to convert a portion or all of the outstanding balance of the note including any accrued interest into shares of the Company’s common stock at a conversion rate of $0.072 per share or 70% of the average of the lowest closing bid prices in the 20 trading days prior to conversion. The note carries an interest rate of 8% per year unless the note is in default, in which case, the note will incur an interest rate of 18% per year.</w:t>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28" w:name="PGBRK24"/>
      <w:bookmarkStart w:id="229" w:name="PGBRK24"/>
      <w:bookmarkEnd w:id="2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0" w:name="FTR24"/>
      <w:bookmarkStart w:id="231" w:name="FTR24"/>
      <w:bookmarkEnd w:id="2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32" w:name="GLFTR24"/>
      <w:bookmarkEnd w:id="23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33" w:name="PN24"/>
      <w:bookmarkEnd w:id="233"/>
      <w:r>
        <w:rPr>
          <w:rFonts w:ascii="Times New Roman" w:hAnsi="Times New Roman"/>
          <w:sz w:val="20"/>
        </w:rPr>
        <w:t>25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4" w:name="HDR24"/>
      <w:bookmarkStart w:id="235" w:name="HDR24"/>
      <w:bookmarkEnd w:id="2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36" w:name="GLHDR24"/>
      <w:bookmarkEnd w:id="23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Item 2.                      Management’s Discussion and Analysis of Financial Condition and Results of Operations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This quarterly report on Form 10-Q contains forward-looking statements within the meaning of Section 21E of the Securities and Exchange Act of 1934, as amended, that involve risks and uncertainties. All statements other than statements relating to historical matters including statements to the effect that we “believe”, “expect”, “anticipate”, “plan”, “target”, “intend” and similar expressions should be considered forward-looking statements. Our actual results could differ materially from those discussed in the forward-looking statements as a result of a number of important factors, including factors discussed in this section and elsewhere in this quarterly report on Form 10-Q, and the risks discussed in our other filings with the Securities and Exchange Commission. Readers are cautioned not to place undue reliance on these forward-looking statements, which reflect management’s analysis, judgment, belief or expectation only as the date hereof. We assume no obligation to update these forward-looking statements to reflect events or circumstance that arise after the date hereof.</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As used in this quarterly report: (i) the terms “we”, “us”, “our”, “TapImmune” and the “Company” mean TapImmune Inc. and its wholly owned subsidiary, GeneMax Pharmaceuticals Inc. which wholly owns GeneMax Pharmaceuticals Canada Inc., unless the context otherwise requires; (ii) “SEC” refers to the Securities and Exchange Commission; (iii) “Securities Act” refers to the Securities Act of 1933, as amended; (iv) “Exchange Act” refers to the Securities Exchange Act of 1934, as amended; and (v) all dollar amounts refer to United States dollars unless otherwise indicated.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The following should be read in conjunction with our unaudited consolidated interim financial statements and related notes for the three months endedmonths ended June 30, 2013 included in this quarterly report, as well as our Annual Report on Form 10-K for the year ended December 31, 2012.</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u w:val="single"/>
        </w:rPr>
      </w:pPr>
      <w:r>
        <w:rPr>
          <w:rFonts w:ascii="Times New Roman" w:hAnsi="Times New Roman"/>
          <w:b/>
          <w:i/>
          <w:sz w:val="20"/>
          <w:u w:val="single"/>
        </w:rPr>
        <w:t>Overview</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sz w:val="20"/>
        </w:rPr>
        <w:t>Taplmmune Inc.</w:t>
      </w:r>
      <w:r>
        <w:rPr>
          <w:rFonts w:ascii="Times New Roman" w:hAnsi="Times New Roman"/>
          <w:sz w:val="20"/>
        </w:rPr>
        <w:t xml:space="preserve"> is a vaccine technologies company specializing in the development of innovative gene based immunotherapeutics and vaccines in the areas of oncology and infectious disease. The Company's lead product candidates, include vaccines designed to restore and augment antigen presentation and subsequent recognition and killing of cancer cells by the immune system. The Company recently began treating patients in its first Phase 1 immunotherapy clinical trial targeting HER2/neu in breast cancer at the Mayo clinic (see Clinicaltrials.gov). This trial uses patented antigen technologies developed at the Mayo clinic and will follow patients for safety and immune responses as the primary endpoints. During the first year of this trial there will be a safety review interim analysis. TapImmune has the exclusive Option to license this technology. The Company is also developing TAP-based prophylactic vaccines commercially suitable for the prevention of infectious diseases and as Biodefense agents. We have applied for a grant in collaboration with the Mayo Clinic for the biodefense applications of this technology in and expect to file additional grants to support preclinical work on “boost” strategies for HER2/neu breast cancer. As a vaccine component, the gene based TAP technology has the potential to significantly improve the efficacy of both prophylactic and immunotherapeutic vaccines as it addresses a fundamental mechanism for T cell recognition and response. Unlike other vaccine technologies that address only the initiation of immune responses, TAP expression also has the unique ability to enhance the effector function of mature killer T cells. This enhancement of effector function is potentially complementary to any/all vaccine approaches that are designed to enhance cellular responses.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current standard therapies for cancer treatment include surgery, radiation therapy and chemotherapy. However, we believe that these treatments are not precise in targeting only cancerous cells and often fail to remove or destroy all of the cancer. The remaining cancer cells may then grow into new tumors, which can be resistant to further chemotherapy or radiation, which may result in death. In the United States, deaths from cancer are second only to cardiovascular deaths. Our breast cancer immunotherapeutic vaccine candidate is being developed for use in this setting as an adjuvant treatment to prevent recurrent disease.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Management strongly believes that the comprehensive scientific underpinnings of our overall approach, to elicit the production of both T-helper cells and T-killer cells, will provide the Company with highly competitive product candidates for the treatment of HER2/neu positive breast cancer with additional applications in ovarian and colorectal cancer.</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May, we entered into a Material Transfer Agreement with the Fred Hutchinson Cancer Research Center (“FHCRC”), Seattle, WA. The initial aim of this collaboration is to determine levels of TAP1/TAP2 in tissues taken from melanoma patients in a clinical trial at FHCRC using adoptive T-cell therapy and to correlate these levels with clinical outcomes.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Regarding our programs for the development of vaccines aimed at viral pandemics/biodefense, we believe that collaborations with the Mayo Clinic have progressed well and studies on the immunogenicity of novel smallpox antigens in mice treated with both antigens and TAP expression vectors are ongoing. We plan to complete animal efficacy and human safety studies through non-dilutive grant funding in collaboration with Dr. Greg Poland and colleagues at the Mayo Clinic and anticipate that further development will be completed through strategic corporate partnerships. The use of non-dilutive grant funding to progress this area allows the Company to focus the majority of its internal resources on HER2/neu breast cancer.</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37" w:name="PGBRK25"/>
      <w:bookmarkStart w:id="238" w:name="PGBRK25"/>
      <w:bookmarkEnd w:id="2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9" w:name="FTR25"/>
      <w:bookmarkStart w:id="240" w:name="FTR25"/>
      <w:bookmarkEnd w:id="2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41" w:name="GLFTR25"/>
      <w:bookmarkEnd w:id="24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42" w:name="PN25"/>
      <w:bookmarkEnd w:id="242"/>
      <w:r>
        <w:rPr>
          <w:rFonts w:ascii="Times New Roman" w:hAnsi="Times New Roman"/>
          <w:sz w:val="20"/>
        </w:rPr>
        <w:t>26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3" w:name="HDR25"/>
      <w:bookmarkStart w:id="244" w:name="HDR25"/>
      <w:bookmarkEnd w:id="2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45" w:name="GLHDR25"/>
      <w:bookmarkEnd w:id="24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facilities at 1551 Eastlake Avenue, Seattle have exceeded our expectations and allowed us to continue to attract top-class scientific staff and collaborators while at the same time effectively leverage world class resources made available to us and manage our cash flow.. Our small core team has allowed us to maintain in-house technical expertise in molecular biology (expression vector development) and immunology to underpin our current and future development projects and to optimally work with external collaborators. New consulting agreements were executed with key staff in place of payroll to ensure their retention. It has also allowed us to make significant progress in the refinement and focus of clinical programs to take advantage of new antigens, the emerging field of vaccinomics and vaccine development strategies. In addition, it has allowed us to start generating new intellectual property (IP) to add to our core TAP IP and the antigen IP from the Mayo Clinic that we have either licensed or have exclusive options to license.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Over the past few months we have, in a challenging financing climate, raised sufficient working capital to fund and progress our operations. We believe that we continue to make good progress with the resources available to us. With the start of clinical programs and our focus on securing non-dilutive financing from a number of sources, management is confident that our current pathway will secure longer term capital to finance and accelerate our activities. The strength of our science and development approaches is becoming more widely appreciated, particularly as our clinical program generates data and as we embrace additional collaborations with leading institutions and corporations.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While the pathway to successful product development takes time and significant resources, we believe that we have put in place the technical and corporate fundamentals for success. The strength of our product pipeline gives us a unique opportunity to make a major contribution to global health care.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u w:val="single"/>
        </w:rPr>
      </w:pPr>
      <w:r>
        <w:rPr>
          <w:rFonts w:ascii="Times New Roman" w:hAnsi="Times New Roman"/>
          <w:b/>
          <w:i/>
          <w:sz w:val="20"/>
          <w:u w:val="single"/>
        </w:rPr>
        <w:t>The Immunotherapy Industry for Cancer</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Management believes that there is a critical need for more effective cancer therapies. Management further believes that the global market for effective cancer treatments is large and that immunotherapies representing potential treatments for metastatic cancer are an unmet need in the area of oncology.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human immune system appears to have the potential to clear cancers from the body, based on clinical observations that some tumors spontaneously regress when the immune system is activated. Most cancers are not very “immunogenic”, however, meaning that the cancers are not able to induce an immune response because they no longer express sufficient levels of key proteins on their cell surface, known as Major Histocompatability Class I or MHC Class I proteins. These proteins provide the information to the immune system that defines whether the cell is healthy or, in the case of cancer or viral infection, abnormal. If the MHC Class I proteins signal that the cells are abnormal, then the immune system’s T-cells are activated to attack and kill the infected or malignant cell.</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many solid cancer tumors, the TAP protein system does not function and, therefore, the immune system is not stimulated to attack the cancer. Management believes that although a number of cancer therapies have been developed that stimulate the immune system, these approaches have often proven ineffective because the cancers remain invisible to the immune system due to this apparent lack of or low expression of the TAP protein.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By restoring TAP expression to TAP-deficient cells, the MHC Class I protein peptide complexes could signal the immune system to attack the cancer. The strategic vision of TapImmune is to be a product-driven biotechnology company, focusing primarily on use of its patented TAP technology to restore the TAP function within cancerous cells, thus making them immunogenic, or more “visible” to cancer fighting immune cells. Management believes that this cancer vaccine strategy will provide the most viable therapeutic approach that addresses this problem of “non-immunogenicity” of cancer. Management believes that this therapy may have a strong competitive advantage over other cancer therapies, since restoring the TAP protein will direct the immune system to specifically target the cancerous cells without damaging healthy tissue.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a key part of its overall strategy, and with adequate funding, the Company is pursuing the development of prophylactic vaccines against infectious microbes and will also do so in partnership with other vaccine developers. The Company intends to develop the TAP technology for use as a vaccine that restores normal immune recognition for the treatment of cancer and supplements immune recognition for the development of prophylactic vaccines.</w:t>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46" w:name="PGBRK26"/>
      <w:bookmarkStart w:id="247" w:name="PGBRK26"/>
      <w:bookmarkEnd w:id="2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8" w:name="FTR26"/>
      <w:bookmarkStart w:id="249" w:name="FTR26"/>
      <w:bookmarkEnd w:id="2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50" w:name="GLFTR26"/>
      <w:bookmarkEnd w:id="25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51" w:name="PN26"/>
      <w:bookmarkEnd w:id="251"/>
      <w:r>
        <w:rPr>
          <w:rFonts w:ascii="Times New Roman" w:hAnsi="Times New Roman"/>
          <w:sz w:val="20"/>
        </w:rPr>
        <w:t>27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2" w:name="HDR26"/>
      <w:bookmarkStart w:id="253" w:name="HDR26"/>
      <w:bookmarkEnd w:id="2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54" w:name="GLHDR26"/>
      <w:bookmarkEnd w:id="25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b/>
          <w:i/>
          <w:sz w:val="20"/>
          <w:u w:val="single"/>
        </w:rPr>
      </w:pPr>
      <w:r>
        <w:rPr>
          <w:rFonts w:ascii="Times New Roman" w:hAnsi="Times New Roman"/>
          <w:b/>
          <w:i/>
          <w:sz w:val="20"/>
          <w:u w:val="single"/>
        </w:rPr>
        <w:t>TapImmune’s Target Market Strategy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With the required funding in place, we plan to focus our resources on the progression of products in our lead oncology indication, HER2/neu positive breast cancer. We will support and expand on our key infectious disease partnerships, including our collaboration efforts with the Mayo Clinic and others using grants. We have applied for a grant in collaboration with the Mayo Clinic to progress our smallpox program and extend it to additional emerging viral threats.. Cancer encompasses a large number of diseases that affect many different parts of the human body. The diversity of cancer types and their overall prevalence create a large need for new and improved treatments. Management believes that there is a significant market opportunity for a cancer treatment that utilizes the highly specific defense mechanisms of the immune system to attack cancers. Vaccines continue to be the success story for pharmaceutical companies, with the world market for preventative vaccines totaling $22.1 billion in 2009, up from $19 billion in 2008, according to healthcare market research publisher Kalorama Information. Kalorama’s new report, Vaccines 2010. World Market Analysis, Key Players, and Critical Trends in a Fast-Changing Industry, notes that the worldwide vaccine market is predicted to increase at a compound annual rate of 9.7% during the next five years, as new product introductions continue and the use of current products expands further (http://www.kaloramainformation.com/Vaccines-Key-Players-2684026). Our targeting of the HER2/neu antigen provides commercial opportunities in breast, ovarian and colorectal cancer.</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the USA, the second leading cause of death by illness is cancer. The current estimates for cancer treatments such as chemotherapy represent approximately a US$7 billion market. The National Cancer Institute expects cancer to be the leading cause of death in the USA within 5 years. Cancer vaccines will become a major player in the vaccine market. According to the report Cancer Vaccines Markets, (http://www.pharmaceutical-marketresearch.com/publications/diseases_conditions/cancer/cancer_vaccines_ markets.html) cancer vaccines have the potential to become a significant force in future cancer treatments. The approval of two immunotherapy products, Dendreon’s Provenge® in 2010 for advanced prostate cancer, and Bristol Myers Squibb’s Yervoy® in 2011 together with several late-stage clinical programs has generated renewed interest and support for this type of cancer immune therapy.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This relatively new commercial market for cancer vaccines is poised to dramatically increase to over $7 billion by 2015.</w:t>
      </w:r>
    </w:p>
    <w:p>
      <w:pPr>
        <w:pStyle w:val="TextBody"/>
        <w:spacing w:before="0" w:after="0"/>
        <w:ind w:left="0" w:right="0" w:hanging="0"/>
        <w:jc w:val="both"/>
        <w:rPr/>
      </w:pPr>
      <w:r>
        <w:rPr/>
        <w:t> </w:t>
      </w:r>
    </w:p>
    <w:p>
      <w:pPr>
        <w:pStyle w:val="TextBody"/>
        <w:spacing w:before="0" w:after="0"/>
        <w:ind w:left="0" w:right="0" w:hanging="0"/>
        <w:jc w:val="both"/>
        <w:rPr/>
      </w:pPr>
      <w:r>
        <w:rPr/>
        <w:t>Management also believes that our prophylactic vaccine adjuvant will be a catalyst in the development of new vaccines and will serve to enhance the efficacy of current vaccines in the treatment of infectious disease. It will be a key business development strategy to pursue additional partnerships and joint research and development ventures with vaccine manufacturers and pharmaceutical companies to bring new and improved vaccines to market. This strategy includes the development of vaccines for pandemic diseases and for bioterrorism threats. The global market for vaccines is dominated by five companies—Merck, GlaxoSmithKline, Sanofi Pasteur (the vaccines division of Sanofi SA [SNY-NYSE]), Pfizer Inc. (PFE-NYSE), and Novartis—with Pfizer, GlaxoSmithKline, Sanofi, and Novartis collectively accounting for approximately 74% of the market (Source: Transparency Market Research’s Global Vaccine Market Analysis and Forecast 2011-2016). This market is estimated at roughly $30 billion worldwide, with the U.S. contributing approximately $20 billion. Importantly, there still exist significant development opportunities in the global vaccine market, as there are more than 300 infectious diseases yet effective prophylactic therapies for only approximately 15% of these (Source: The Life Sciences Report’s “Vaccine Therapies Hold Promise for Investors: Stephen Dunn,” April 12, 2012). Management believes that our TAP Platform technology will increase the potency of many of the currently available vaccines and lead to the creation of better, more effective new vaccines, thereby allowing us to participate in this large market through novel new products and in combination with existing vaccines.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55" w:name="PGBRK27"/>
      <w:bookmarkStart w:id="256" w:name="PGBRK27"/>
      <w:bookmarkEnd w:id="2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7" w:name="FTR27"/>
      <w:bookmarkStart w:id="258" w:name="FTR27"/>
      <w:bookmarkEnd w:id="2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59" w:name="GLFTR27"/>
      <w:bookmarkEnd w:id="25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60" w:name="PN27"/>
      <w:bookmarkEnd w:id="260"/>
      <w:r>
        <w:rPr>
          <w:rFonts w:ascii="Times New Roman" w:hAnsi="Times New Roman"/>
          <w:sz w:val="20"/>
        </w:rPr>
        <w:t>28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1" w:name="HDR27"/>
      <w:bookmarkStart w:id="262" w:name="HDR27"/>
      <w:bookmarkEnd w:id="2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63" w:name="GLHDR27"/>
      <w:bookmarkEnd w:id="26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b/>
          <w:i/>
          <w:sz w:val="20"/>
          <w:u w:val="single"/>
        </w:rPr>
      </w:pPr>
      <w:r>
        <w:rPr>
          <w:rFonts w:ascii="Times New Roman" w:hAnsi="Times New Roman"/>
          <w:b/>
          <w:i/>
          <w:sz w:val="20"/>
          <w:u w:val="single"/>
        </w:rPr>
        <w:t>Research and Development Efforts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direct our research and development efforts towards the development of immunotherapeutic and prophylactic vaccine products for the treatment of cancer and protection against pathogenic microbes respectively, using our proprietary TAP technology. We have focused our efforts initially on the development of a therapeutic vaccine for applications in cancer treatment while demonstrating the breadth of the TAP technology for the development of prophylactic vaccines and its ability to complement currently approved and emerging products in both cancer therapeutics and prophylactic vaccines against microbes. This approach allows us to pursue our own internal product development while positioning us to enter into multiple partnerships and licensing agreements. We will also rely on our new collaboration agreements with Mayo clinic to demonstrate the use of TAP in new vaccine candidates. In parallel with our viral vector approach we plan to develop non-viral vectors for the delivery of plasmid DNA.  We have made significant progress in the development of a nucleic acid-based (Co-linear Polystart) technology which directs the enhanced synthesis of a linear peptide antigen array comprising multiple proprietary T-cell epitopes (CD4 and CD8).  In addition, the technology also directs the synthesis of the transported protein TAP1 associated with the transport of MHC Class I epitopes to the surface of cells.  The expression or functioning of this protein is often lowered in tumor cells or virally infected cells and its replacement can enhance antigen presentation.  Recent work on this novel expression vector platform has demonstrated that T-cells recognize cell surface presented T-cell peptide epitopes confirming that multiple individual peptides are effectively and functional processed from a linear peptide antigen array and that this leads to peptide specific T-cell killing.</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b/>
          <w:i/>
          <w:sz w:val="20"/>
          <w:u w:val="single"/>
        </w:rPr>
      </w:pPr>
      <w:r>
        <w:rPr>
          <w:rFonts w:ascii="Times New Roman" w:hAnsi="Times New Roman"/>
          <w:b/>
          <w:i/>
          <w:sz w:val="20"/>
          <w:u w:val="single"/>
        </w:rPr>
        <w:t>Products and Technology in Development</w:t>
      </w: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u w:val="single"/>
        </w:rPr>
      </w:pPr>
      <w:r>
        <w:rPr>
          <w:rFonts w:ascii="Times New Roman" w:hAnsi="Times New Roman"/>
          <w:b/>
          <w:i/>
          <w:sz w:val="20"/>
          <w:u w:val="single"/>
        </w:rPr>
        <w:t>TAP Cancer Vaccine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Based on earlier research at UBC Biomedical Research Centre in Vancouver BC, our overall objective is to successfully develop the patented TAP gene vector technology to restore the TAP protein, with the objective being to develop the TAP technology as a therapeutic cancer vaccine that will restore the normal immune recognition of cancer cells. A TAP Cancer Vaccine will be targeted at those cancers that are deficient in the TAP protein, which include breast cancer, prostate cancer, lung cancer, liver cancer, melanoma, renal cancer and colorectal cancer. TAP gene vectors will be used clinically in concert with proprietary antigen technologies in a “Prime and Boost” strategy. In our HER2/neu breast cancer program, which has started at the Mayo Clinic, proprietary HER2/neu antigens licensed from the Mayo Clinic will be used as the “Prime” and a TAP gene vector also containing antigens will be used as the “Boost”.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part of a vaccine approach a TAP gene vector will deliver the genetic information required for the production of the TAP protein in the target cancer cell. This will trigger the cancer cell’s ability to effectively identify itself to the body’s immune system by transporting the cancer antigen peptides to the cell surface using the individual’s specific MHC Class I proteins. As a result, we believe that the immune response could be targeted to the entire repertoire of cancer antigen peptides produced by the cancer cell, rather than just to a single cancer antigen, as delivered by current cancer vaccines. A TAP Cancer Vaccine could allow the immune response to respond to the cancer even if the TAP protein and genetic information were only delivered to a small portion of the cancer cells. In addition, aTAP Cancer Vaccine would generate an immune response to any TAP-deficient cancer, regardless of the patient’s individual genetic variability either in the MHC Class I proteins or in the cancer-specific proteins and resultant peptides.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general, a “cancer vaccine” is a therapy whose goal is to stimulate the immune system to attack tumors. Management believes that most current cancer vaccines contain either cancer-specific proteins that directly activate the immune system or contain genetic information, such as DNA, that encodes these cancer-specific proteins. Management believes that there are a number of key conditions that must be met before a cancer vaccine can be effective in generating a therapeutic immune response: (i) the cancer antigen peptide delivered by the vaccine has to be recognized by the immune system as “abnormal” or “foreign” in order to generate a strong and specific T-cell response; (ii) the same cancer antigen peptide has to be displayed on the surface of the cancer cells in association with the MHC Class I proteins; and (iii) these cancer antigen peptides then have to be sufficiently different from normal proteins in order to generate a strong anti-tumor response.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If these conditions are all met, then management believes that such cancer vaccines should generate a sufficiently strong immune response to kill the cancer cells. However, the identification of suitable cancer-specific antigen proteins to use in these therapeutic vaccines has proven extremely complex. In addition, the MHC Class I proteins are highly variable, with over 100 different types in humans and, as a result, any one-cancer antigen peptide will not produce an immune response for all individuals. Cancers are “genetically unstable” and their proteins are highly variable, so that the selected cancer antigen protein may result in the immune system only attacking a small subset of the cancerous cells.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64" w:name="PGBRK28"/>
      <w:bookmarkStart w:id="265" w:name="PGBRK28"/>
      <w:bookmarkEnd w:id="2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6" w:name="FTR28"/>
      <w:bookmarkStart w:id="267" w:name="FTR28"/>
      <w:bookmarkEnd w:id="2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68" w:name="GLFTR28"/>
      <w:bookmarkEnd w:id="26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69" w:name="PN28"/>
      <w:bookmarkEnd w:id="269"/>
      <w:r>
        <w:rPr>
          <w:rFonts w:ascii="Times New Roman" w:hAnsi="Times New Roman"/>
          <w:sz w:val="20"/>
        </w:rPr>
        <w:t>29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0" w:name="HDR28"/>
      <w:bookmarkStart w:id="271" w:name="HDR28"/>
      <w:bookmarkEnd w:id="2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72" w:name="GLHDR28"/>
      <w:bookmarkEnd w:id="27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b/>
          <w:i/>
          <w:sz w:val="20"/>
          <w:u w:val="single"/>
        </w:rPr>
      </w:pPr>
      <w:r>
        <w:rPr>
          <w:rFonts w:ascii="Times New Roman" w:hAnsi="Times New Roman"/>
          <w:b/>
          <w:i/>
          <w:sz w:val="20"/>
          <w:u w:val="single"/>
        </w:rPr>
        <w:t>Laboratory Testing of the TAP Cancer Vaccine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Management believes that key milestones of efficacy in animal models of cancer have been achieved and that scientific research from other laboratories has validated the efficacy data. The proof of principle for the TAP technology as a cancer vaccine has been established in research conducted at UBC in metastatic models that have multiple defects in the “antigen presentation pathway” resulting in poor detection of cancer cells by the immune system. These studies demonstrating that introduction of the TAP gene can restore an immune response have been published in a number of peer-reviewed leading scientific journals (links to publications can be found at www.tapimmune.com). We plan to conduct additional pre-clinical work on novel expression vectors that can express both TAP proteins and peptide antigens.</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u w:val="single"/>
        </w:rPr>
      </w:pPr>
      <w:r>
        <w:rPr>
          <w:rFonts w:ascii="Times New Roman" w:hAnsi="Times New Roman"/>
          <w:b/>
          <w:i/>
          <w:sz w:val="20"/>
          <w:u w:val="single"/>
        </w:rPr>
        <w:t>Pre-Clinical Testing</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Once the formal pre-clinical testing is completed, we intend to compile and summarize the data and submit it to the United States Federal Drug Administration (or “FDA”) and/or the Canadian Health Canada (or “HC”), and/or other national regulatory agencies, in the form of an investigational new drug application. We anticipate that these applications would include data on vaccine production, animal studies and toxicology studies, as well as proposed protocols for the Phase I human clinical trials, described below.</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i/>
          <w:sz w:val="20"/>
          <w:u w:val="single"/>
        </w:rPr>
        <w:t xml:space="preserve">Phase I Human Clinical Trials– </w:t>
      </w:r>
      <w:r>
        <w:rPr>
          <w:rFonts w:ascii="Times New Roman" w:hAnsi="Times New Roman"/>
          <w:b/>
          <w:sz w:val="20"/>
          <w:u w:val="single"/>
        </w:rPr>
        <w:t>HER2/neu Vaccine Technology – Mayo Clinic</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June 1, 2010, we signed an exclusive licensing option agreement with the Mayo Clinic, Rochester MN for clinical development of a new HER2/neu breast cancer vaccine technology. An IND for Phase I human clinical trials on the HER2/neu cancer vaccine in collaboration with the Mayo Clinic was allowed by the FDA in July, 2011 and the Mayo IRB approved the trial on May 4 2012. Patient dosing has started, and interim safety analysis on the first five patients is complete and was successful. The trial is ongoing and we expect to be able to release interim data in the next few months.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primary endpoint for this trial will be vaccine safety. Secondary endpoints will be immune responses including generation of antigen-specific T-cells and time to disease progression in breast cancer patients. As this trial progresses, we plan to add the Class I peptide, licensed from the Mayo Clinic to the four Class II peptides as an extension of the Phase I clinical trial. In parallel, we will complete the manufacturing and toxicity of vector delivered Tap1/2 for subsequent Phase I human clinical trials and for use in combination in later stage clinical trials with the HER2/neu antigens as part of a “Prime and Boost” strategy. On April 16, 2012 we announced the licensing of a novel HER2/neu Class I antigen from the Mayo Clinic and are currently evaluating the clinical pathway to include this in our current “Prime and Boost” strategy. Management believes that the combination of Class I and Class II HER2/neu antigens plus TAP gives us the leading HER2/neu vaccine platform.</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Clinical trials to support new drug applications are typically conducted in three sequential phases, although the phases may overlap. During Phase I there is an initial introduction of the therapeutic candidate into healthy human subjects or patients. The drug is tested to assess metabolism, pharmacokinetics and pharmacological actions and safety, including side effects associated with increasing doses. For immunotherapeutics/vaccine, Phase I studies are conducted in cancer patients and include the measurement of cellular immune responses. Phase II usually involves studies in a limited patient population to assess the clinical activity of the drug in specific targeted indications, assess dosage tolerance and optimal dosage and continue to identify possible adverse effects and safety risks. If the therapeutic candidate is found to be potentially effective and to have an acceptable safety profile in Phase II evaluations, Phase III trials are undertaken to further demonstrate clinical efficacy and to further test for safety within an expanded patient population at geographically dispersed clinical trial sites.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73" w:name="PGBRK29"/>
      <w:bookmarkStart w:id="274" w:name="PGBRK29"/>
      <w:bookmarkEnd w:id="2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5" w:name="FTR29"/>
      <w:bookmarkStart w:id="276" w:name="FTR29"/>
      <w:bookmarkEnd w:id="2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77" w:name="GLFTR29"/>
      <w:bookmarkEnd w:id="27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78" w:name="PN29"/>
      <w:bookmarkEnd w:id="278"/>
      <w:r>
        <w:rPr>
          <w:rFonts w:ascii="Times New Roman" w:hAnsi="Times New Roman"/>
          <w:sz w:val="20"/>
        </w:rPr>
        <w:t>30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9" w:name="HDR29"/>
      <w:bookmarkStart w:id="280" w:name="HDR29"/>
      <w:bookmarkEnd w:id="2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81" w:name="GLHDR29"/>
      <w:bookmarkEnd w:id="28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b/>
          <w:i/>
          <w:sz w:val="20"/>
          <w:u w:val="single"/>
        </w:rPr>
      </w:pPr>
      <w:r>
        <w:rPr>
          <w:rFonts w:ascii="Times New Roman" w:hAnsi="Times New Roman"/>
          <w:b/>
          <w:i/>
          <w:sz w:val="20"/>
          <w:u w:val="single"/>
        </w:rPr>
        <w:t>Infectious Disease Application for “TAP” Adjuvant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TapImmune plans to develop or license out our technology for the creation of enhanced viral vaccines, such as for smallpox and others, based on our findings that TAP can augment immune responses. We have presented data showing that increasing TAP expression in TAP-competent antigen presenting cells (APCs) and/or virus infected cells increases the antigenic peptide associated with MHC class I expression on the cell surface, and leads to increased specific T cell-mediated immune responses. We believe this technology can add great value to the creation of new vaccines and enhance those that already exist. We believe our collaborations with the Mayo Clinic is evidence of this and we will continue to pursue additional partnerships and collaborations as a key strategy to expand our research and development (R&amp;D) program to optimize resources and to reduce costs and development times. In our collaboration with the Mayo Clinic, efficacy studies in small animals on a novel smallpox vaccine that includes TAP, were initiated in 2011 and are progressing on schedule. The subsequent regulatory pathway for this product is to use the FDA’s “Animal Efficacy Rule” for completion of efficacy studies in primates followed by Phase I clinical studies on vaccine safety.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cost of funding our current Phase I clinical program in HER2/neu breast cancer at the Mayo Clinic is approximately $850,000 and is mostly paid off as this report. We anticipate that on-going preclinical studies and Phase I studies on our TAP expression vectors will cost approximately $5million. We intend to progress our infectious disease programs with non-dilutive grant funding as well. In collaboration with the Vaccine Group at the Mayo Clinic we will continue development of our smallpox vaccine and to expand the use of our TAP platform to emerging pathogens that could be either pandemic or bioterrorist threats.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u w:val="single"/>
        </w:rPr>
      </w:pPr>
      <w:r>
        <w:rPr>
          <w:rFonts w:ascii="Times New Roman" w:hAnsi="Times New Roman"/>
          <w:b/>
          <w:i/>
          <w:sz w:val="20"/>
          <w:u w:val="single"/>
        </w:rPr>
        <w:t>Strategic Relationships</w:t>
      </w: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Mayo Foundation for Medical Education and Research</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May 26, 2010 we signed a Technology Option Agreement with the Mayo Foundation for Medical Education and Research, Rochester, MN, for the evaluation of HER2/neu peptide epitopes as antigens for a breast cancer vaccine. The agreement grants TapImmune an exclusive worldwide option to become the exclusive licensee of the technology after completion of Phase I clinical trials.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Following approval of the IND by the FDA in July, 2011, TapImmune and the Mayo Foundation executed a Sponsored Research Agreement for the clinical trial.</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May 4, 2012, Mayo IRB approval was confirmed and patient dosing is expected to start in June 2012.</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July 24, 2010, we signed a Research and Technology License Option Agreement with the Mayo Foundation for Medical Education and Research, Rochester, MN, to evaluate novel smallpox peptide antigens. The Agreement grants TapImmune an exclusive worldwide option to become the exclusive licensee of the smallpox vaccine technology after research studies have been completed under the terms of the agreement.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April 16, 2012, we announced an Exclusive Agreement with the Mayo Foundation for Education &amp; Research, Rochester, MN, to License a proprietary MHC Class I HER2/neu antigen technology. This antigen was discovered in the laboratory of Dr. Keith Knutson at the Mayo Clinic. In contrast to Class I antigens in clinical testing this novel antigen is naturally produced in the intracellular proteasome and presented to T-cells as the MHC Class I peptide complex. Scientific details of this new work was presented by Andrea Henle of Dr. Knutson’s lab at the Annual Meeting of The American Association of Immunologists held in Boston, MA, May 2012 and by Mark Reddish, Head of Development at TapImmune at the Third Annual Cancer Vaccines and Active Immunity Summit, Boston, June 26, 2012. A peer-reviewed manuscript from the Knutson lab, which describes the science in detail, has been accepted for publication in Journal of Immunology.</w:t>
      </w:r>
    </w:p>
    <w:p>
      <w:pPr>
        <w:pStyle w:val="TextBody"/>
        <w:spacing w:before="0" w:after="0"/>
        <w:ind w:left="0" w:right="0" w:hanging="0"/>
        <w:jc w:val="both"/>
        <w:rPr>
          <w:rFonts w:ascii="Times New Roman" w:hAnsi="Times New Roman"/>
          <w:b/>
          <w:i/>
          <w:sz w:val="20"/>
          <w:u w:val="single"/>
        </w:rPr>
      </w:pPr>
      <w:r>
        <w:rPr>
          <w:rFonts w:ascii="Times New Roman" w:hAnsi="Times New Roman"/>
          <w:b/>
          <w:i/>
          <w:sz w:val="20"/>
          <w:u w:val="single"/>
        </w:rPr>
        <w:t>Intellectual Property, Patents and Trademarks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Patents and other proprietary rights are vital to our business operations. We protect our technology through various United States and foreign patent filings, and maintain trade secrets that we own. Our policy is to seek appropriate patent protection both in the United States and abroad for its proprietary technologies and products. We require each of our employees, consultants and advisors to execute a confidentiality agreement upon the commencement of any employment, consulting or advisory relationship with us. Each agreement provides that all confidential information developed or made known to the individual during the course of the relationship will be kept confidential and not be disclosed to third parties except in specified circumstances. In the case of employees, the agreements provide that all inventions conceived of by an employee shall be our exclusive property.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82" w:name="PGBRK30"/>
      <w:bookmarkStart w:id="283" w:name="PGBRK30"/>
      <w:bookmarkEnd w:id="2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4" w:name="FTR30"/>
      <w:bookmarkStart w:id="285" w:name="FTR30"/>
      <w:bookmarkEnd w:id="2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86" w:name="GLFTR30"/>
      <w:bookmarkEnd w:id="28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87" w:name="PN30"/>
      <w:bookmarkEnd w:id="287"/>
      <w:r>
        <w:rPr>
          <w:rFonts w:ascii="Times New Roman" w:hAnsi="Times New Roman"/>
          <w:sz w:val="20"/>
        </w:rPr>
        <w:t>31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8" w:name="HDR30"/>
      <w:bookmarkStart w:id="289" w:name="HDR30"/>
      <w:bookmarkEnd w:id="2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90" w:name="GLHDR30"/>
      <w:bookmarkEnd w:id="29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Patent applications in the United States are maintained in secrecy until patents are issued. There can be no assurance that our patents, and any patents that may be issued to us in the future, will afford protection against competitors with similar technology. In addition, no assurances can be given that the patents issued to us will not be infringed upon or designed around by others or that others will not obtain patents that we would need to license or design around. If the courts uphold existing or future patents containing broad claims over technology used by us, the holders of such patents could require us to obtain licenses to use such technology.</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Method of Enhancing Expression of MHC Class I Molecules Bearing Endogenous Peptides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March 26, 2002, the United States Patent and Trademark Office issued US Patent No. 6,361,770 to UBC for the use of TAP-1 as an immunotherapy against all cancers. The patent is titled “Method of Enhancing Expression of MHC Class I Molecules Bearing Endogenous Peptides” and provides comprehensive protection and coverage to both in vivo and ex vivo applications of TAP-1 as a therapeutic against all cancers with a variety of delivery mechanisms. The inventors were Dr. Jefferies, Dr. Reinhard Gabathuler, Dr. Gerassinmoes Kolaitis and Dr. Gregor S.D. Reid, who collectively assigned the patent to UBC under an assignment agreement. The patent expires March 23, 2014. We have pending applications for patent protection for this patent in Europe and in Japan.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Method of Enhancing an Immune Response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U.S. patent No. 7,378,087, issued May 27 2008. The patent claims relate to methods for enhancing the immune response to tumor cells by introducing the TAP molecule into the infected cells. Patent applications are pending on other aspects of the company’s technology. The inventors were Jefferies, Wilfred A.; Zhang, Qian-Jin; Chen, Susan Shu-Ping; Alimonti, Judie B., who collectively assigned the patent to UBC under an assignment agreement.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Method of Identifying MHC Class I Restricted Antigens Endogenously Processed by a Secretory Pathway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August 11, 1998, the U.S. Patent and Trademark Office issued US Patent No. 5,792,604 to UBC, being a patent for the use of bioengineered cell lines to measure the output of the MHC Class I restricted antigen presentation pathway as a way to screen for immunomodulating drugs. The patent is titled “Method of Identifying MHC Class I Restricted Antigens Endogenously Processed by a Secretory Pathway.” This patent covers the assay which can identify compounds capable of modulating the immune system. The inventors were Dr. Jefferies, Dr. Gabathuler, Dr. Kolaitis and Dr. Reid, who collectively assigned the patent to UBC under an assignment agreement. The patent expires on March 12, 2016. We have been granted patent protection for this patent in Finland, France, Germany, Italy, Sweden Switzerland and the United Kingdom, and have applied for patent protection in Canada and Japan.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Method of Enhancing an Immune Response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October 27, 2011 The US Patent Office has issued Patent 7,994,146 entitled “Method of Enhancing an Immune Response”. The invention relates to a method of enhancing an immune response to an antigen by augmenting the level of TAP (Transporters Associated with Antigen Processing) molecule in a target cell bearing the antigen. This patent details application to treating vaccinia, herpes simplex and influenza virus infections and small cell lung cancer. Levels of TAP in humans correlate with susceptibility to certain diseases and the ability to respond to a vaccine.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TAP Vaccines and other filings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intend to continue to work with our collaborators to file additional patent applications with respect to any novel aspects of our technology to further protect our intellectual property portfolio. An invention that describes the use of bio-acceptable substances to promote the transcription of the TAP-1 gene in TAP-1 expression-deficient cells was filed in July 2009 and was available to us under an option agreement with the University of British Columbia. The patent is entitled “HAT acetylation promoters and uses of compositions thereof in promoting immunogenicity”. The Company will not pursue this technology or continue to prosecute this additional patent and has released its option back to the University of British Columbia.</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91" w:name="PGBRK31"/>
      <w:bookmarkStart w:id="292" w:name="PGBRK31"/>
      <w:bookmarkEnd w:id="2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3" w:name="FTR31"/>
      <w:bookmarkStart w:id="294" w:name="FTR31"/>
      <w:bookmarkEnd w:id="2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95" w:name="GLFTR31"/>
      <w:bookmarkEnd w:id="29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96" w:name="PN31"/>
      <w:bookmarkEnd w:id="296"/>
      <w:r>
        <w:rPr>
          <w:rFonts w:ascii="Times New Roman" w:hAnsi="Times New Roman"/>
          <w:sz w:val="20"/>
        </w:rPr>
        <w:t>32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7" w:name="HDR31"/>
      <w:bookmarkStart w:id="298" w:name="HDR31"/>
      <w:bookmarkEnd w:id="2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99" w:name="GLHDR31"/>
      <w:bookmarkEnd w:id="29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b/>
          <w:i/>
          <w:sz w:val="20"/>
          <w:u w:val="single"/>
        </w:rPr>
      </w:pPr>
      <w:r>
        <w:rPr>
          <w:rFonts w:ascii="Times New Roman" w:hAnsi="Times New Roman"/>
          <w:b/>
          <w:i/>
          <w:sz w:val="20"/>
          <w:u w:val="single"/>
        </w:rPr>
        <w:t>Competition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oncology industry is characterized by rapidly evolving technology and intense competition. Many companies of all sizes, including a number of large pharmaceutical companies as well as several specialized biotechnology companies, are developing various immunotherapies and drugs to treat cancer. While management believes that we have a unique platform technology approach there may be products on the market that will compete directly with the products that we are seeking to develop. In addition, colleges, universities, governmental agencies and other public and private research institutions will continue to conduct research and are becoming more active in seeking patent protection and licensing arrangements to collect license fees and royalties in exchange for license rights to technologies that they have developed, some of which may directly compete with our technologies and products. These companies and institutions may also compete with us in recruiting qualified scientific personnel. Many of our potential competitors have substantially greater financial, research and development, human and other resources than us. Furthermore, large pharmaceutical companies may have significantly more experience than we do in pre-clinical testing, human clinical trials and regulatory approval procedures. Such competitors may develop safer and more effective products, obtain patent protection or intellectual property rights that limit our ability to commercialize products, or commercialize products earlier than we do.</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Management expects technology developments in the oncology industry to continue to occur at a rapid pace. Commercial developments by any competitors may render some or all of our potential products obsolete or non-competitive, which could materially harm the company’s business and financial condition.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Management believes that the following companies, which are developing various types of similar immunotherapies and therapeutic cancer vaccines to treat cancer, could be our major competitors: CellGenSys Inc., Dendreon Corp., Galena, Immune Design, Immunocellular, Oncothyreon, Celldex, BN Immunotherapeutics, and Transgene S.A.</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u w:val="single"/>
        </w:rPr>
      </w:pPr>
      <w:r>
        <w:rPr>
          <w:rFonts w:ascii="Times New Roman" w:hAnsi="Times New Roman"/>
          <w:b/>
          <w:i/>
          <w:sz w:val="20"/>
          <w:u w:val="single"/>
        </w:rPr>
        <w:t>Our Financial Condition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next 12 months, we anticipate that we will not generate any sales revenue but may receive grant funding. We had cash of $45,179 and a working capital deficit of $4,770,426 at June 30, 2013. We will require significant additional financial resources and will depend on future financings to fund our ongoing research and development as well as other working capital requirements.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u w:val="single"/>
        </w:rPr>
      </w:pPr>
      <w:r>
        <w:rPr>
          <w:rFonts w:ascii="Times New Roman" w:hAnsi="Times New Roman"/>
          <w:b/>
          <w:i/>
          <w:sz w:val="20"/>
          <w:u w:val="single"/>
        </w:rPr>
        <w:t>Plan of Operation and Funding</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a vaccine component, the gene based TAP technology has the potential to significantly improve the efficacy of both prophylactic and immunotherapeutic vaccines as it addresses a fundamental mechanism for T cell recognition and response. We believe that, unlike other vaccine technologies that address only the initiation of immune responses, TAP expression also has the unique ability to enhance the effector function of mature killer T cells. This enhancement of effector function is potentially complementary to any/all vaccine approaches that are designed to enhance cellular responses. Therefore, we envisage establishing multiple collaborative partnerships as we progress gene-based TAP development and research in the clinic. The exploitation of this key mechanism is highlighted by two collaborations with the Mayo Clinic in Rochester, MN and their progress in 2012 and Q1 2013.</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Management believes that as a result of our recent personnel additions, our moving into a state of the art facility, our exclusive Licensing Option agreements with the Mayo Clinic in Rochester, Minnesota, the start of term Phase 1 clinical trials, together with and subject to raising adequate funding, the Company will be well positioned for significant growth in 2013.</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August 2011, the FDA allowed an IND (Investigational New Drug application) and the Company signed a sponsored research agreement with the Mayo Clinic for a Phase 1 Her2neu Breast Cancer Clinical Trial, which started in the first quarter of 2012. The trial will use a patented technology developed at the Mayo clinic. TapImmune has the exclusive Option to license this technology. Recent clinical trials of Her2neu vaccines have shown considerable promise but have significant room for improvements, and the technology we are evaluating in our phase I clinical trial offers a vaccine with broader coverage, making it applicable to a much larger population of women with breast cancer. We anticipate that this technology will be used therapeutically together with our TAP expression technology as it reaches clinical development in combination with the improved Her2neu targeted vaccine. Currently, Herceptin® (trastuzumab: an intravenously delivered monoclonal antibody) is used in the treatment of HER-2/neu breast cancer. Sales of this product in 2009 were approximately US$5 billion (source: Roche AG’s Pharmaceutical Division). As our vaccine approach has the potential to treat a broader HER-2/neu positive clinical population, the market potential is significant.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00" w:name="PGBRK32"/>
      <w:bookmarkStart w:id="301" w:name="PGBRK32"/>
      <w:bookmarkEnd w:id="3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2" w:name="FTR32"/>
      <w:bookmarkStart w:id="303" w:name="FTR32"/>
      <w:bookmarkEnd w:id="3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04" w:name="GLFTR32"/>
      <w:bookmarkEnd w:id="30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05" w:name="PN32"/>
      <w:bookmarkEnd w:id="305"/>
      <w:r>
        <w:rPr>
          <w:rFonts w:ascii="Times New Roman" w:hAnsi="Times New Roman"/>
          <w:sz w:val="20"/>
        </w:rPr>
        <w:t>33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6" w:name="HDR32"/>
      <w:bookmarkStart w:id="307" w:name="HDR32"/>
      <w:bookmarkEnd w:id="3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08" w:name="GLHDR32"/>
      <w:bookmarkEnd w:id="30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Our Gene-based TAP vaccines also have the potential to significantly improve the efficacy of prophylactic vaccines for viral pandemics and as agents for biodefense. In a novel approach to the development of a smallpox vaccine, in our collaboration with the Mayo Clinic, research studies have progressed well and are now testing unique and patentable smallpox antigens in combination with TAP technology. Once these feasibility studies are complete we would move to larger preclinical animal studies, and Phase I safety trials. This study will also act as a platform for more extensive use of gene-based TAP vectors for biodefense. We will be seeking non-dilutive avenues to finance and advance this program by way of biodefense focused grants and contracts. We have the exclusive option to license the patented Mayo technology that is derived from this collaboration.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With respect to the broader market, a major driver and positive influence on our activities has been the emergence and general acceptance of the potential of a new generation of immunotherapies that promise to change the standard of care for cancer. The immunotherapy sector has been greatly stimulated by the approval of Provenge® (Dendreon NASD: DNDN) for prostate cancer and Yervoy™ (BMS) for metastatic melanoma, anticipation of the results from Phase III trials on MAGE-3 (GSK) for treatment of lung cancer, and progression of approaches for multiple cancer indications through Phase II and into Phase III.</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Management believes that TapImmune is well positioned to be a leading player in this emerging market. It is important to note that the late stage immunotherapies in development do not necessarily represent competition to our programs, but rather offer us opportunities as our TAP expression technology is potentially synergistic with many other vaccine approaches. The addition of a TAP expression vector to patients already receiving a therapeutic vaccine could enhance the efficacy of these vaccines, as TAP is designed to help killer T-cells kill tumor cells. This concept of enhancing the effector stage of an immune response differentiates TAP technology from a wide list of immunotherapies currently in development, and offers a great opportunity for collaborations and partnerships. Accordingly we believe that the use of TAP expression vectors represents the next logical step in the development of more effective immunotherapies.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2012 and Q1 2013, we continued to made significant progress with very few resources. Progress in developing vectors for expression of antigens and TAP as a boost strategy has led to new intellectual property that we intend to file in the second quarter of 2013. On the technology and product pipeline side, management believes that the company is fundamentally strong and poised to be a leading company in a highly attractive and expanding market.</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b/>
          <w:i/>
          <w:sz w:val="20"/>
          <w:u w:val="single"/>
        </w:rPr>
      </w:pPr>
      <w:r>
        <w:rPr>
          <w:rFonts w:ascii="Times New Roman" w:hAnsi="Times New Roman"/>
          <w:b/>
          <w:i/>
          <w:sz w:val="20"/>
          <w:u w:val="single"/>
        </w:rPr>
        <w:t>Results of Operations</w:t>
      </w:r>
    </w:p>
    <w:p>
      <w:pPr>
        <w:pStyle w:val="TextBody"/>
        <w:spacing w:before="0" w:after="0"/>
        <w:ind w:left="0" w:right="0" w:hanging="0"/>
        <w:jc w:val="both"/>
        <w:rPr>
          <w:rFonts w:ascii="Times New Roman" w:hAnsi="Times New Roman"/>
          <w:sz w:val="20"/>
        </w:rPr>
      </w:pPr>
      <w:r>
        <w:rPr>
          <w:rFonts w:ascii="Times New Roman" w:hAnsi="Times New Roman"/>
          <w:sz w:val="20"/>
        </w:rPr>
        <w:t>In this discussion of the Company’s results of operations and financial condition, amounts, other than per-share amounts, have been rounded to the nearest thousand dollars.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Three Months Ended June 30, 2013 Compared to Three Months Ended June 30, 2012</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are a development stage company. We recorded a net loss of $871,000 during the three months ended June 30, 2013 compared to $2,750,000 for the three months ended June 30, 2012.</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Operating costs decreased to $675,000 during the three months ended June 30, 2013 compared to $3,138,000 in the prior period. Significant changes in operating expenses are outlined as follows:</w:t>
      </w:r>
    </w:p>
    <w:p>
      <w:pPr>
        <w:pStyle w:val="Normal"/>
        <w:spacing w:before="0" w:after="0"/>
        <w:rPr>
          <w:sz w:val="4"/>
          <w:szCs w:val="4"/>
        </w:rPr>
      </w:pPr>
      <w:r>
        <w:rPr>
          <w:sz w:val="4"/>
          <w:szCs w:val="4"/>
        </w:rPr>
      </w:r>
      <w:bookmarkStart w:id="309" w:name="hangingindent5"/>
      <w:bookmarkStart w:id="310" w:name="hangingindent5"/>
      <w:bookmarkEnd w:id="310"/>
    </w:p>
    <w:tbl>
      <w:tblPr>
        <w:tblW w:w="5000" w:type="pct"/>
        <w:jc w:val="center"/>
        <w:tblInd w:w="0" w:type="dxa"/>
        <w:tblCellMar>
          <w:top w:w="0" w:type="dxa"/>
          <w:left w:w="0" w:type="dxa"/>
          <w:bottom w:w="0" w:type="dxa"/>
          <w:right w:w="0" w:type="dxa"/>
        </w:tblCellMar>
      </w:tblPr>
      <w:tblGrid>
        <w:gridCol w:w="92"/>
        <w:gridCol w:w="95"/>
        <w:gridCol w:w="10018"/>
      </w:tblGrid>
      <w:tr>
        <w:trPr/>
        <w:tc>
          <w:tcPr>
            <w:tcW w:w="92"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1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Consulting fees decreased to $36,000 during the three months ended June 30, 2013 from $63,000 during the prior period, due primarily to previous business development contracts ended during the current period.</w:t>
            </w:r>
          </w:p>
        </w:tc>
      </w:tr>
    </w:tbl>
    <w:p>
      <w:pPr>
        <w:pStyle w:val="Normal"/>
        <w:spacing w:before="0" w:after="0"/>
        <w:rPr>
          <w:sz w:val="4"/>
          <w:szCs w:val="4"/>
        </w:rPr>
      </w:pPr>
      <w:r>
        <w:rPr>
          <w:sz w:val="4"/>
          <w:szCs w:val="4"/>
        </w:rPr>
      </w:r>
      <w:bookmarkStart w:id="311" w:name="hangingindent6"/>
      <w:bookmarkStart w:id="312" w:name="hangingindent6"/>
      <w:bookmarkEnd w:id="312"/>
    </w:p>
    <w:tbl>
      <w:tblPr>
        <w:tblW w:w="5000" w:type="pct"/>
        <w:jc w:val="center"/>
        <w:tblInd w:w="0" w:type="dxa"/>
        <w:tblCellMar>
          <w:top w:w="0" w:type="dxa"/>
          <w:left w:w="0" w:type="dxa"/>
          <w:bottom w:w="0" w:type="dxa"/>
          <w:right w:w="0" w:type="dxa"/>
        </w:tblCellMar>
      </w:tblPr>
      <w:tblGrid>
        <w:gridCol w:w="84"/>
        <w:gridCol w:w="95"/>
        <w:gridCol w:w="10026"/>
      </w:tblGrid>
      <w:tr>
        <w:trPr/>
        <w:tc>
          <w:tcPr>
            <w:tcW w:w="84"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2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Consulting fees – stock-based decreased to $16,000 during the three months ended June 30, 2012 from $2,040,000 during the prior period. The lower current period expense is primarily due to decreased share based payments to the consultants compared to the prior period.</w:t>
            </w:r>
          </w:p>
        </w:tc>
      </w:tr>
    </w:tbl>
    <w:p>
      <w:pPr>
        <w:pStyle w:val="Normal"/>
        <w:spacing w:before="0" w:after="0"/>
        <w:rPr>
          <w:sz w:val="4"/>
          <w:szCs w:val="4"/>
        </w:rPr>
      </w:pPr>
      <w:r>
        <w:rPr>
          <w:sz w:val="4"/>
          <w:szCs w:val="4"/>
        </w:rPr>
      </w:r>
      <w:bookmarkStart w:id="313" w:name="hangingindent7"/>
      <w:bookmarkStart w:id="314" w:name="hangingindent7"/>
      <w:bookmarkEnd w:id="314"/>
    </w:p>
    <w:tbl>
      <w:tblPr>
        <w:tblW w:w="5000" w:type="pct"/>
        <w:jc w:val="center"/>
        <w:tblInd w:w="0" w:type="dxa"/>
        <w:tblCellMar>
          <w:top w:w="0" w:type="dxa"/>
          <w:left w:w="0" w:type="dxa"/>
          <w:bottom w:w="0" w:type="dxa"/>
          <w:right w:w="0" w:type="dxa"/>
        </w:tblCellMar>
      </w:tblPr>
      <w:tblGrid>
        <w:gridCol w:w="84"/>
        <w:gridCol w:w="95"/>
        <w:gridCol w:w="10026"/>
      </w:tblGrid>
      <w:tr>
        <w:trPr/>
        <w:tc>
          <w:tcPr>
            <w:tcW w:w="84"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2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General and administrative expenses decreased to $88,000 in the three months ended June 30, 2012 from $468,000 in the prior period, with the decrease resulting from reduced staffing costs at the Company’s Seattle office and lower travel related expense in the current period.</w:t>
            </w:r>
          </w:p>
        </w:tc>
      </w:tr>
    </w:tbl>
    <w:p>
      <w:pPr>
        <w:pStyle w:val="Normal"/>
        <w:spacing w:before="0" w:after="0"/>
        <w:rPr>
          <w:sz w:val="4"/>
          <w:szCs w:val="4"/>
        </w:rPr>
      </w:pPr>
      <w:r>
        <w:rPr>
          <w:sz w:val="4"/>
          <w:szCs w:val="4"/>
        </w:rPr>
      </w:r>
      <w:bookmarkStart w:id="315" w:name="hangingindent8"/>
      <w:bookmarkStart w:id="316" w:name="hangingindent8"/>
      <w:bookmarkEnd w:id="316"/>
    </w:p>
    <w:tbl>
      <w:tblPr>
        <w:tblW w:w="5000" w:type="pct"/>
        <w:jc w:val="center"/>
        <w:tblInd w:w="0" w:type="dxa"/>
        <w:tblCellMar>
          <w:top w:w="0" w:type="dxa"/>
          <w:left w:w="0" w:type="dxa"/>
          <w:bottom w:w="0" w:type="dxa"/>
          <w:right w:w="0" w:type="dxa"/>
        </w:tblCellMar>
      </w:tblPr>
      <w:tblGrid>
        <w:gridCol w:w="88"/>
        <w:gridCol w:w="95"/>
        <w:gridCol w:w="10022"/>
      </w:tblGrid>
      <w:tr>
        <w:trPr/>
        <w:tc>
          <w:tcPr>
            <w:tcW w:w="88"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2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Interest and finance charges increased to $291,000 during the three months ended June 30, 2013 from $100,000 during the prior period. Current and prior period interest charges are primarily interest accruals and accretion of debt discounts.</w:t>
            </w:r>
          </w:p>
        </w:tc>
      </w:tr>
    </w:tbl>
    <w:p>
      <w:pPr>
        <w:pStyle w:val="Normal"/>
        <w:spacing w:before="0" w:after="0"/>
        <w:rPr>
          <w:sz w:val="4"/>
          <w:szCs w:val="4"/>
        </w:rPr>
      </w:pPr>
      <w:r>
        <w:rPr>
          <w:sz w:val="4"/>
          <w:szCs w:val="4"/>
        </w:rPr>
      </w:r>
      <w:bookmarkStart w:id="317" w:name="hangingindent9"/>
      <w:bookmarkStart w:id="318" w:name="hangingindent9"/>
      <w:bookmarkEnd w:id="318"/>
    </w:p>
    <w:tbl>
      <w:tblPr>
        <w:tblW w:w="5000" w:type="pct"/>
        <w:jc w:val="center"/>
        <w:tblInd w:w="0" w:type="dxa"/>
        <w:tblCellMar>
          <w:top w:w="0" w:type="dxa"/>
          <w:left w:w="0" w:type="dxa"/>
          <w:bottom w:w="0" w:type="dxa"/>
          <w:right w:w="0" w:type="dxa"/>
        </w:tblCellMar>
      </w:tblPr>
      <w:tblGrid>
        <w:gridCol w:w="96"/>
        <w:gridCol w:w="95"/>
        <w:gridCol w:w="10014"/>
      </w:tblGrid>
      <w:tr>
        <w:trPr/>
        <w:tc>
          <w:tcPr>
            <w:tcW w:w="96"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1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Management fees increased to $59,000 during the three months ended June 30, 2013 from $23,000 during the prior period due to one additional person in management in the current period.</w:t>
            </w:r>
          </w:p>
        </w:tc>
      </w:tr>
    </w:tbl>
    <w:p>
      <w:pPr>
        <w:pStyle w:val="Normal"/>
        <w:spacing w:before="0" w:after="0"/>
        <w:rPr>
          <w:sz w:val="4"/>
          <w:szCs w:val="4"/>
        </w:rPr>
      </w:pPr>
      <w:r>
        <w:rPr>
          <w:sz w:val="4"/>
          <w:szCs w:val="4"/>
        </w:rPr>
      </w:r>
      <w:bookmarkStart w:id="319" w:name="hangingindent10"/>
      <w:bookmarkStart w:id="320" w:name="hangingindent10"/>
      <w:bookmarkEnd w:id="320"/>
    </w:p>
    <w:tbl>
      <w:tblPr>
        <w:tblW w:w="5000" w:type="pct"/>
        <w:jc w:val="center"/>
        <w:tblInd w:w="0" w:type="dxa"/>
        <w:tblCellMar>
          <w:top w:w="0" w:type="dxa"/>
          <w:left w:w="0" w:type="dxa"/>
          <w:bottom w:w="0" w:type="dxa"/>
          <w:right w:w="0" w:type="dxa"/>
        </w:tblCellMar>
      </w:tblPr>
      <w:tblGrid>
        <w:gridCol w:w="87"/>
        <w:gridCol w:w="95"/>
        <w:gridCol w:w="10023"/>
      </w:tblGrid>
      <w:tr>
        <w:trPr/>
        <w:tc>
          <w:tcPr>
            <w:tcW w:w="87"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2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Management fees – stock-based decreased to $12,000 during the three months ended June 30, 2013 from $86,000 during the prior period. The current and prior period expense consists of the fair value of option grants earned during the period.</w:t>
            </w:r>
          </w:p>
        </w:tc>
      </w:tr>
    </w:tbl>
    <w:p>
      <w:pPr>
        <w:pStyle w:val="Normal"/>
        <w:spacing w:before="0" w:after="0"/>
        <w:rPr>
          <w:sz w:val="4"/>
          <w:szCs w:val="4"/>
        </w:rPr>
      </w:pPr>
      <w:r>
        <w:rPr>
          <w:sz w:val="4"/>
          <w:szCs w:val="4"/>
        </w:rPr>
      </w:r>
      <w:bookmarkStart w:id="321" w:name="hangingindent11"/>
      <w:bookmarkStart w:id="322" w:name="hangingindent11"/>
      <w:bookmarkEnd w:id="322"/>
    </w:p>
    <w:tbl>
      <w:tblPr>
        <w:tblW w:w="5000" w:type="pct"/>
        <w:jc w:val="center"/>
        <w:tblInd w:w="0" w:type="dxa"/>
        <w:tblCellMar>
          <w:top w:w="0" w:type="dxa"/>
          <w:left w:w="0" w:type="dxa"/>
          <w:bottom w:w="0" w:type="dxa"/>
          <w:right w:w="0" w:type="dxa"/>
        </w:tblCellMar>
      </w:tblPr>
      <w:tblGrid>
        <w:gridCol w:w="90"/>
        <w:gridCol w:w="95"/>
        <w:gridCol w:w="10020"/>
      </w:tblGrid>
      <w:tr>
        <w:trPr/>
        <w:tc>
          <w:tcPr>
            <w:tcW w:w="90"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2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Professional fees increased to $119,000 during the three months ended June 30, 2013 from $113,000 during the prior period, due to higher legal fees incurred relating to debt issuance and other legal matters in the current period.</w:t>
            </w:r>
          </w:p>
        </w:tc>
      </w:tr>
    </w:tbl>
    <w:p>
      <w:pPr>
        <w:pStyle w:val="Normal"/>
        <w:spacing w:before="0" w:after="0"/>
        <w:rPr>
          <w:sz w:val="4"/>
          <w:szCs w:val="4"/>
        </w:rPr>
      </w:pPr>
      <w:r>
        <w:rPr>
          <w:sz w:val="4"/>
          <w:szCs w:val="4"/>
        </w:rPr>
      </w:r>
      <w:bookmarkStart w:id="323" w:name="hangingindent12"/>
      <w:bookmarkStart w:id="324" w:name="hangingindent12"/>
      <w:bookmarkEnd w:id="324"/>
    </w:p>
    <w:tbl>
      <w:tblPr>
        <w:tblW w:w="5000" w:type="pct"/>
        <w:jc w:val="center"/>
        <w:tblInd w:w="0" w:type="dxa"/>
        <w:tblCellMar>
          <w:top w:w="0" w:type="dxa"/>
          <w:left w:w="0" w:type="dxa"/>
          <w:bottom w:w="0" w:type="dxa"/>
          <w:right w:w="0" w:type="dxa"/>
        </w:tblCellMar>
      </w:tblPr>
      <w:tblGrid>
        <w:gridCol w:w="88"/>
        <w:gridCol w:w="95"/>
        <w:gridCol w:w="10022"/>
      </w:tblGrid>
      <w:tr>
        <w:trPr/>
        <w:tc>
          <w:tcPr>
            <w:tcW w:w="88"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2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Research and development decreased to $54,000 during the three months ended June 30, 2013 from $246,000 during the prior period. This was due to lower technology licensing fee and initiation of preclinical studies in the current period.</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25" w:name="PGBRK33"/>
      <w:bookmarkStart w:id="326" w:name="PGBRK33"/>
      <w:bookmarkEnd w:id="3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7" w:name="FTR33"/>
      <w:bookmarkStart w:id="328" w:name="FTR33"/>
      <w:bookmarkEnd w:id="3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29" w:name="GLFTR33"/>
      <w:bookmarkEnd w:id="32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30" w:name="PN33"/>
      <w:bookmarkEnd w:id="330"/>
      <w:r>
        <w:rPr>
          <w:rFonts w:ascii="Times New Roman" w:hAnsi="Times New Roman"/>
          <w:sz w:val="20"/>
        </w:rPr>
        <w:t>34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1" w:name="HDR33"/>
      <w:bookmarkStart w:id="332" w:name="HDR33"/>
      <w:bookmarkEnd w:id="3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33" w:name="GLHDR33"/>
      <w:bookmarkEnd w:id="33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Foreign exchange loss was $7,000 during the three months ended June 30, 2013 compared to a gain of $17,000 in the prior period primarily due to weaker USD against EURO in the current period.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Six Months Ended June 30, 2013 Compared to Six Months Ended June 30, 2012</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recorded a net loss of $1,312,000 during the six months ended June 30, 2013 compared to $3,351,000 for the six months ended June 30, 2012.</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Operating costs decreased to $1,790,000 during the six months ended June 30, 2013 compared to $3,812,000 in the prior period. Significant changes in operating expenses are outlined as follows:</w:t>
      </w:r>
    </w:p>
    <w:p>
      <w:pPr>
        <w:pStyle w:val="Normal"/>
        <w:spacing w:before="0" w:after="0"/>
        <w:rPr>
          <w:sz w:val="4"/>
          <w:szCs w:val="4"/>
        </w:rPr>
      </w:pPr>
      <w:r>
        <w:rPr>
          <w:sz w:val="4"/>
          <w:szCs w:val="4"/>
        </w:rPr>
      </w:r>
      <w:bookmarkStart w:id="334" w:name="hangingindent13"/>
      <w:bookmarkStart w:id="335" w:name="hangingindent13"/>
      <w:bookmarkEnd w:id="335"/>
    </w:p>
    <w:tbl>
      <w:tblPr>
        <w:tblW w:w="5000" w:type="pct"/>
        <w:jc w:val="center"/>
        <w:tblInd w:w="0" w:type="dxa"/>
        <w:tblCellMar>
          <w:top w:w="0" w:type="dxa"/>
          <w:left w:w="0" w:type="dxa"/>
          <w:bottom w:w="0" w:type="dxa"/>
          <w:right w:w="0" w:type="dxa"/>
        </w:tblCellMar>
      </w:tblPr>
      <w:tblGrid>
        <w:gridCol w:w="89"/>
        <w:gridCol w:w="95"/>
        <w:gridCol w:w="10021"/>
      </w:tblGrid>
      <w:tr>
        <w:trPr/>
        <w:tc>
          <w:tcPr>
            <w:tcW w:w="89"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2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Consulting fees increased to $66,000 during the six months ended June 30, 2013 from $63,000 during the prior period, due primarily to increase in cash payments for a new business development contract entered into in May 2012.</w:t>
            </w:r>
          </w:p>
        </w:tc>
      </w:tr>
    </w:tbl>
    <w:p>
      <w:pPr>
        <w:pStyle w:val="Normal"/>
        <w:spacing w:before="0" w:after="0"/>
        <w:rPr>
          <w:sz w:val="4"/>
          <w:szCs w:val="4"/>
        </w:rPr>
      </w:pPr>
      <w:r>
        <w:rPr>
          <w:sz w:val="4"/>
          <w:szCs w:val="4"/>
        </w:rPr>
      </w:r>
      <w:bookmarkStart w:id="336" w:name="hangingindent14"/>
      <w:bookmarkStart w:id="337" w:name="hangingindent14"/>
      <w:bookmarkEnd w:id="337"/>
    </w:p>
    <w:tbl>
      <w:tblPr>
        <w:tblW w:w="5000" w:type="pct"/>
        <w:jc w:val="center"/>
        <w:tblInd w:w="0" w:type="dxa"/>
        <w:tblCellMar>
          <w:top w:w="0" w:type="dxa"/>
          <w:left w:w="0" w:type="dxa"/>
          <w:bottom w:w="0" w:type="dxa"/>
          <w:right w:w="0" w:type="dxa"/>
        </w:tblCellMar>
      </w:tblPr>
      <w:tblGrid>
        <w:gridCol w:w="84"/>
        <w:gridCol w:w="95"/>
        <w:gridCol w:w="10026"/>
      </w:tblGrid>
      <w:tr>
        <w:trPr/>
        <w:tc>
          <w:tcPr>
            <w:tcW w:w="84"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2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Consulting fee - stock-based decreased to $84,000 during the six months ended June 30, 2013 from $2,174,000 during the prior period. The lower current period expense is primarily due to decreased share based payments to the consultants compared to the prior period.</w:t>
            </w:r>
          </w:p>
        </w:tc>
      </w:tr>
    </w:tbl>
    <w:p>
      <w:pPr>
        <w:pStyle w:val="Normal"/>
        <w:spacing w:before="0" w:after="0"/>
        <w:rPr>
          <w:sz w:val="4"/>
          <w:szCs w:val="4"/>
        </w:rPr>
      </w:pPr>
      <w:r>
        <w:rPr>
          <w:sz w:val="4"/>
          <w:szCs w:val="4"/>
        </w:rPr>
      </w:r>
      <w:bookmarkStart w:id="338" w:name="hangingindent15"/>
      <w:bookmarkStart w:id="339" w:name="hangingindent15"/>
      <w:bookmarkEnd w:id="339"/>
    </w:p>
    <w:tbl>
      <w:tblPr>
        <w:tblW w:w="5000" w:type="pct"/>
        <w:jc w:val="center"/>
        <w:tblInd w:w="0" w:type="dxa"/>
        <w:tblCellMar>
          <w:top w:w="0" w:type="dxa"/>
          <w:left w:w="0" w:type="dxa"/>
          <w:bottom w:w="0" w:type="dxa"/>
          <w:right w:w="0" w:type="dxa"/>
        </w:tblCellMar>
      </w:tblPr>
      <w:tblGrid>
        <w:gridCol w:w="84"/>
        <w:gridCol w:w="95"/>
        <w:gridCol w:w="10026"/>
      </w:tblGrid>
      <w:tr>
        <w:trPr/>
        <w:tc>
          <w:tcPr>
            <w:tcW w:w="84"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2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General and administrative expenses decreased to $295,000 in the six months ended June 30, 2013 from $612,000 in the prior period, with the decrease resulting from reduced staffing costs at the Company’ Seattle office and lower travel related expense in the current period.</w:t>
            </w:r>
          </w:p>
        </w:tc>
      </w:tr>
    </w:tbl>
    <w:p>
      <w:pPr>
        <w:pStyle w:val="Normal"/>
        <w:spacing w:before="0" w:after="0"/>
        <w:rPr>
          <w:sz w:val="4"/>
          <w:szCs w:val="4"/>
        </w:rPr>
      </w:pPr>
      <w:r>
        <w:rPr>
          <w:sz w:val="4"/>
          <w:szCs w:val="4"/>
        </w:rPr>
      </w:r>
      <w:bookmarkStart w:id="340" w:name="hangingindent16"/>
      <w:bookmarkStart w:id="341" w:name="hangingindent16"/>
      <w:bookmarkEnd w:id="341"/>
    </w:p>
    <w:tbl>
      <w:tblPr>
        <w:tblW w:w="5000" w:type="pct"/>
        <w:jc w:val="center"/>
        <w:tblInd w:w="0" w:type="dxa"/>
        <w:tblCellMar>
          <w:top w:w="0" w:type="dxa"/>
          <w:left w:w="0" w:type="dxa"/>
          <w:bottom w:w="0" w:type="dxa"/>
          <w:right w:w="0" w:type="dxa"/>
        </w:tblCellMar>
      </w:tblPr>
      <w:tblGrid>
        <w:gridCol w:w="90"/>
        <w:gridCol w:w="95"/>
        <w:gridCol w:w="10020"/>
      </w:tblGrid>
      <w:tr>
        <w:trPr/>
        <w:tc>
          <w:tcPr>
            <w:tcW w:w="90"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2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Interest and finance charges increased to $626,000 during the six months ended June 30, 2013 from $197,000 during the prior period. Current and prior period interest charges are primarily accretion of convertible debt notes.</w:t>
            </w:r>
          </w:p>
        </w:tc>
      </w:tr>
    </w:tbl>
    <w:p>
      <w:pPr>
        <w:pStyle w:val="Normal"/>
        <w:spacing w:before="0" w:after="0"/>
        <w:rPr>
          <w:sz w:val="4"/>
          <w:szCs w:val="4"/>
        </w:rPr>
      </w:pPr>
      <w:r>
        <w:rPr>
          <w:sz w:val="4"/>
          <w:szCs w:val="4"/>
        </w:rPr>
      </w:r>
      <w:bookmarkStart w:id="342" w:name="hangingindent17"/>
      <w:bookmarkStart w:id="343" w:name="hangingindent17"/>
      <w:bookmarkEnd w:id="343"/>
    </w:p>
    <w:tbl>
      <w:tblPr>
        <w:tblW w:w="5000" w:type="pct"/>
        <w:jc w:val="center"/>
        <w:tblInd w:w="0" w:type="dxa"/>
        <w:tblCellMar>
          <w:top w:w="0" w:type="dxa"/>
          <w:left w:w="0" w:type="dxa"/>
          <w:bottom w:w="0" w:type="dxa"/>
          <w:right w:w="0" w:type="dxa"/>
        </w:tblCellMar>
      </w:tblPr>
      <w:tblGrid>
        <w:gridCol w:w="96"/>
        <w:gridCol w:w="95"/>
        <w:gridCol w:w="10014"/>
      </w:tblGrid>
      <w:tr>
        <w:trPr/>
        <w:tc>
          <w:tcPr>
            <w:tcW w:w="96"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1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Management fees increased to $117,000 during the six months ended June 30, 2013 from $103,000 during the prior period due to one additional person in management in the current period.</w:t>
            </w:r>
          </w:p>
        </w:tc>
      </w:tr>
    </w:tbl>
    <w:p>
      <w:pPr>
        <w:pStyle w:val="Normal"/>
        <w:spacing w:before="0" w:after="0"/>
        <w:rPr>
          <w:sz w:val="4"/>
          <w:szCs w:val="4"/>
        </w:rPr>
      </w:pPr>
      <w:r>
        <w:rPr>
          <w:sz w:val="4"/>
          <w:szCs w:val="4"/>
        </w:rPr>
      </w:r>
      <w:bookmarkStart w:id="344" w:name="hangingindent18"/>
      <w:bookmarkStart w:id="345" w:name="hangingindent18"/>
      <w:bookmarkEnd w:id="345"/>
    </w:p>
    <w:tbl>
      <w:tblPr>
        <w:tblW w:w="5000" w:type="pct"/>
        <w:jc w:val="center"/>
        <w:tblInd w:w="0" w:type="dxa"/>
        <w:tblCellMar>
          <w:top w:w="0" w:type="dxa"/>
          <w:left w:w="0" w:type="dxa"/>
          <w:bottom w:w="0" w:type="dxa"/>
          <w:right w:w="0" w:type="dxa"/>
        </w:tblCellMar>
      </w:tblPr>
      <w:tblGrid>
        <w:gridCol w:w="87"/>
        <w:gridCol w:w="95"/>
        <w:gridCol w:w="10023"/>
      </w:tblGrid>
      <w:tr>
        <w:trPr/>
        <w:tc>
          <w:tcPr>
            <w:tcW w:w="87"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2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Management fees – stock-based decreased to $27,000 during the six months ended June 30, 2013 from $116,000 during the prior period. The current and prior period expense consists of the fair value of option grants earned during the period.</w:t>
            </w:r>
          </w:p>
        </w:tc>
      </w:tr>
    </w:tbl>
    <w:p>
      <w:pPr>
        <w:pStyle w:val="Normal"/>
        <w:spacing w:before="0" w:after="0"/>
        <w:rPr>
          <w:sz w:val="4"/>
          <w:szCs w:val="4"/>
        </w:rPr>
      </w:pPr>
      <w:r>
        <w:rPr>
          <w:sz w:val="4"/>
          <w:szCs w:val="4"/>
        </w:rPr>
      </w:r>
      <w:bookmarkStart w:id="346" w:name="hangingindent19"/>
      <w:bookmarkStart w:id="347" w:name="hangingindent19"/>
      <w:bookmarkEnd w:id="347"/>
    </w:p>
    <w:tbl>
      <w:tblPr>
        <w:tblW w:w="5000" w:type="pct"/>
        <w:jc w:val="center"/>
        <w:tblInd w:w="0" w:type="dxa"/>
        <w:tblCellMar>
          <w:top w:w="0" w:type="dxa"/>
          <w:left w:w="0" w:type="dxa"/>
          <w:bottom w:w="0" w:type="dxa"/>
          <w:right w:w="0" w:type="dxa"/>
        </w:tblCellMar>
      </w:tblPr>
      <w:tblGrid>
        <w:gridCol w:w="90"/>
        <w:gridCol w:w="95"/>
        <w:gridCol w:w="10020"/>
      </w:tblGrid>
      <w:tr>
        <w:trPr/>
        <w:tc>
          <w:tcPr>
            <w:tcW w:w="90"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2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Professional fees increased to $385,000 during the six months ended June 30, 2013 from $187,000 during the prior period, due to higher legal fees incurred relating to debt issuance and other legal matters in the current period.</w:t>
            </w:r>
          </w:p>
        </w:tc>
      </w:tr>
    </w:tbl>
    <w:p>
      <w:pPr>
        <w:pStyle w:val="Normal"/>
        <w:spacing w:before="0" w:after="0"/>
        <w:rPr>
          <w:sz w:val="4"/>
          <w:szCs w:val="4"/>
        </w:rPr>
      </w:pPr>
      <w:r>
        <w:rPr>
          <w:sz w:val="4"/>
          <w:szCs w:val="4"/>
        </w:rPr>
      </w:r>
      <w:bookmarkStart w:id="348" w:name="hangingindent20"/>
      <w:bookmarkStart w:id="349" w:name="hangingindent20"/>
      <w:bookmarkEnd w:id="349"/>
    </w:p>
    <w:tbl>
      <w:tblPr>
        <w:tblW w:w="5000" w:type="pct"/>
        <w:jc w:val="center"/>
        <w:tblInd w:w="0" w:type="dxa"/>
        <w:tblCellMar>
          <w:top w:w="0" w:type="dxa"/>
          <w:left w:w="0" w:type="dxa"/>
          <w:bottom w:w="0" w:type="dxa"/>
          <w:right w:w="0" w:type="dxa"/>
        </w:tblCellMar>
      </w:tblPr>
      <w:tblGrid>
        <w:gridCol w:w="88"/>
        <w:gridCol w:w="95"/>
        <w:gridCol w:w="10022"/>
      </w:tblGrid>
      <w:tr>
        <w:trPr/>
        <w:tc>
          <w:tcPr>
            <w:tcW w:w="88"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2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Research and development decreased to $189,000 during the six months ended June 30, 2013 from $361,000 during the prior period. This was due to lower technology licensing fee and initiation of preclinical studies in the current period.</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u w:val="single"/>
        </w:rPr>
      </w:pPr>
      <w:r>
        <w:rPr>
          <w:rFonts w:ascii="Times New Roman" w:hAnsi="Times New Roman"/>
          <w:b/>
          <w:i/>
          <w:sz w:val="20"/>
          <w:u w:val="single"/>
        </w:rPr>
        <w:t>Liquidity and Capital Resources</w:t>
      </w:r>
    </w:p>
    <w:p>
      <w:pPr>
        <w:pStyle w:val="TextBody"/>
        <w:spacing w:before="0" w:after="0"/>
        <w:ind w:left="0" w:right="0" w:hanging="0"/>
        <w:jc w:val="both"/>
        <w:rPr>
          <w:rFonts w:ascii="Times New Roman" w:hAnsi="Times New Roman"/>
          <w:sz w:val="20"/>
        </w:rPr>
      </w:pPr>
      <w:r>
        <w:rPr>
          <w:rFonts w:ascii="Times New Roman" w:hAnsi="Times New Roman"/>
          <w:sz w:val="20"/>
        </w:rPr>
        <w:t>At June 30, 2013, we had $45,000 in cash. Generally, we have financed our operations through the proceeds from convertible notes and the private placement of equity securities as noted in Financing Activities below. We increased our net cash by $11,000 during the three months ended June 30, 2013 compared to a decrease of $238,000 during the prior period.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Operating Activities</w:t>
      </w:r>
    </w:p>
    <w:p>
      <w:pPr>
        <w:pStyle w:val="TextBody"/>
        <w:spacing w:before="0" w:after="0"/>
        <w:ind w:left="0" w:right="0" w:hanging="0"/>
        <w:jc w:val="both"/>
        <w:rPr>
          <w:rFonts w:ascii="Times New Roman" w:hAnsi="Times New Roman"/>
          <w:sz w:val="20"/>
        </w:rPr>
      </w:pPr>
      <w:r>
        <w:rPr>
          <w:rFonts w:ascii="Times New Roman" w:hAnsi="Times New Roman"/>
          <w:sz w:val="20"/>
        </w:rPr>
        <w:t>Net cash used in operating activities during the six months ended June 30, 2013 was $620,000 compared to $824,000 during the prior period. We had no revenues during the current or prior periods. Operating expenditures, excluding non-cash interest and stock-based charges during the current period primarily consisted of consulting and management fees, office and general expenditures, and professional fees.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Investing Activities</w:t>
      </w:r>
    </w:p>
    <w:p>
      <w:pPr>
        <w:pStyle w:val="TextBody"/>
        <w:spacing w:before="0" w:after="0"/>
        <w:ind w:left="0" w:right="0" w:hanging="0"/>
        <w:jc w:val="both"/>
        <w:rPr>
          <w:rFonts w:ascii="Times New Roman" w:hAnsi="Times New Roman"/>
          <w:sz w:val="20"/>
        </w:rPr>
      </w:pPr>
      <w:r>
        <w:rPr>
          <w:rFonts w:ascii="Times New Roman" w:hAnsi="Times New Roman"/>
          <w:sz w:val="20"/>
        </w:rPr>
        <w:t>Net cash used in investing activities during the three months ended June 30, 2013 was $Nil compared to $Nil during the prior period.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Financing Activities</w:t>
      </w:r>
    </w:p>
    <w:p>
      <w:pPr>
        <w:pStyle w:val="TextBody"/>
        <w:spacing w:before="0" w:after="0"/>
        <w:ind w:left="0" w:right="0" w:hanging="0"/>
        <w:jc w:val="both"/>
        <w:rPr>
          <w:rFonts w:ascii="Times New Roman" w:hAnsi="Times New Roman"/>
          <w:sz w:val="20"/>
        </w:rPr>
      </w:pPr>
      <w:r>
        <w:rPr>
          <w:rFonts w:ascii="Times New Roman" w:hAnsi="Times New Roman"/>
          <w:sz w:val="20"/>
        </w:rPr>
        <w:t>Net cash provided by financing activities during the three months ended June 30, 2013 was $631,000 compared to $585,000 during the prior period. Current period financing consisted of proceeds from private placements and advances from related parties while prior period financing relates to proceeds from convertible notes and advances from related parties.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At June 30, 2013, we had 6,528,000 stock options and 17,279,341 share purchase warrants outstanding. The outstanding stock options had a weighted average exercise price of $0.18 per share, with the warrants having a weighted average exercise price of $0.292 per share. Accordingly, as of June 30, 2013, the outstanding options and warrants represented a total of 23,807,341 shares issuable for proceeds of approximately $1,680,000 if these options and warrants were exercised in full. The exercise of these options and warrants is completely at the discretion of the holders. There is no assurance that any of these options or warrants will be exercised.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50" w:name="PGBRK34"/>
      <w:bookmarkStart w:id="351" w:name="PGBRK34"/>
      <w:bookmarkEnd w:id="3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2" w:name="FTR34"/>
      <w:bookmarkStart w:id="353" w:name="FTR34"/>
      <w:bookmarkEnd w:id="3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54" w:name="GLFTR34"/>
      <w:bookmarkEnd w:id="35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55" w:name="PN34"/>
      <w:bookmarkEnd w:id="355"/>
      <w:r>
        <w:rPr>
          <w:rFonts w:ascii="Times New Roman" w:hAnsi="Times New Roman"/>
          <w:sz w:val="20"/>
        </w:rPr>
        <w:t>35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6" w:name="HDR34"/>
      <w:bookmarkStart w:id="357" w:name="HDR34"/>
      <w:bookmarkEnd w:id="3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58" w:name="GLHDR34"/>
      <w:bookmarkEnd w:id="35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As of June 30, 2013, we anticipate that we will need significant financing to enable us to meet our anticipated expenditures for the next 24 months, which are expected to be in the range of $5,000,000 assuming a single Phase 1 clinical trial.</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u w:val="single"/>
        </w:rPr>
      </w:pPr>
      <w:r>
        <w:rPr>
          <w:rFonts w:ascii="Times New Roman" w:hAnsi="Times New Roman"/>
          <w:b/>
          <w:i/>
          <w:sz w:val="20"/>
          <w:u w:val="single"/>
        </w:rPr>
        <w:t>Going Concern</w:t>
      </w:r>
    </w:p>
    <w:p>
      <w:pPr>
        <w:pStyle w:val="TextBody"/>
        <w:spacing w:before="0" w:after="0"/>
        <w:ind w:left="0" w:right="0" w:hanging="0"/>
        <w:jc w:val="both"/>
        <w:rPr>
          <w:rFonts w:ascii="Times New Roman" w:hAnsi="Times New Roman"/>
          <w:sz w:val="20"/>
        </w:rPr>
      </w:pPr>
      <w:r>
        <w:rPr>
          <w:rFonts w:ascii="Times New Roman" w:hAnsi="Times New Roman"/>
          <w:sz w:val="20"/>
        </w:rPr>
        <w:t>Our financial statements have been prepared assuming that we will continue as a going concern and, accordingly, do not include adjustments relating to the recoverability and realization of assets and classification of liabilities that might be necessary should we be unable to continue in operation. Our ability to continue as a going concern is dependent upon our ability to obtain the necessary financing to meet our obligations and pay our liabilities arising from our business operations when they come due. We intend to finance our anticipated operating expenses with further issuances of common stock through private placement offerings or loans from private investors. Management believes that the Company will be able to continue limited operations with accommodations from debt holders and additional temporary short term funding over the next twelve months. Due to capital market conditions, funding continues to be challenging. It is unlikely the Company will be able to continue as a going concern past a twelve month horizon if significant equity funding is not raised within this period.</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u w:val="single"/>
        </w:rPr>
      </w:pPr>
      <w:r>
        <w:rPr>
          <w:rFonts w:ascii="Times New Roman" w:hAnsi="Times New Roman"/>
          <w:b/>
          <w:i/>
          <w:sz w:val="20"/>
          <w:u w:val="single"/>
        </w:rPr>
        <w:t>Off-Balance Sheet Arrangements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Other than as disclosed in the financial statements, we have no significant off-balance sheet arrangements that have or are reasonably likely to have a material current or future effect on our financial condition, changes in financial condition, revenues or expenses, results of operations, liquidity, capital expenditures or capital resources that is material to stockholders.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u w:val="single"/>
        </w:rPr>
      </w:pPr>
      <w:r>
        <w:rPr>
          <w:rFonts w:ascii="Times New Roman" w:hAnsi="Times New Roman"/>
          <w:b/>
          <w:i/>
          <w:sz w:val="20"/>
          <w:u w:val="single"/>
        </w:rPr>
        <w:t>Critical Accounting Policies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Our consolidated financial statements and accompanying notes have been prepared in accordance with United States generally accepted accounting principles applied on a consistent basis. The preparation of financial statements in conformity with U.S. generally accepted accounting principles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regularly evaluate the accounting policies and estimates that we use to prepare our consolidated financial statements. In general, management’s estimates are based on historical experience, on information from third party professionals, and on various other assumptions that are believed to be reasonable under the facts and circumstances. Actual results could differ from those estimates made by management.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Refer to Note 2 of our consolidated financial statements for our year ended December 31, 2012 for a summary of significant accounting policies.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Item 3.</w:t>
      </w:r>
      <w:r>
        <w:rPr>
          <w:rFonts w:ascii="Times New Roman" w:hAnsi="Times New Roman"/>
          <w:b/>
          <w:sz w:val="20"/>
        </w:rPr>
        <w:t>                 </w:t>
      </w:r>
      <w:r>
        <w:rPr>
          <w:rFonts w:ascii="Times New Roman" w:hAnsi="Times New Roman"/>
          <w:b/>
          <w:sz w:val="20"/>
          <w:u w:val="single"/>
        </w:rPr>
        <w:t>Quantitative and Qualitative Disclosures About Market Risk</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are a smaller reporting company as defined by Rule 12b-2 of the Exchange Act and are not required to provide the information required under this item.</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Item 4.</w:t>
      </w:r>
      <w:r>
        <w:rPr>
          <w:rFonts w:ascii="Times New Roman" w:hAnsi="Times New Roman"/>
          <w:b/>
          <w:sz w:val="20"/>
        </w:rPr>
        <w:t>                 </w:t>
      </w:r>
      <w:r>
        <w:rPr>
          <w:rFonts w:ascii="Times New Roman" w:hAnsi="Times New Roman"/>
          <w:b/>
          <w:sz w:val="20"/>
          <w:u w:val="single"/>
        </w:rPr>
        <w:t>Controls and Procedures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u w:val="single"/>
        </w:rPr>
      </w:pPr>
      <w:r>
        <w:rPr>
          <w:rFonts w:ascii="Times New Roman" w:hAnsi="Times New Roman"/>
          <w:b/>
          <w:i/>
          <w:sz w:val="20"/>
          <w:u w:val="single"/>
        </w:rPr>
        <w:t>Evaluation of Disclosure Controls and Procedures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Our management, with the participation of our Principal Executive Officer and Principal Financial Officer, has evaluated the effectiveness of our disclosure controls and procedures (as such term is defined in Rules 13a-15(e) and 15d-15(e) under the Exchange Act, as of the end of the period covered by this report. Disclosure controls and procedures include, without limitation, controls and procedures designed to ensure that information required to be disclosed in the reports we file or submit under the Exchange Act is accumulated and communicated to management, including our Principal Executive Officer and Principal Financial Officer, as appropriate, to allow timely decisions regarding required disclosure. Based on such evaluation, our Chief Executive Officer and Chief Financial Officer has concluded that, as of the end of the period covered by this report, our disclosure controls and procedures are not effective in recording, processing, summarizing and reporting, on a timely basis, information required to be disclosed by us in the reports that we file or submit under the Exchange Act.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It should be noted that any system of controls is based in part upon certain assumptions designed to obtain reasonable (and not absolute) assurance as to its effectiveness, and there can be no assurance that any design will succeed in achieving its stated goals.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59" w:name="PGBRK35"/>
      <w:bookmarkStart w:id="360" w:name="PGBRK35"/>
      <w:bookmarkEnd w:id="3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1" w:name="FTR35"/>
      <w:bookmarkStart w:id="362" w:name="FTR35"/>
      <w:bookmarkEnd w:id="3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63" w:name="GLFTR35"/>
      <w:bookmarkEnd w:id="36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64" w:name="PN35"/>
      <w:bookmarkEnd w:id="364"/>
      <w:r>
        <w:rPr>
          <w:rFonts w:ascii="Times New Roman" w:hAnsi="Times New Roman"/>
          <w:sz w:val="20"/>
        </w:rPr>
        <w:t>36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5" w:name="HDR35"/>
      <w:bookmarkStart w:id="366" w:name="HDR35"/>
      <w:bookmarkEnd w:id="3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67" w:name="GLHDR35"/>
      <w:bookmarkEnd w:id="36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b/>
          <w:i/>
          <w:sz w:val="20"/>
          <w:u w:val="single"/>
        </w:rPr>
      </w:pPr>
      <w:r>
        <w:rPr>
          <w:rFonts w:ascii="Times New Roman" w:hAnsi="Times New Roman"/>
          <w:b/>
          <w:i/>
          <w:sz w:val="20"/>
          <w:u w:val="single"/>
        </w:rPr>
        <w:t>Management’s Report on Internal Control Over Financial Reporting</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management of the Company is responsible for establishing and maintaining adequate internal control over financial reporting, as required by Sarbanes-Oxley (SOX) Section 404 A. The Company's internal control over financial reporting is a process designed under the supervision of the Company's Principal Executive Officer and Principal Financial Officer to provide reasonable assurance regarding the reliability of financial reporting and the preparation of the Company's financial statements for external purposes in accordance with United States generally accepted accounting principles (“US GAAP”).</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of June 30, 2013, management assessed the effectiveness of the Company's internal control over financial reporting based on the criteria for effective internal control over financial reporting established in Internal Control -Integrated Framework issued by the Committee of Sponsoring Organizations of the Treadway Commission ("COSO") and SEC guidance on conducting such assessments. Based on that evaluation, they concluded that, as at June 30, 2013such internal controls and procedures were not effective to detect the inappropriate application of US GAAP rules as more fully described below.</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matters involving internal controls and procedures that the Company’s management considered to be material weaknesses under the standards of the Public Company Accounting Oversight Board were: (1) inadequate entity level controls due to an ineffective audit committee resulting from the presence of only one of independent members on the current audit committee and the presence of only one outside director on our board of directors; (2) inadequate segregation of duties consistent with control objectives; (3) insufficient written policies and procedures for accounting and financial reporting with respect to the requirements and application of US GAAP and SEC disclosure requirements; (4) ineffective controls over period end financial disclosure and reporting processes.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Management believes that none of the material weaknesses set forth above had a material adverse effect on the Company's financial results for the three months ended June 30, 2013 but management is concerned that the material weakness in entity level controls set forth in item (1) results in ineffective oversight in the establishment and monitoring of required internal controls and procedures, it could result in a material misstatement in our financial statements in future periods.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are committed to improving our financial organization. As part of this commitment, we will continue to enhance our internal control over financial reporting by: i) expanding our personnel, ii) improving segregated duties consistent with control objectives, iii) appointing more outside directors to our board of directors who shall be appointed to our audit committee resulting in a fully functioning audit committee who will undertake the oversight in the establishment and monitoring of required internal controls and procedures such as reviewing and approving estimates and assumptions made by management; and iv) preparing and implementing sufficient written policies and checklists which will set forth procedures for accounting and financial reporting with respect to the requirements and application of US GAAP and SEC disclosure requirements.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Management believes that the appointment of one or more outside directors, who shall be appointed to a fully functioning audit committee, will remedy the ineffective audit committee. To this end, Ms. Sherry Grisewood was appointed to our audit Committee in 2013. In addition, management believes that preparing and implementing sufficient written policies and checklists will remedy the following material weaknesses (i) insufficient written policies and procedures for accounting and financial reporting with respect to the requirements and application of US GAAP and SEC disclosure requirements; and (ii) ineffective controls over period end financial close and reporting processes. Further, management believes that the hiring of additional personnel will result in improved segregation of duties and provide more checks and balances within the financial reporting department.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will continue to monitor and evaluate the effectiveness of our internal controls and procedures over financial reporting on an ongoing basis and are committed to taking further action by implementing additional enhancements or improvements, or deploying additional human resources as may be deemed necessary.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This quarterly report does not include an attestation report of the Company’s registered public accounting firm regarding internal controls over financial reporting. Management’s report was not subject to attestation by the Company’s registered public accounting firm pursuant to the rules of the SEC that permit the Company to provide only management’s report in this report.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u w:val="single"/>
        </w:rPr>
      </w:pPr>
      <w:r>
        <w:rPr>
          <w:rFonts w:ascii="Times New Roman" w:hAnsi="Times New Roman"/>
          <w:b/>
          <w:i/>
          <w:sz w:val="20"/>
          <w:u w:val="single"/>
        </w:rPr>
        <w:t>Changes in Internal Control Over Financial Reporting</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There have been no changes in our internal control over financial reporting during the three months ended June 30, 2013 that have materially affected, or are reasonably likely to materially affect, our internal control over financial reporting.</w:t>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68" w:name="PGBRK36"/>
      <w:bookmarkStart w:id="369" w:name="PGBRK36"/>
      <w:bookmarkEnd w:id="3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0" w:name="FTR36"/>
      <w:bookmarkStart w:id="371" w:name="FTR36"/>
      <w:bookmarkEnd w:id="3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72" w:name="GLFTR36"/>
      <w:bookmarkEnd w:id="37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73" w:name="PN36"/>
      <w:bookmarkEnd w:id="373"/>
      <w:r>
        <w:rPr>
          <w:rFonts w:ascii="Times New Roman" w:hAnsi="Times New Roman"/>
          <w:sz w:val="20"/>
        </w:rPr>
        <w:t>37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4" w:name="HDR36"/>
      <w:bookmarkStart w:id="375" w:name="HDR36"/>
      <w:bookmarkEnd w:id="3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76" w:name="GLHDR36"/>
      <w:bookmarkEnd w:id="37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left"/>
        <w:rPr>
          <w:rFonts w:ascii="Times New Roman" w:hAnsi="Times New Roman"/>
          <w:b/>
          <w:sz w:val="24"/>
        </w:rPr>
      </w:pPr>
      <w:r>
        <w:rPr>
          <w:rFonts w:ascii="Times New Roman" w:hAnsi="Times New Roman"/>
          <w:b/>
          <w:sz w:val="24"/>
        </w:rPr>
        <w:t>PART II – OTHER INFORMATION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Item 1.</w:t>
      </w:r>
      <w:r>
        <w:rPr>
          <w:rFonts w:ascii="Times New Roman" w:hAnsi="Times New Roman"/>
          <w:b/>
          <w:sz w:val="20"/>
        </w:rPr>
        <w:t>                 </w:t>
      </w:r>
      <w:r>
        <w:rPr>
          <w:rFonts w:ascii="Times New Roman" w:hAnsi="Times New Roman"/>
          <w:b/>
          <w:sz w:val="20"/>
          <w:u w:val="single"/>
        </w:rPr>
        <w:t>Legal Proceedings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May 2012, we issued 11,200,000 shares of our common stock to two consultants.  We contested the validity of the issuances of this common stock based on our belief that the consultants did not perform the services agreed to under their respective consulting agreements.  While we initially were able to delay the sale of the contested shares, we were not successful in clawing back the contested shares.  A claim for perceived damages from Michael Gardner (one of the consultants) suffered as a result of our contesting the issuances under the consulting agreements has been filed in the Supreme Court of New York. He has based his claim for damages on the difference between market price at the time we were able to delay the sale of his shares and the market price at the time of the sale of all of his shares.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law firm that we used to pursue this action against the consultants has been awarded a judgment against us for $210,255 of legal fees.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Management is not aware of any other legal proceedings contemplated by any government authority or any other party involving the Company. As of the date of this Annual Report, no director, officer or affiliate is (i) a party adverse to us in any legal proceeding, or (ii) has an adverse interest to us in any legal proceeding. Management is not aware of any other legal proceedings pending or threatened against the Company.</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Item 1A.</w:t>
      </w:r>
      <w:r>
        <w:rPr>
          <w:rFonts w:ascii="Times New Roman" w:hAnsi="Times New Roman"/>
          <w:b/>
          <w:sz w:val="20"/>
        </w:rPr>
        <w:t>              </w:t>
      </w:r>
      <w:r>
        <w:rPr>
          <w:rFonts w:ascii="Times New Roman" w:hAnsi="Times New Roman"/>
          <w:b/>
          <w:sz w:val="20"/>
          <w:u w:val="single"/>
        </w:rPr>
        <w:t>Risk Factors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Not required.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Item 2.</w:t>
      </w:r>
      <w:r>
        <w:rPr>
          <w:rFonts w:ascii="Times New Roman" w:hAnsi="Times New Roman"/>
          <w:b/>
          <w:sz w:val="20"/>
        </w:rPr>
        <w:t>                 </w:t>
      </w:r>
      <w:r>
        <w:rPr>
          <w:rFonts w:ascii="Times New Roman" w:hAnsi="Times New Roman"/>
          <w:b/>
          <w:sz w:val="20"/>
          <w:u w:val="single"/>
        </w:rPr>
        <w:t>Unregistered Sales of Equity Securities and Use of Proceeds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May 21, 2013, we issued 2,936,618 shares of common stock in connection with the conversion of $60,000 of a promissory note.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June 11, 2013, we issued 2,113,515 shares of common stock in connection with the conversion of $52,753.35 of a promissory note.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July 15, 2013, we issued 318,823 shares of common stock as a result of the adjustment from $0.025 to $0.0217 of the conversion price used to convert $52,753.35 of promissory note.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period ended June 30, 2013, we issued 3,176,334 shares of restricted common stock for conversion of a note at a conversion price of $.0603 per share.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period ended June 30, 2013, we issued 992,063 shares of restricted common stock for partial conversion of a note at an average conversion price of $.0695 per share.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period ended June 30, 2013, we issued 1,050,000 shares of restricted common stock for partial conversion of a note at an average conversion price of $.0681 per share.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shares mentioned above were issued in reliance on exemptions from registration under Section 4(2) of the Securities Act of 1933, as amended, including Rule 506 of Regulation D. These transactions qualified for exemption from registration because among other things, the transactions did not involve a public offering, each investor was an accredited investor, each investor had access to information about our Company and their investment, each investor took the securities for investment and not resale, there was no general solicitation or advertising in connection with the placement and we took appropriate measures to restrict the transfer of the securities.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u w:val="single"/>
        </w:rPr>
        <w:t>Item 3.</w:t>
      </w:r>
      <w:r>
        <w:rPr>
          <w:rFonts w:ascii="Times New Roman" w:hAnsi="Times New Roman"/>
          <w:b/>
          <w:sz w:val="20"/>
        </w:rPr>
        <w:t>                </w:t>
      </w:r>
      <w:r>
        <w:rPr>
          <w:rFonts w:ascii="Times New Roman" w:hAnsi="Times New Roman"/>
          <w:b/>
          <w:sz w:val="20"/>
          <w:u w:val="single"/>
        </w:rPr>
        <w:t>Defaults Upon Senior Securities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is in default of the secured notes issued in February 2011. No second year amortization payments have been made to the holders as of the anniversary of the notes in February 2013 and April 2013. Interest charges will be accrued at 20% per year. The note holders have not made any demands other than the interest rate penalty and are in discussions with the Company to resolve the matter. Many of the Company’s other notes have cross default provisions, meaning that a default under the secured notes would trigger a default under those notes as well.</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was in default of the October 2012 note to a note holder due to the late filing of its annual report. Concurrent with the filing, this default will be cured. The lender has not made any claims under their default provisions and management is working closely with them to mitigate or negate any such claims.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77" w:name="PGBRK37"/>
      <w:bookmarkStart w:id="378" w:name="PGBRK37"/>
      <w:bookmarkEnd w:id="3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9" w:name="FTR37"/>
      <w:bookmarkStart w:id="380" w:name="FTR37"/>
      <w:bookmarkEnd w:id="3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81" w:name="GLFTR37"/>
      <w:bookmarkEnd w:id="38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82" w:name="PN37"/>
      <w:bookmarkEnd w:id="382"/>
      <w:r>
        <w:rPr>
          <w:rFonts w:ascii="Times New Roman" w:hAnsi="Times New Roman"/>
          <w:sz w:val="20"/>
        </w:rPr>
        <w:t>38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3" w:name="HDR37"/>
      <w:bookmarkStart w:id="384" w:name="HDR37"/>
      <w:bookmarkEnd w:id="3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85" w:name="GLHDR37"/>
      <w:bookmarkEnd w:id="38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Item 4.</w:t>
      </w:r>
      <w:r>
        <w:rPr>
          <w:rFonts w:ascii="Times New Roman" w:hAnsi="Times New Roman"/>
          <w:b/>
          <w:sz w:val="20"/>
        </w:rPr>
        <w:t>                 </w:t>
      </w:r>
      <w:r>
        <w:rPr>
          <w:rFonts w:ascii="Times New Roman" w:hAnsi="Times New Roman"/>
          <w:b/>
          <w:sz w:val="20"/>
          <w:u w:val="single"/>
        </w:rPr>
        <w:t>Mine Safety Disclosure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Not Applicable.</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Item 5.</w:t>
      </w:r>
      <w:r>
        <w:rPr>
          <w:rFonts w:ascii="Times New Roman" w:hAnsi="Times New Roman"/>
          <w:b/>
          <w:sz w:val="20"/>
        </w:rPr>
        <w:t>                 </w:t>
      </w:r>
      <w:r>
        <w:rPr>
          <w:rFonts w:ascii="Times New Roman" w:hAnsi="Times New Roman"/>
          <w:b/>
          <w:sz w:val="20"/>
          <w:u w:val="single"/>
        </w:rPr>
        <w:t>Other Information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None.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Item 6.</w:t>
      </w:r>
      <w:r>
        <w:rPr>
          <w:rFonts w:ascii="Times New Roman" w:hAnsi="Times New Roman"/>
          <w:b/>
          <w:sz w:val="20"/>
        </w:rPr>
        <w:t>                 </w:t>
      </w:r>
      <w:r>
        <w:rPr>
          <w:rFonts w:ascii="Times New Roman" w:hAnsi="Times New Roman"/>
          <w:b/>
          <w:sz w:val="20"/>
          <w:u w:val="single"/>
        </w:rPr>
        <w:t>Exhibits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following exhibits are included with this Quarterly Report on Form 10-Q:</w:t>
      </w:r>
    </w:p>
    <w:p>
      <w:pPr>
        <w:pStyle w:val="TextBody"/>
        <w:spacing w:before="0" w:after="0"/>
        <w:ind w:left="0" w:right="0" w:hanging="0"/>
        <w:jc w:val="both"/>
        <w:rPr/>
      </w:pPr>
      <w:r>
        <w:rPr/>
        <w:t> </w:t>
      </w:r>
    </w:p>
    <w:tbl>
      <w:tblPr>
        <w:tblW w:w="5000" w:type="pct"/>
        <w:jc w:val="left"/>
        <w:tblInd w:w="0" w:type="dxa"/>
        <w:tblCellMar>
          <w:top w:w="28" w:type="dxa"/>
          <w:left w:w="0" w:type="dxa"/>
          <w:bottom w:w="28" w:type="dxa"/>
          <w:right w:w="0" w:type="dxa"/>
        </w:tblCellMar>
      </w:tblPr>
      <w:tblGrid>
        <w:gridCol w:w="386"/>
        <w:gridCol w:w="1808"/>
        <w:gridCol w:w="8011"/>
      </w:tblGrid>
      <w:tr>
        <w:trPr/>
        <w:tc>
          <w:tcPr>
            <w:tcW w:w="386" w:type="dxa"/>
            <w:tcBorders>
              <w:top w:val="single" w:sz="12" w:space="0" w:color="000000"/>
              <w:bottom w:val="single" w:sz="12" w:space="0" w:color="000000"/>
            </w:tcBorders>
            <w:shd w:fill="auto" w:val="clear"/>
          </w:tcPr>
          <w:p>
            <w:pPr>
              <w:pStyle w:val="TableContents"/>
              <w:spacing w:before="0" w:after="283"/>
              <w:rPr/>
            </w:pPr>
            <w:r>
              <w:rPr/>
              <w:t xml:space="preserve">  </w:t>
            </w:r>
          </w:p>
        </w:tc>
        <w:tc>
          <w:tcPr>
            <w:tcW w:w="1808" w:type="dxa"/>
            <w:tcBorders>
              <w:top w:val="single" w:sz="12" w:space="0" w:color="000000"/>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Exhibit Number</w:t>
            </w:r>
          </w:p>
        </w:tc>
        <w:tc>
          <w:tcPr>
            <w:tcW w:w="8011" w:type="dxa"/>
            <w:tcBorders>
              <w:top w:val="single" w:sz="12" w:space="0" w:color="000000"/>
              <w:bottom w:val="single" w:sz="12" w:space="0" w:color="000000"/>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Description of Exhibit</w:t>
            </w:r>
          </w:p>
        </w:tc>
      </w:tr>
      <w:tr>
        <w:trPr/>
        <w:tc>
          <w:tcPr>
            <w:tcW w:w="386" w:type="dxa"/>
            <w:tcBorders/>
            <w:shd w:fill="auto" w:val="clear"/>
            <w:tcMar>
              <w:top w:w="0" w:type="dxa"/>
              <w:bottom w:w="0" w:type="dxa"/>
            </w:tcMar>
          </w:tcPr>
          <w:p>
            <w:pPr>
              <w:pStyle w:val="TableContents"/>
              <w:spacing w:before="0" w:after="283"/>
              <w:rPr/>
            </w:pPr>
            <w:r>
              <w:rPr/>
              <w:t xml:space="preserve">  </w:t>
            </w:r>
          </w:p>
        </w:tc>
        <w:tc>
          <w:tcPr>
            <w:tcW w:w="1808" w:type="dxa"/>
            <w:tcBorders/>
            <w:shd w:fill="auto" w:val="clear"/>
            <w:tcMar>
              <w:top w:w="0" w:type="dxa"/>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31.1</w:t>
            </w:r>
          </w:p>
        </w:tc>
        <w:tc>
          <w:tcPr>
            <w:tcW w:w="8011" w:type="dxa"/>
            <w:tcBorders/>
            <w:shd w:fill="auto" w:val="clear"/>
            <w:tcMar>
              <w:top w:w="0" w:type="dxa"/>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Certification of Principal Executive Officer and Acting Principal Accounting Officer Pursuant to Rule 13a-14(a) or 15d-14(a) of the Securities Exchange Act of 1933, as amended.</w:t>
            </w:r>
          </w:p>
        </w:tc>
      </w:tr>
      <w:tr>
        <w:trPr/>
        <w:tc>
          <w:tcPr>
            <w:tcW w:w="386" w:type="dxa"/>
            <w:tcBorders/>
            <w:shd w:fill="auto" w:val="clear"/>
            <w:tcMar>
              <w:top w:w="0" w:type="dxa"/>
              <w:bottom w:w="0" w:type="dxa"/>
            </w:tcMar>
          </w:tcPr>
          <w:p>
            <w:pPr>
              <w:pStyle w:val="TableContents"/>
              <w:spacing w:before="0" w:after="283"/>
              <w:rPr/>
            </w:pPr>
            <w:r>
              <w:rPr/>
              <w:t xml:space="preserve">  </w:t>
            </w:r>
          </w:p>
        </w:tc>
        <w:tc>
          <w:tcPr>
            <w:tcW w:w="1808" w:type="dxa"/>
            <w:tcBorders/>
            <w:shd w:fill="auto" w:val="clear"/>
            <w:tcMar>
              <w:top w:w="0" w:type="dxa"/>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32.1</w:t>
            </w:r>
          </w:p>
        </w:tc>
        <w:tc>
          <w:tcPr>
            <w:tcW w:w="8011" w:type="dxa"/>
            <w:tcBorders/>
            <w:shd w:fill="auto" w:val="clear"/>
            <w:tcMar>
              <w:top w:w="0" w:type="dxa"/>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Certification of Principal Executive Officer and Acting Principal Accounting Officer pursuant to 18 U.S.C. 1350 as adopted pursuant to Section 906 of the Sarbanes-Oxley Act of 2002.</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Exhibit 101</w:t>
      </w:r>
    </w:p>
    <w:p>
      <w:pPr>
        <w:pStyle w:val="TextBody"/>
        <w:spacing w:before="0" w:after="0"/>
        <w:ind w:left="0" w:right="0" w:hanging="0"/>
        <w:jc w:val="both"/>
        <w:rPr>
          <w:rFonts w:ascii="Times New Roman" w:hAnsi="Times New Roman"/>
          <w:sz w:val="20"/>
        </w:rPr>
      </w:pPr>
      <w:r>
        <w:rPr>
          <w:rFonts w:ascii="Times New Roman" w:hAnsi="Times New Roman"/>
          <w:sz w:val="20"/>
        </w:rPr>
        <w:t>101.INS - XBRL Instance Document</w:t>
      </w:r>
    </w:p>
    <w:p>
      <w:pPr>
        <w:pStyle w:val="TextBody"/>
        <w:spacing w:before="0" w:after="0"/>
        <w:ind w:left="0" w:right="0" w:hanging="0"/>
        <w:jc w:val="both"/>
        <w:rPr>
          <w:rFonts w:ascii="Times New Roman" w:hAnsi="Times New Roman"/>
          <w:sz w:val="20"/>
        </w:rPr>
      </w:pPr>
      <w:r>
        <w:rPr>
          <w:rFonts w:ascii="Times New Roman" w:hAnsi="Times New Roman"/>
          <w:sz w:val="20"/>
        </w:rPr>
        <w:t>101.SCH - XBRL Taxonomy Extension Schema Document</w:t>
      </w:r>
    </w:p>
    <w:p>
      <w:pPr>
        <w:pStyle w:val="TextBody"/>
        <w:spacing w:before="0" w:after="0"/>
        <w:ind w:left="0" w:right="0" w:hanging="0"/>
        <w:jc w:val="both"/>
        <w:rPr>
          <w:rFonts w:ascii="Times New Roman" w:hAnsi="Times New Roman"/>
          <w:sz w:val="20"/>
        </w:rPr>
      </w:pPr>
      <w:r>
        <w:rPr>
          <w:rFonts w:ascii="Times New Roman" w:hAnsi="Times New Roman"/>
          <w:sz w:val="20"/>
        </w:rPr>
        <w:t>101.CAL - XBRL Taxonomy Extension Calculation Linkbase Document</w:t>
      </w:r>
    </w:p>
    <w:p>
      <w:pPr>
        <w:pStyle w:val="TextBody"/>
        <w:spacing w:before="0" w:after="0"/>
        <w:ind w:left="0" w:right="0" w:hanging="0"/>
        <w:jc w:val="both"/>
        <w:rPr>
          <w:rFonts w:ascii="Times New Roman" w:hAnsi="Times New Roman"/>
          <w:sz w:val="20"/>
        </w:rPr>
      </w:pPr>
      <w:r>
        <w:rPr>
          <w:rFonts w:ascii="Times New Roman" w:hAnsi="Times New Roman"/>
          <w:sz w:val="20"/>
        </w:rPr>
        <w:t>101.DEF - XBRL Taxonomy Extension Definition Linkbase Document</w:t>
      </w:r>
    </w:p>
    <w:p>
      <w:pPr>
        <w:pStyle w:val="TextBody"/>
        <w:spacing w:before="0" w:after="0"/>
        <w:ind w:left="0" w:right="0" w:hanging="0"/>
        <w:jc w:val="both"/>
        <w:rPr>
          <w:rFonts w:ascii="Times New Roman" w:hAnsi="Times New Roman"/>
          <w:sz w:val="20"/>
        </w:rPr>
      </w:pPr>
      <w:r>
        <w:rPr>
          <w:rFonts w:ascii="Times New Roman" w:hAnsi="Times New Roman"/>
          <w:sz w:val="20"/>
        </w:rPr>
        <w:t>101.LAB - XBRL Taxonomy Extension Label Linkbase Document</w:t>
      </w:r>
    </w:p>
    <w:p>
      <w:pPr>
        <w:pStyle w:val="TextBody"/>
        <w:spacing w:before="0" w:after="0"/>
        <w:ind w:left="0" w:right="0" w:hanging="0"/>
        <w:jc w:val="both"/>
        <w:rPr>
          <w:rFonts w:ascii="Times New Roman" w:hAnsi="Times New Roman"/>
          <w:sz w:val="20"/>
        </w:rPr>
      </w:pPr>
      <w:r>
        <w:rPr>
          <w:rFonts w:ascii="Times New Roman" w:hAnsi="Times New Roman"/>
          <w:sz w:val="20"/>
        </w:rPr>
        <w:t>101.PRE - XBRL Taxonomy Extension Presentation Linkbase Document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86" w:name="PGBRK38"/>
      <w:bookmarkStart w:id="387" w:name="PGBRK38"/>
      <w:bookmarkEnd w:id="3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8" w:name="FTR38"/>
      <w:bookmarkStart w:id="389" w:name="FTR38"/>
      <w:bookmarkEnd w:id="3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90" w:name="GLFTR38"/>
      <w:bookmarkEnd w:id="39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91" w:name="PN38"/>
      <w:bookmarkEnd w:id="391"/>
      <w:r>
        <w:rPr>
          <w:rFonts w:ascii="Times New Roman" w:hAnsi="Times New Roman"/>
          <w:sz w:val="20"/>
        </w:rPr>
        <w:t>39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92" w:name="HDR38"/>
      <w:bookmarkStart w:id="393" w:name="HDR38"/>
      <w:bookmarkEnd w:id="3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94" w:name="GLHDR38"/>
      <w:bookmarkEnd w:id="39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SIGNATURES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accordance with the requirements of the Exchange Act, the registrant caused this report to be signed on its behalf by the undersigned, thereunto duly authorized.</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TAPIMMUNE INC.</w:t>
      </w:r>
    </w:p>
    <w:tbl>
      <w:tblPr>
        <w:tblW w:w="5000" w:type="pct"/>
        <w:jc w:val="left"/>
        <w:tblInd w:w="0" w:type="dxa"/>
        <w:tblCellMar>
          <w:top w:w="0" w:type="dxa"/>
          <w:left w:w="0" w:type="dxa"/>
          <w:bottom w:w="0" w:type="dxa"/>
          <w:right w:w="0" w:type="dxa"/>
        </w:tblCellMar>
      </w:tblPr>
      <w:tblGrid>
        <w:gridCol w:w="1154"/>
        <w:gridCol w:w="9051"/>
      </w:tblGrid>
      <w:tr>
        <w:trPr/>
        <w:tc>
          <w:tcPr>
            <w:tcW w:w="1154" w:type="dxa"/>
            <w:tcBorders/>
            <w:shd w:fill="auto" w:val="clear"/>
          </w:tcPr>
          <w:p>
            <w:pPr>
              <w:pStyle w:val="TableContents"/>
              <w:spacing w:before="0" w:after="283"/>
              <w:rPr/>
            </w:pPr>
            <w:r>
              <w:rPr/>
              <w:t xml:space="preserve">  </w:t>
            </w:r>
          </w:p>
        </w:tc>
        <w:tc>
          <w:tcPr>
            <w:tcW w:w="9051" w:type="dxa"/>
            <w:tcBorders/>
            <w:shd w:fill="auto" w:val="clear"/>
          </w:tcPr>
          <w:p>
            <w:pPr>
              <w:pStyle w:val="TableContents"/>
              <w:spacing w:before="0" w:after="0"/>
              <w:ind w:left="0" w:right="0" w:hanging="0"/>
              <w:rPr/>
            </w:pPr>
            <w:r>
              <w:rPr/>
              <w:t> </w:t>
            </w:r>
          </w:p>
          <w:p>
            <w:pPr>
              <w:pStyle w:val="TableContents"/>
              <w:spacing w:before="0" w:after="0"/>
              <w:ind w:left="720" w:right="0" w:hanging="720"/>
              <w:jc w:val="both"/>
              <w:rPr>
                <w:rFonts w:ascii="times new roman" w:hAnsi="times new roman"/>
                <w:i/>
                <w:sz w:val="20"/>
                <w:u w:val="single"/>
              </w:rPr>
            </w:pPr>
            <w:r>
              <w:rPr>
                <w:rFonts w:ascii="times new roman" w:hAnsi="times new roman"/>
                <w:i/>
                <w:sz w:val="20"/>
                <w:u w:val="single"/>
              </w:rPr>
              <w:t>/s/ Glynn Wilson</w:t>
            </w:r>
          </w:p>
        </w:tc>
      </w:tr>
      <w:tr>
        <w:trPr/>
        <w:tc>
          <w:tcPr>
            <w:tcW w:w="1154" w:type="dxa"/>
            <w:tcBorders/>
            <w:shd w:fill="auto" w:val="clear"/>
          </w:tcPr>
          <w:p>
            <w:pPr>
              <w:pStyle w:val="TableContents"/>
              <w:spacing w:before="0" w:after="283"/>
              <w:rPr/>
            </w:pPr>
            <w:r>
              <w:rPr/>
              <w:t xml:space="preserve">  </w:t>
            </w:r>
          </w:p>
        </w:tc>
        <w:tc>
          <w:tcPr>
            <w:tcW w:w="9051"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Glynn Wilson</w:t>
            </w:r>
          </w:p>
          <w:p>
            <w:pPr>
              <w:pStyle w:val="TableContents"/>
              <w:spacing w:before="0" w:after="0"/>
              <w:ind w:left="0" w:right="0" w:hanging="0"/>
              <w:jc w:val="left"/>
              <w:rPr>
                <w:rFonts w:ascii="times new roman" w:hAnsi="times new roman"/>
                <w:sz w:val="20"/>
              </w:rPr>
            </w:pPr>
            <w:r>
              <w:rPr>
                <w:rFonts w:ascii="times new roman" w:hAnsi="times new roman"/>
                <w:sz w:val="20"/>
              </w:rPr>
              <w:t>Chairman, Chief Executive Officer, Principal Executive Officer and Chief Financial Officer</w:t>
            </w:r>
          </w:p>
          <w:p>
            <w:pPr>
              <w:pStyle w:val="TableContents"/>
              <w:spacing w:before="0" w:after="0"/>
              <w:ind w:left="0" w:right="0" w:hanging="0"/>
              <w:jc w:val="left"/>
              <w:rPr>
                <w:rFonts w:ascii="times new roman" w:hAnsi="times new roman"/>
                <w:sz w:val="20"/>
              </w:rPr>
            </w:pPr>
            <w:r>
              <w:rPr>
                <w:rFonts w:ascii="times new roman" w:hAnsi="times new roman"/>
                <w:sz w:val="20"/>
              </w:rPr>
              <w:t>Date:  August 19, 2013.</w:t>
            </w:r>
          </w:p>
        </w:tc>
      </w:tr>
      <w:tr>
        <w:trPr/>
        <w:tc>
          <w:tcPr>
            <w:tcW w:w="1154" w:type="dxa"/>
            <w:tcBorders/>
            <w:shd w:fill="auto" w:val="clear"/>
          </w:tcPr>
          <w:p>
            <w:pPr>
              <w:pStyle w:val="TableContents"/>
              <w:spacing w:before="0" w:after="283"/>
              <w:rPr/>
            </w:pPr>
            <w:r>
              <w:rPr/>
              <w:t xml:space="preserve">  </w:t>
            </w:r>
          </w:p>
        </w:tc>
        <w:tc>
          <w:tcPr>
            <w:tcW w:w="9051" w:type="dxa"/>
            <w:tcBorders/>
            <w:shd w:fill="auto" w:val="clear"/>
          </w:tcPr>
          <w:p>
            <w:pPr>
              <w:pStyle w:val="TableContents"/>
              <w:spacing w:before="0" w:after="283"/>
              <w:rPr/>
            </w:pPr>
            <w:r>
              <w:rPr/>
              <w:t xml:space="preserve">  </w:t>
            </w:r>
          </w:p>
        </w:tc>
      </w:tr>
      <w:tr>
        <w:trPr/>
        <w:tc>
          <w:tcPr>
            <w:tcW w:w="1154" w:type="dxa"/>
            <w:tcBorders/>
            <w:shd w:fill="auto" w:val="clear"/>
          </w:tcPr>
          <w:p>
            <w:pPr>
              <w:pStyle w:val="TableContents"/>
              <w:spacing w:before="0" w:after="283"/>
              <w:rPr/>
            </w:pPr>
            <w:r>
              <w:rPr/>
              <w:t xml:space="preserve">  </w:t>
            </w:r>
          </w:p>
        </w:tc>
        <w:tc>
          <w:tcPr>
            <w:tcW w:w="9051" w:type="dxa"/>
            <w:tcBorders/>
            <w:shd w:fill="auto" w:val="clear"/>
          </w:tcPr>
          <w:p>
            <w:pPr>
              <w:pStyle w:val="TableContents"/>
              <w:spacing w:before="0" w:after="283"/>
              <w:rPr/>
            </w:pPr>
            <w:r>
              <w:rPr/>
              <w:t xml:space="preserve">  </w:t>
            </w:r>
          </w:p>
        </w:tc>
      </w:tr>
    </w:tbl>
    <w:p>
      <w:pPr>
        <w:pStyle w:val="TextBody"/>
        <w:spacing w:before="0" w:after="0"/>
        <w:ind w:left="0" w:right="0" w:hanging="0"/>
        <w:rPr/>
      </w:pPr>
      <w:r>
        <w:rPr/>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HorizontalLine"/>
        <w:pBdr>
          <w:bottom w:val="single" w:sz="24" w:space="0" w:color="808080"/>
        </w:pBdr>
        <w:rPr/>
      </w:pPr>
      <w:r>
        <w:rPr/>
      </w:r>
      <w:r>
        <w:br w:type="page"/>
      </w:r>
    </w:p>
    <w:p>
      <w:pPr>
        <w:pStyle w:val="TextBody"/>
        <w:spacing w:before="0" w:after="0"/>
        <w:rPr/>
      </w:pPr>
      <w:bookmarkStart w:id="395" w:name="exhibit31-1.htm"/>
      <w:bookmarkStart w:id="396" w:name="ksexhibit311"/>
      <w:bookmarkEnd w:id="395"/>
      <w:bookmarkEnd w:id="396"/>
      <w:r>
        <w:rPr/>
        <w:t> </w:t>
      </w:r>
    </w:p>
    <w:p>
      <w:pPr>
        <w:pStyle w:val="TextBody"/>
        <w:spacing w:before="0" w:after="0"/>
        <w:rPr/>
      </w:pPr>
      <w:r>
        <w:rPr/>
        <w:t> </w:t>
      </w:r>
    </w:p>
    <w:p>
      <w:pPr>
        <w:pStyle w:val="HorizontalLine"/>
        <w:pBdr>
          <w:bottom w:val="single" w:sz="24" w:space="0" w:color="808080"/>
        </w:pBdr>
        <w:rPr/>
      </w:pPr>
      <w:r>
        <w:rPr/>
      </w:r>
    </w:p>
    <w:p>
      <w:pPr>
        <w:pStyle w:val="HorizontalLine"/>
        <w:pBdr>
          <w:bottom w:val="single" w:sz="6" w:space="0" w:color="808080"/>
        </w:pBdr>
        <w:rPr/>
      </w:pPr>
      <w:r>
        <w:rPr/>
      </w:r>
    </w:p>
    <w:p>
      <w:pPr>
        <w:pStyle w:val="TextBody"/>
        <w:spacing w:before="0" w:after="0"/>
        <w:ind w:left="0" w:right="0" w:hanging="0"/>
        <w:jc w:val="right"/>
        <w:rPr>
          <w:rFonts w:ascii="Times New Roman" w:hAnsi="Times New Roman"/>
          <w:b/>
          <w:sz w:val="20"/>
        </w:rPr>
      </w:pPr>
      <w:r>
        <w:rPr>
          <w:rFonts w:ascii="Times New Roman" w:hAnsi="Times New Roman"/>
          <w:b/>
          <w:sz w:val="20"/>
        </w:rPr>
        <w:t>Exhibit 31.1</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 Glynn Wilson, certify that:</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97" w:name="hangingindent21"/>
      <w:bookmarkStart w:id="398" w:name="hangingindent21"/>
      <w:bookmarkEnd w:id="398"/>
    </w:p>
    <w:tbl>
      <w:tblPr>
        <w:tblW w:w="5000" w:type="pct"/>
        <w:jc w:val="center"/>
        <w:tblInd w:w="0" w:type="dxa"/>
        <w:tblCellMar>
          <w:top w:w="0" w:type="dxa"/>
          <w:left w:w="0" w:type="dxa"/>
          <w:bottom w:w="0" w:type="dxa"/>
          <w:right w:w="0" w:type="dxa"/>
        </w:tblCellMar>
      </w:tblPr>
      <w:tblGrid>
        <w:gridCol w:w="279"/>
        <w:gridCol w:w="9926"/>
      </w:tblGrid>
      <w:tr>
        <w:trPr/>
        <w:tc>
          <w:tcPr>
            <w:tcW w:w="27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92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 have reviewed this Report on Form 10-Q for the quarterly period ended June 30, 2013 of TapImmune Inc.;</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99" w:name="hangingindent22"/>
      <w:bookmarkStart w:id="400" w:name="hangingindent22"/>
      <w:bookmarkEnd w:id="400"/>
    </w:p>
    <w:tbl>
      <w:tblPr>
        <w:tblW w:w="5000" w:type="pct"/>
        <w:jc w:val="center"/>
        <w:tblInd w:w="0" w:type="dxa"/>
        <w:tblCellMar>
          <w:top w:w="0" w:type="dxa"/>
          <w:left w:w="0" w:type="dxa"/>
          <w:bottom w:w="0" w:type="dxa"/>
          <w:right w:w="0" w:type="dxa"/>
        </w:tblCellMar>
      </w:tblPr>
      <w:tblGrid>
        <w:gridCol w:w="207"/>
        <w:gridCol w:w="9998"/>
      </w:tblGrid>
      <w:tr>
        <w:trPr/>
        <w:tc>
          <w:tcPr>
            <w:tcW w:w="20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999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01" w:name="hangingindent23"/>
      <w:bookmarkStart w:id="402" w:name="hangingindent23"/>
      <w:bookmarkEnd w:id="402"/>
    </w:p>
    <w:tbl>
      <w:tblPr>
        <w:tblW w:w="5000" w:type="pct"/>
        <w:jc w:val="center"/>
        <w:tblInd w:w="0" w:type="dxa"/>
        <w:tblCellMar>
          <w:top w:w="0" w:type="dxa"/>
          <w:left w:w="0" w:type="dxa"/>
          <w:bottom w:w="0" w:type="dxa"/>
          <w:right w:w="0" w:type="dxa"/>
        </w:tblCellMar>
      </w:tblPr>
      <w:tblGrid>
        <w:gridCol w:w="209"/>
        <w:gridCol w:w="9996"/>
      </w:tblGrid>
      <w:tr>
        <w:trPr/>
        <w:tc>
          <w:tcPr>
            <w:tcW w:w="20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(3)</w:t>
            </w:r>
          </w:p>
        </w:tc>
        <w:tc>
          <w:tcPr>
            <w:tcW w:w="999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03" w:name="hangingindent24"/>
      <w:bookmarkStart w:id="404" w:name="hangingindent24"/>
      <w:bookmarkEnd w:id="404"/>
    </w:p>
    <w:tbl>
      <w:tblPr>
        <w:tblW w:w="5000" w:type="pct"/>
        <w:jc w:val="center"/>
        <w:tblInd w:w="0" w:type="dxa"/>
        <w:tblCellMar>
          <w:top w:w="0" w:type="dxa"/>
          <w:left w:w="0" w:type="dxa"/>
          <w:bottom w:w="0" w:type="dxa"/>
          <w:right w:w="0" w:type="dxa"/>
        </w:tblCellMar>
      </w:tblPr>
      <w:tblGrid>
        <w:gridCol w:w="205"/>
        <w:gridCol w:w="10000"/>
      </w:tblGrid>
      <w:tr>
        <w:trPr/>
        <w:tc>
          <w:tcPr>
            <w:tcW w:w="20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(4)</w:t>
            </w:r>
          </w:p>
        </w:tc>
        <w:tc>
          <w:tcPr>
            <w:tcW w:w="1000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05" w:name="hangingindent25"/>
      <w:bookmarkStart w:id="406" w:name="hangingindent25"/>
      <w:bookmarkEnd w:id="406"/>
    </w:p>
    <w:tbl>
      <w:tblPr>
        <w:tblW w:w="5000" w:type="pct"/>
        <w:jc w:val="center"/>
        <w:tblInd w:w="0" w:type="dxa"/>
        <w:tblCellMar>
          <w:top w:w="0" w:type="dxa"/>
          <w:left w:w="0" w:type="dxa"/>
          <w:bottom w:w="0" w:type="dxa"/>
          <w:right w:w="0" w:type="dxa"/>
        </w:tblCellMar>
      </w:tblPr>
      <w:tblGrid>
        <w:gridCol w:w="77"/>
        <w:gridCol w:w="188"/>
        <w:gridCol w:w="9940"/>
      </w:tblGrid>
      <w:tr>
        <w:trPr/>
        <w:tc>
          <w:tcPr>
            <w:tcW w:w="77" w:type="dxa"/>
            <w:tcBorders/>
            <w:shd w:fill="auto" w:val="clear"/>
          </w:tcPr>
          <w:p>
            <w:pPr>
              <w:pStyle w:val="TableContents"/>
              <w:spacing w:before="0" w:after="0"/>
              <w:rPr/>
            </w:pPr>
            <w:r>
              <w:rPr/>
              <w:t xml:space="preserve">  </w:t>
            </w:r>
          </w:p>
        </w:tc>
        <w:tc>
          <w:tcPr>
            <w:tcW w:w="18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94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07" w:name="hangingindent26"/>
      <w:bookmarkStart w:id="408" w:name="hangingindent26"/>
      <w:bookmarkEnd w:id="408"/>
    </w:p>
    <w:tbl>
      <w:tblPr>
        <w:tblW w:w="5000" w:type="pct"/>
        <w:jc w:val="center"/>
        <w:tblInd w:w="0" w:type="dxa"/>
        <w:tblCellMar>
          <w:top w:w="0" w:type="dxa"/>
          <w:left w:w="0" w:type="dxa"/>
          <w:bottom w:w="0" w:type="dxa"/>
          <w:right w:w="0" w:type="dxa"/>
        </w:tblCellMar>
      </w:tblPr>
      <w:tblGrid>
        <w:gridCol w:w="78"/>
        <w:gridCol w:w="204"/>
        <w:gridCol w:w="9923"/>
      </w:tblGrid>
      <w:tr>
        <w:trPr/>
        <w:tc>
          <w:tcPr>
            <w:tcW w:w="78" w:type="dxa"/>
            <w:tcBorders/>
            <w:shd w:fill="auto" w:val="clear"/>
          </w:tcPr>
          <w:p>
            <w:pPr>
              <w:pStyle w:val="TableContents"/>
              <w:spacing w:before="0" w:after="0"/>
              <w:rPr/>
            </w:pPr>
            <w:r>
              <w:rPr/>
              <w:t xml:space="preserve">  </w:t>
            </w:r>
          </w:p>
        </w:tc>
        <w:tc>
          <w:tcPr>
            <w:tcW w:w="20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92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09" w:name="hangingindent27"/>
      <w:bookmarkStart w:id="410" w:name="hangingindent27"/>
      <w:bookmarkEnd w:id="410"/>
    </w:p>
    <w:tbl>
      <w:tblPr>
        <w:tblW w:w="5000" w:type="pct"/>
        <w:jc w:val="center"/>
        <w:tblInd w:w="0" w:type="dxa"/>
        <w:tblCellMar>
          <w:top w:w="0" w:type="dxa"/>
          <w:left w:w="0" w:type="dxa"/>
          <w:bottom w:w="0" w:type="dxa"/>
          <w:right w:w="0" w:type="dxa"/>
        </w:tblCellMar>
      </w:tblPr>
      <w:tblGrid>
        <w:gridCol w:w="84"/>
        <w:gridCol w:w="195"/>
        <w:gridCol w:w="9926"/>
      </w:tblGrid>
      <w:tr>
        <w:trPr/>
        <w:tc>
          <w:tcPr>
            <w:tcW w:w="84" w:type="dxa"/>
            <w:tcBorders/>
            <w:shd w:fill="auto" w:val="clear"/>
          </w:tcPr>
          <w:p>
            <w:pPr>
              <w:pStyle w:val="TableContents"/>
              <w:spacing w:before="0" w:after="0"/>
              <w:rPr/>
            </w:pPr>
            <w:r>
              <w:rPr/>
              <w:t xml:space="preserve">  </w:t>
            </w:r>
          </w:p>
        </w:tc>
        <w:tc>
          <w:tcPr>
            <w:tcW w:w="19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(c)</w:t>
            </w:r>
          </w:p>
        </w:tc>
        <w:tc>
          <w:tcPr>
            <w:tcW w:w="992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11" w:name="hangingindent28"/>
      <w:bookmarkStart w:id="412" w:name="hangingindent28"/>
      <w:bookmarkEnd w:id="412"/>
    </w:p>
    <w:tbl>
      <w:tblPr>
        <w:tblW w:w="5000" w:type="pct"/>
        <w:jc w:val="center"/>
        <w:tblInd w:w="0" w:type="dxa"/>
        <w:tblCellMar>
          <w:top w:w="0" w:type="dxa"/>
          <w:left w:w="0" w:type="dxa"/>
          <w:bottom w:w="0" w:type="dxa"/>
          <w:right w:w="0" w:type="dxa"/>
        </w:tblCellMar>
      </w:tblPr>
      <w:tblGrid>
        <w:gridCol w:w="78"/>
        <w:gridCol w:w="204"/>
        <w:gridCol w:w="9923"/>
      </w:tblGrid>
      <w:tr>
        <w:trPr/>
        <w:tc>
          <w:tcPr>
            <w:tcW w:w="78" w:type="dxa"/>
            <w:tcBorders/>
            <w:shd w:fill="auto" w:val="clear"/>
          </w:tcPr>
          <w:p>
            <w:pPr>
              <w:pStyle w:val="TableContents"/>
              <w:spacing w:before="0" w:after="0"/>
              <w:rPr/>
            </w:pPr>
            <w:r>
              <w:rPr/>
              <w:t xml:space="preserve">  </w:t>
            </w:r>
          </w:p>
        </w:tc>
        <w:tc>
          <w:tcPr>
            <w:tcW w:w="20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(d)</w:t>
            </w:r>
          </w:p>
        </w:tc>
        <w:tc>
          <w:tcPr>
            <w:tcW w:w="992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13" w:name="hangingindent29"/>
      <w:bookmarkStart w:id="414" w:name="hangingindent29"/>
      <w:bookmarkEnd w:id="414"/>
    </w:p>
    <w:tbl>
      <w:tblPr>
        <w:tblW w:w="5000" w:type="pct"/>
        <w:jc w:val="center"/>
        <w:tblInd w:w="0" w:type="dxa"/>
        <w:tblCellMar>
          <w:top w:w="0" w:type="dxa"/>
          <w:left w:w="0" w:type="dxa"/>
          <w:bottom w:w="0" w:type="dxa"/>
          <w:right w:w="0" w:type="dxa"/>
        </w:tblCellMar>
      </w:tblPr>
      <w:tblGrid>
        <w:gridCol w:w="208"/>
        <w:gridCol w:w="9997"/>
      </w:tblGrid>
      <w:tr>
        <w:trPr/>
        <w:tc>
          <w:tcPr>
            <w:tcW w:w="20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(5)</w:t>
            </w:r>
          </w:p>
        </w:tc>
        <w:tc>
          <w:tcPr>
            <w:tcW w:w="999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registrant’s other certifying officer(s) and I have disclosed, based on our most recent evaluation of the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15" w:name="hangingindent30"/>
      <w:bookmarkStart w:id="416" w:name="hangingindent30"/>
      <w:bookmarkEnd w:id="416"/>
    </w:p>
    <w:tbl>
      <w:tblPr>
        <w:tblW w:w="5000" w:type="pct"/>
        <w:jc w:val="center"/>
        <w:tblInd w:w="0" w:type="dxa"/>
        <w:tblCellMar>
          <w:top w:w="0" w:type="dxa"/>
          <w:left w:w="0" w:type="dxa"/>
          <w:bottom w:w="0" w:type="dxa"/>
          <w:right w:w="0" w:type="dxa"/>
        </w:tblCellMar>
      </w:tblPr>
      <w:tblGrid>
        <w:gridCol w:w="85"/>
        <w:gridCol w:w="196"/>
        <w:gridCol w:w="9924"/>
      </w:tblGrid>
      <w:tr>
        <w:trPr/>
        <w:tc>
          <w:tcPr>
            <w:tcW w:w="85" w:type="dxa"/>
            <w:tcBorders/>
            <w:shd w:fill="auto" w:val="clear"/>
          </w:tcPr>
          <w:p>
            <w:pPr>
              <w:pStyle w:val="TableContents"/>
              <w:spacing w:before="0" w:after="0"/>
              <w:rPr/>
            </w:pPr>
            <w:r>
              <w:rPr/>
              <w:t xml:space="preserve">  </w:t>
            </w:r>
          </w:p>
        </w:tc>
        <w:tc>
          <w:tcPr>
            <w:tcW w:w="196"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92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17" w:name="hangingindent31"/>
      <w:bookmarkStart w:id="418" w:name="hangingindent31"/>
      <w:bookmarkEnd w:id="418"/>
    </w:p>
    <w:tbl>
      <w:tblPr>
        <w:tblW w:w="5000" w:type="pct"/>
        <w:jc w:val="center"/>
        <w:tblInd w:w="0" w:type="dxa"/>
        <w:tblCellMar>
          <w:top w:w="0" w:type="dxa"/>
          <w:left w:w="0" w:type="dxa"/>
          <w:bottom w:w="0" w:type="dxa"/>
          <w:right w:w="0" w:type="dxa"/>
        </w:tblCellMar>
      </w:tblPr>
      <w:tblGrid>
        <w:gridCol w:w="101"/>
        <w:gridCol w:w="227"/>
        <w:gridCol w:w="9877"/>
      </w:tblGrid>
      <w:tr>
        <w:trPr/>
        <w:tc>
          <w:tcPr>
            <w:tcW w:w="101" w:type="dxa"/>
            <w:tcBorders/>
            <w:shd w:fill="auto" w:val="clear"/>
          </w:tcPr>
          <w:p>
            <w:pPr>
              <w:pStyle w:val="TableContents"/>
              <w:spacing w:before="0" w:after="0"/>
              <w:rPr/>
            </w:pPr>
            <w:r>
              <w:rPr/>
              <w:t xml:space="preserve">  </w:t>
            </w:r>
          </w:p>
        </w:tc>
        <w:tc>
          <w:tcPr>
            <w:tcW w:w="22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87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Date: August 19, 2013.</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/s/ Glynn Wilson</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By: </w:t>
      </w:r>
      <w:r>
        <w:rPr>
          <w:rFonts w:ascii="Times New Roman" w:hAnsi="Times New Roman"/>
          <w:b/>
          <w:sz w:val="20"/>
        </w:rPr>
        <w:t>Glynn Wilson</w:t>
      </w:r>
    </w:p>
    <w:p>
      <w:pPr>
        <w:pStyle w:val="TextBody"/>
        <w:spacing w:before="0" w:after="0"/>
        <w:ind w:left="0" w:right="0" w:hanging="0"/>
        <w:jc w:val="left"/>
        <w:rPr>
          <w:rFonts w:ascii="Times New Roman" w:hAnsi="Times New Roman"/>
          <w:sz w:val="20"/>
        </w:rPr>
      </w:pPr>
      <w:r>
        <w:rPr>
          <w:rFonts w:ascii="Times New Roman" w:hAnsi="Times New Roman"/>
          <w:sz w:val="20"/>
        </w:rPr>
        <w:t>Title: Chairman, Chief Executive Officer, Principal Executive Officer and Acting Principal Accounting Officer</w:t>
      </w:r>
    </w:p>
    <w:p>
      <w:pPr>
        <w:pStyle w:val="TextBody"/>
        <w:spacing w:before="0" w:after="0"/>
        <w:ind w:left="0" w:right="0" w:hanging="0"/>
        <w:rPr/>
      </w:pPr>
      <w:r>
        <w:rPr/>
        <w:br/>
        <w:t> </w:t>
      </w:r>
    </w:p>
    <w:p>
      <w:pPr>
        <w:pStyle w:val="HorizontalLine"/>
        <w:pBdr>
          <w:bottom w:val="single" w:sz="6" w:space="0" w:color="808080"/>
        </w:pBdr>
        <w:rPr/>
      </w:pPr>
      <w:r>
        <w:rPr/>
      </w:r>
    </w:p>
    <w:p>
      <w:pPr>
        <w:pStyle w:val="HorizontalLine"/>
        <w:pBdr>
          <w:bottom w:val="single" w:sz="24" w:space="0" w:color="808080"/>
        </w:pBdr>
        <w:rPr/>
      </w:pPr>
      <w:r>
        <w:rPr/>
      </w:r>
      <w:r>
        <w:br w:type="page"/>
      </w:r>
    </w:p>
    <w:p>
      <w:pPr>
        <w:pStyle w:val="HorizontalLine"/>
        <w:pBdr>
          <w:bottom w:val="single" w:sz="24" w:space="0" w:color="808080"/>
        </w:pBdr>
        <w:rPr/>
      </w:pPr>
      <w:r>
        <w:rPr/>
      </w:r>
      <w:bookmarkStart w:id="419" w:name="exhibit32-1.htm"/>
      <w:bookmarkStart w:id="420" w:name="ksexhibit321"/>
      <w:bookmarkStart w:id="421" w:name="exhibit32-1.htm"/>
      <w:bookmarkStart w:id="422" w:name="ksexhibit321"/>
      <w:bookmarkEnd w:id="421"/>
      <w:bookmarkEnd w:id="422"/>
    </w:p>
    <w:p>
      <w:pPr>
        <w:pStyle w:val="HorizontalLine"/>
        <w:pBdr>
          <w:bottom w:val="single" w:sz="6" w:space="0" w:color="808080"/>
        </w:pBdr>
        <w:rPr/>
      </w:pPr>
      <w:r>
        <w:rPr/>
      </w:r>
    </w:p>
    <w:p>
      <w:pPr>
        <w:pStyle w:val="TextBody"/>
        <w:spacing w:before="0" w:after="0"/>
        <w:ind w:left="0" w:right="0" w:hanging="0"/>
        <w:jc w:val="right"/>
        <w:rPr>
          <w:rFonts w:ascii="Times New Roman" w:hAnsi="Times New Roman"/>
          <w:b/>
          <w:sz w:val="20"/>
        </w:rPr>
      </w:pPr>
      <w:r>
        <w:rPr>
          <w:rFonts w:ascii="Times New Roman" w:hAnsi="Times New Roman"/>
          <w:b/>
          <w:sz w:val="20"/>
        </w:rPr>
        <w:t>Exhibit 32.1</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 OF PRINCIPAL EXECUTIVE OFFICER</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w:t>
      </w:r>
    </w:p>
    <w:p>
      <w:pPr>
        <w:pStyle w:val="TextBody"/>
        <w:spacing w:before="0" w:after="0"/>
        <w:ind w:left="0" w:right="0" w:hanging="0"/>
        <w:jc w:val="center"/>
        <w:rPr>
          <w:rFonts w:ascii="Times New Roman" w:hAnsi="Times New Roman"/>
          <w:b/>
          <w:sz w:val="20"/>
        </w:rPr>
      </w:pPr>
      <w:r>
        <w:rPr>
          <w:rFonts w:ascii="Times New Roman" w:hAnsi="Times New Roman"/>
          <w:b/>
          <w:sz w:val="20"/>
        </w:rPr>
        <w:t>18 U.S.C. SECTION 1350,</w:t>
      </w:r>
    </w:p>
    <w:p>
      <w:pPr>
        <w:pStyle w:val="TextBody"/>
        <w:spacing w:before="0" w:after="0"/>
        <w:ind w:left="0" w:right="0" w:hanging="0"/>
        <w:jc w:val="center"/>
        <w:rPr>
          <w:rFonts w:ascii="Times New Roman" w:hAnsi="Times New Roman"/>
          <w:b/>
          <w:sz w:val="20"/>
        </w:rPr>
      </w:pPr>
      <w:r>
        <w:rPr>
          <w:rFonts w:ascii="Times New Roman" w:hAnsi="Times New Roman"/>
          <w:b/>
          <w:sz w:val="20"/>
        </w:rPr>
        <w:t>AS ADOPTED PURSUANT TO</w:t>
      </w:r>
    </w:p>
    <w:p>
      <w:pPr>
        <w:pStyle w:val="TextBody"/>
        <w:spacing w:before="0" w:after="0"/>
        <w:ind w:left="0" w:right="0" w:hanging="0"/>
        <w:jc w:val="center"/>
        <w:rPr>
          <w:rFonts w:ascii="Times New Roman" w:hAnsi="Times New Roman"/>
          <w:b/>
          <w:sz w:val="20"/>
        </w:rPr>
      </w:pPr>
      <w:r>
        <w:rPr>
          <w:rFonts w:ascii="Times New Roman" w:hAnsi="Times New Roman"/>
          <w:b/>
          <w:sz w:val="20"/>
        </w:rPr>
        <w:t>SECTION 906 OF THE SARBANES-OXLEY ACT OF 2002</w:t>
      </w:r>
    </w:p>
    <w:p>
      <w:pPr>
        <w:pStyle w:val="TextBody"/>
        <w:spacing w:before="0" w:after="0"/>
        <w:ind w:left="0" w:right="0" w:hanging="0"/>
        <w:rPr>
          <w:b/>
        </w:rPr>
      </w:pPr>
      <w:r>
        <w:rPr>
          <w:b/>
        </w:rPr>
      </w:r>
    </w:p>
    <w:p>
      <w:pPr>
        <w:pStyle w:val="TextBody"/>
        <w:spacing w:before="0" w:after="0"/>
        <w:ind w:left="0" w:right="0" w:hanging="0"/>
        <w:jc w:val="both"/>
        <w:rPr>
          <w:rFonts w:ascii="times new roman" w:hAnsi="times new roman"/>
          <w:b w:val="false"/>
          <w:sz w:val="20"/>
        </w:rPr>
      </w:pPr>
      <w:r>
        <w:rPr>
          <w:rFonts w:ascii="times new roman" w:hAnsi="times new roman"/>
          <w:b w:val="false"/>
          <w:sz w:val="20"/>
        </w:rPr>
        <w:t>The undersigned, Glynn Wilson, the Principal Executive Officer and Acting Principal Accounting Officer of TapImmune Inc. (the “Company”) hereby certifies, pursuant to 18 U.S.C. Section 1350, as adopted pursuant to Section 906 of the Sarbanes-Oxley Act of 2002, that, to his or her knowledge, the Report on Form 10-Q of TapImmune Inc., for the quarterly period ended June 30, 2013 fully complies with the requirements of Section 13(a) or 15(d) of the Securities Exchange Act of 1934, and that the information contained in the Report on Form 10-Q fairly presents in all material respects the financial condition and results of operations of TapImmune Inc.</w:t>
      </w:r>
    </w:p>
    <w:p>
      <w:pPr>
        <w:pStyle w:val="TextBody"/>
        <w:spacing w:before="0" w:after="0"/>
        <w:ind w:left="0" w:right="0" w:hanging="0"/>
        <w:rPr/>
      </w:pPr>
      <w:r>
        <w:rPr/>
        <w:t> </w:t>
      </w:r>
    </w:p>
    <w:p>
      <w:pPr>
        <w:pStyle w:val="TextBody"/>
        <w:spacing w:before="0" w:after="0"/>
        <w:ind w:left="0" w:right="0" w:hanging="0"/>
        <w:jc w:val="left"/>
        <w:rPr>
          <w:rFonts w:ascii="times new roman" w:hAnsi="times new roman"/>
          <w:b w:val="false"/>
          <w:sz w:val="20"/>
        </w:rPr>
      </w:pPr>
      <w:r>
        <w:rPr>
          <w:rFonts w:ascii="times new roman" w:hAnsi="times new roman"/>
          <w:b w:val="false"/>
          <w:sz w:val="20"/>
        </w:rPr>
        <w:t>Date:  August 19, 2013.</w:t>
      </w:r>
    </w:p>
    <w:p>
      <w:pPr>
        <w:pStyle w:val="TextBody"/>
        <w:spacing w:before="0" w:after="0"/>
        <w:ind w:left="0" w:right="0" w:hanging="0"/>
        <w:rPr>
          <w:b/>
        </w:rPr>
      </w:pPr>
      <w:r>
        <w:rPr>
          <w:b/>
        </w:rPr>
      </w:r>
    </w:p>
    <w:tbl>
      <w:tblPr>
        <w:tblW w:w="5000" w:type="pct"/>
        <w:jc w:val="left"/>
        <w:tblInd w:w="0" w:type="dxa"/>
        <w:tblCellMar>
          <w:top w:w="0" w:type="dxa"/>
          <w:left w:w="0" w:type="dxa"/>
          <w:bottom w:w="0" w:type="dxa"/>
          <w:right w:w="0" w:type="dxa"/>
        </w:tblCellMar>
      </w:tblPr>
      <w:tblGrid>
        <w:gridCol w:w="1156"/>
        <w:gridCol w:w="9049"/>
      </w:tblGrid>
      <w:tr>
        <w:trPr/>
        <w:tc>
          <w:tcPr>
            <w:tcW w:w="1156" w:type="dxa"/>
            <w:tcBorders/>
            <w:shd w:fill="auto" w:val="clear"/>
          </w:tcPr>
          <w:p>
            <w:pPr>
              <w:pStyle w:val="TableContents"/>
              <w:spacing w:before="0" w:after="283"/>
              <w:rPr/>
            </w:pPr>
            <w:r>
              <w:rPr/>
              <w:t> </w:t>
            </w:r>
          </w:p>
        </w:tc>
        <w:tc>
          <w:tcPr>
            <w:tcW w:w="9049" w:type="dxa"/>
            <w:tcBorders/>
            <w:shd w:fill="auto" w:val="clear"/>
          </w:tcPr>
          <w:p>
            <w:pPr>
              <w:pStyle w:val="TableContents"/>
              <w:spacing w:before="0" w:after="0"/>
              <w:ind w:left="720" w:right="0" w:hanging="720"/>
              <w:jc w:val="both"/>
              <w:rPr>
                <w:rFonts w:ascii="times new roman" w:hAnsi="times new roman"/>
                <w:i/>
                <w:sz w:val="20"/>
                <w:u w:val="single"/>
              </w:rPr>
            </w:pPr>
            <w:r>
              <w:rPr>
                <w:rFonts w:ascii="times new roman" w:hAnsi="times new roman"/>
                <w:i/>
                <w:sz w:val="20"/>
                <w:u w:val="single"/>
              </w:rPr>
              <w:t>/s/ Glynn Wilson</w:t>
            </w:r>
          </w:p>
        </w:tc>
      </w:tr>
      <w:tr>
        <w:trPr/>
        <w:tc>
          <w:tcPr>
            <w:tcW w:w="1156" w:type="dxa"/>
            <w:tcBorders/>
            <w:shd w:fill="auto" w:val="clear"/>
          </w:tcPr>
          <w:p>
            <w:pPr>
              <w:pStyle w:val="TableContents"/>
              <w:spacing w:before="0" w:after="283"/>
              <w:rPr/>
            </w:pPr>
            <w:r>
              <w:rPr/>
              <w:t xml:space="preserve">  </w:t>
            </w:r>
          </w:p>
        </w:tc>
        <w:tc>
          <w:tcPr>
            <w:tcW w:w="9049"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Glynn Wilson</w:t>
            </w:r>
          </w:p>
          <w:p>
            <w:pPr>
              <w:pStyle w:val="TableContents"/>
              <w:spacing w:before="0" w:after="0"/>
              <w:ind w:left="0" w:right="0" w:hanging="0"/>
              <w:jc w:val="left"/>
              <w:rPr>
                <w:rFonts w:ascii="Times New Roman" w:hAnsi="Times New Roman"/>
                <w:sz w:val="20"/>
              </w:rPr>
            </w:pPr>
            <w:r>
              <w:rPr>
                <w:rFonts w:ascii="Times New Roman" w:hAnsi="Times New Roman"/>
                <w:sz w:val="20"/>
              </w:rPr>
              <w:t>Chairman, Chief Executive Officer,</w:t>
            </w:r>
          </w:p>
          <w:p>
            <w:pPr>
              <w:pStyle w:val="TableContents"/>
              <w:spacing w:before="0" w:after="0"/>
              <w:ind w:left="0" w:right="0" w:hanging="0"/>
              <w:jc w:val="left"/>
              <w:rPr>
                <w:rFonts w:ascii="Times New Roman" w:hAnsi="Times New Roman"/>
                <w:sz w:val="20"/>
              </w:rPr>
            </w:pPr>
            <w:r>
              <w:rPr>
                <w:rFonts w:ascii="Times New Roman" w:hAnsi="Times New Roman"/>
                <w:sz w:val="20"/>
              </w:rPr>
              <w:t>Principal Executive Officer and Acting Principal Accounting Officer</w:t>
            </w:r>
          </w:p>
        </w:tc>
      </w:tr>
    </w:tbl>
    <w:p>
      <w:pPr>
        <w:pStyle w:val="TextBody"/>
        <w:spacing w:before="0" w:after="0"/>
        <w:rPr/>
      </w:pPr>
      <w:r>
        <w:rPr/>
        <w:t> </w:t>
      </w:r>
    </w:p>
    <w:p>
      <w:pPr>
        <w:pStyle w:val="HorizontalLine"/>
        <w:pBdr>
          <w:bottom w:val="single" w:sz="6" w:space="0" w:color="808080"/>
        </w:pBdr>
        <w:rPr/>
      </w:pPr>
      <w:r>
        <w:rPr/>
      </w:r>
    </w:p>
    <w:p>
      <w:pPr>
        <w:pStyle w:val="HorizontalLine"/>
        <w:pBdr>
          <w:bottom w:val="single" w:sz="24" w:space="0" w:color="808080"/>
        </w:pBdr>
        <w:spacing w:before="0" w:after="283"/>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2">
    <w:altName w:val="serif"/>
    <w:charset w:val="00"/>
    <w:family w:val="auto"/>
    <w:pitch w:val="default"/>
  </w:font>
  <w:font w:name="times new roman">
    <w:charset w:val="00"/>
    <w:family w:val="auto"/>
    <w:pitch w:val="default"/>
  </w:font>
  <w:font w:name="Symbol">
    <w:altName w:val="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26164</Words>
  <CharactersWithSpaces>166814</CharactersWithSpaces>
  <Paragraphs>4792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