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3" w:lineRule="exact"/>
        <w:rPr>
          <w:sz w:val="24"/>
          <w:szCs w:val="24"/>
          <w:color w:val="auto"/>
        </w:rPr>
      </w:pPr>
    </w:p>
    <w:p>
      <w:pPr>
        <w:ind w:left="7380"/>
        <w:spacing w:after="0"/>
        <w:rPr>
          <w:sz w:val="20"/>
          <w:szCs w:val="20"/>
          <w:color w:val="auto"/>
        </w:rPr>
      </w:pPr>
      <w:r>
        <w:rPr>
          <w:rFonts w:ascii="Times New Roman" w:cs="Times New Roman" w:eastAsia="Times New Roman" w:hAnsi="Times New Roman"/>
          <w:sz w:val="17"/>
          <w:szCs w:val="17"/>
          <w:b w:val="1"/>
          <w:bCs w:val="1"/>
          <w:color w:val="auto"/>
        </w:rPr>
        <w:t> Registration No. 333-284233​</w:t>
      </w:r>
    </w:p>
    <w:p>
      <w:pPr>
        <w:spacing w:after="0" w:line="2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9"/>
          <w:szCs w:val="29"/>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2497455</wp:posOffset>
            </wp:positionH>
            <wp:positionV relativeFrom="paragraph">
              <wp:posOffset>138430</wp:posOffset>
            </wp:positionV>
            <wp:extent cx="182562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10,062,500 Shares of Common Stock</w:t>
      </w:r>
    </w:p>
    <w:p>
      <w:pPr>
        <w:spacing w:after="0" w:line="155" w:lineRule="exact"/>
        <w:rPr>
          <w:sz w:val="24"/>
          <w:szCs w:val="24"/>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10,062,500 shares of our common stock, by the selling stockholders identified in this prospectus under “Selling Stockholders”. Our shares of common stock covered by this prospectus (the “Covered Shares”) consist of the following: 1,783,805 shares of common stock, 3,247,445 shares of common stock issuable upon exercise of Series B Warrants (the “Pre-Funded Warrants”) to purchase one share of our common stock for $0.001 per share, and 5,031,250 shares of common stock issuable upon exercise of five-year Series A Warrants (the “Private Placement Warrants”) to purchase one share of our common stock for $4.00, which we issued in a private placement transaction (the “Private Placement”).</w:t>
      </w:r>
    </w:p>
    <w:p>
      <w:pPr>
        <w:spacing w:after="0" w:line="337" w:lineRule="exact"/>
        <w:rPr>
          <w:sz w:val="24"/>
          <w:szCs w:val="24"/>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prices at which the selling stockholders may sell the Covered Shares will be determined by the prevailing market price for the shares or in negotiated transactions. We provide more information on how the selling stockholders may resell their respective Covered Shares in the Section titled “Plan of Distribution” beginning on page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We are not selling any securities under this prospectus and we will not receive proceeds from the sale of the Covered Shares by the selling stockholders. However, we may receive cash proceeds from the exercise of the Pre-Funded Warrants and the Private Placement Warrants, which if exercised for cash at the current applicable exercise price with respect to all of the Pre-Funded Warrants and Private Placement Warrants would result in aggregate gross proceeds to us of $20,128,247 million.</w:t>
      </w:r>
    </w:p>
    <w:p>
      <w:pPr>
        <w:spacing w:after="0" w:line="124" w:lineRule="exact"/>
        <w:rPr>
          <w:sz w:val="24"/>
          <w:szCs w:val="24"/>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We are obligated to pay the expenses of registering the Covered Shares, but all selling and other expenses incurred by the selling stockholders will be paid by the selling stockholder.</w:t>
      </w:r>
    </w:p>
    <w:p>
      <w:pPr>
        <w:spacing w:after="0" w:line="81" w:lineRule="exact"/>
        <w:rPr>
          <w:sz w:val="24"/>
          <w:szCs w:val="24"/>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“MRKR.” On January 8, 2025, the last reported sale price of our common stock on the Nasdaq Capital Market was $2.86 per share, and we had 10,707,295 shares of common stock outstanding.</w:t>
      </w:r>
    </w:p>
    <w:p>
      <w:pPr>
        <w:spacing w:after="0" w:line="108" w:lineRule="exact"/>
        <w:rPr>
          <w:sz w:val="24"/>
          <w:szCs w:val="24"/>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318" w:lineRule="exact"/>
        <w:rPr>
          <w:sz w:val="24"/>
          <w:szCs w:val="24"/>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You should review carefully the risks and uncertainties described under the heading “Risk Factors” beginning on page </w:t>
      </w:r>
      <w:r>
        <w:rPr>
          <w:rFonts w:ascii="Times New Roman" w:cs="Times New Roman" w:eastAsia="Times New Roman" w:hAnsi="Times New Roman"/>
          <w:sz w:val="18"/>
          <w:szCs w:val="18"/>
          <w:b w:val="1"/>
          <w:bCs w:val="1"/>
          <w:u w:val="single" w:color="auto"/>
          <w:color w:val="0000EE"/>
        </w:rPr>
        <w:t>11</w:t>
      </w:r>
      <w:r>
        <w:rPr>
          <w:rFonts w:ascii="Times New Roman" w:cs="Times New Roman" w:eastAsia="Times New Roman" w:hAnsi="Times New Roman"/>
          <w:sz w:val="18"/>
          <w:szCs w:val="18"/>
          <w:b w:val="1"/>
          <w:bCs w:val="1"/>
          <w:color w:val="auto"/>
        </w:rPr>
        <w:t>.</w:t>
      </w:r>
    </w:p>
    <w:p>
      <w:pPr>
        <w:spacing w:after="0" w:line="74" w:lineRule="exact"/>
        <w:rPr>
          <w:sz w:val="24"/>
          <w:szCs w:val="24"/>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The date of this prospectus is January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262890</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5919470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Under this registration statement, the selling stockholders, which as used herein include donees, pledgees, transferees, distributees or other successors-in-interest selling shares of our common stock or interests in our common stock received after the date of this prospectus from the selling stockholders as a gift, pledge, partnership distribution or other transfer identified in this prospectus, may sell, at any time and from time to time, in one or more offerings, up to 10,062,500 shares of common stock. This prospectus provides a general description of the shares of our common stock the selling stockholders may offer. We are not selling any securities under this prospectus and will not receive any of the proceeds from the sale of shares by the selling stockholders. For general information about the distribution of shares of common stock offered by the selling stockholders, see the section in this prospectus titled “Plan of Distribution.”</w:t>
      </w:r>
    </w:p>
    <w:p>
      <w:pPr>
        <w:spacing w:after="0" w:line="34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 prospectus supplement or post-effective amendment may also add, update or change information included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or incorporated by reference in this prospectus, any applicable prospectus supplement, post-effective amendment or any related free writing prospectus.</w:t>
      </w:r>
    </w:p>
    <w:p>
      <w:pPr>
        <w:spacing w:after="0" w:line="11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You should read both this prospectus and any applicable prospectus supplement together with the additional information about our company to which we refer you in the sections of this prospectus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You should rely only on the information contained in or incorporated by reference into this prospectus and any prospectus supplement. Neither we nor the selling stockholders have authorized any dealer, salesperson or other person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33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and all of such summaries are qualified in their entirety by the actual documents they purport to summarize.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In this prospectus, all references to (i) “Marker” “we,” “us,” “our” or the “Company” collectively refers to Marker Therapeutics, Inc. (formerly known as TapImmune, Inc.) and its subsidiaries;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1361440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2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72" w:lineRule="exact"/>
        <w:rPr>
          <w:sz w:val="20"/>
          <w:szCs w:val="20"/>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of multi antigen recognizing (MAR)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product candidates;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BCM and other potential collaboration or strategic relationships;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MAR-T cell platform to develop future product candidates;</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(including grant revenues), capital requirements and our needs for or ability to obtain additional funding;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 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 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7"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340"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 T cell technology (formerly known as multi-tumor associated antigen-specific T cells, or multiTAA)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pacing w:after="0" w:line="120" w:lineRule="exact"/>
        <w:rPr>
          <w:sz w:val="20"/>
          <w:szCs w:val="20"/>
          <w:color w:val="auto"/>
        </w:rPr>
      </w:pPr>
    </w:p>
    <w:p>
      <w:pPr>
        <w:ind w:left="1280" w:right="499" w:firstLine="360"/>
        <w:spacing w:after="0" w:line="256" w:lineRule="auto"/>
        <w:rPr>
          <w:sz w:val="20"/>
          <w:szCs w:val="20"/>
          <w:color w:val="auto"/>
        </w:rPr>
      </w:pPr>
      <w:r>
        <w:rPr>
          <w:rFonts w:ascii="Times New Roman" w:cs="Times New Roman" w:eastAsia="Times New Roman" w:hAnsi="Times New Roman"/>
          <w:sz w:val="18"/>
          <w:szCs w:val="18"/>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MAR-T cell program</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for:</w:t>
      </w:r>
    </w:p>
    <w:p>
      <w:pPr>
        <w:spacing w:after="0" w:line="99" w:lineRule="exact"/>
        <w:rPr>
          <w:sz w:val="20"/>
          <w:szCs w:val="20"/>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MAR-T product for the treatment of lymphoma and pancreatic cancer (MT-601)</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158" w:lineRule="exact"/>
        <w:rPr>
          <w:sz w:val="20"/>
          <w:szCs w:val="20"/>
          <w:color w:val="auto"/>
        </w:rPr>
      </w:pPr>
    </w:p>
    <w:p>
      <w:pPr>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We do not genetically engineer our MAR-T cell therapies and we believe that our product candidates are superior to T cells engineered with chimeric antigen receptors, or CAR-T, for several reasons including:</w:t>
      </w:r>
    </w:p>
    <w:p>
      <w:pPr>
        <w:spacing w:after="0" w:line="54" w:lineRule="exact"/>
        <w:rPr>
          <w:sz w:val="20"/>
          <w:szCs w:val="20"/>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 minimized tumor immune escape</w:t>
      </w:r>
    </w:p>
    <w:p>
      <w:pPr>
        <w:spacing w:after="0" w:line="117" w:lineRule="exact"/>
        <w:rPr>
          <w:rFonts w:ascii="Times New Roman" w:cs="Times New Roman" w:eastAsia="Times New Roman" w:hAnsi="Times New Roman"/>
          <w:sz w:val="18"/>
          <w:szCs w:val="18"/>
          <w:color w:val="auto"/>
        </w:rPr>
      </w:pPr>
    </w:p>
    <w:p>
      <w:pPr>
        <w:ind w:left="1820" w:right="57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MAR-T cell therapies to date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right="519" w:firstLine="360"/>
        <w:spacing w:after="0" w:line="282"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94"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MAR-T cell recognition of cancer targets. For example, we are assessing the potential of combining MAR-T cell products with other products.</w:t>
      </w:r>
    </w:p>
    <w:p>
      <w:pPr>
        <w:spacing w:after="0" w:line="95" w:lineRule="exact"/>
        <w:rPr>
          <w:sz w:val="20"/>
          <w:szCs w:val="20"/>
          <w:color w:val="auto"/>
        </w:rPr>
      </w:pPr>
    </w:p>
    <w:p>
      <w:pPr>
        <w:ind w:left="1280" w:right="499" w:firstLine="360"/>
        <w:spacing w:after="0" w:line="254" w:lineRule="auto"/>
        <w:rPr>
          <w:sz w:val="20"/>
          <w:szCs w:val="20"/>
          <w:color w:val="auto"/>
        </w:rPr>
      </w:pPr>
      <w:r>
        <w:rPr>
          <w:rFonts w:ascii="Times New Roman" w:cs="Times New Roman" w:eastAsia="Times New Roman" w:hAnsi="Times New Roman"/>
          <w:sz w:val="18"/>
          <w:szCs w:val="18"/>
          <w:color w:val="auto"/>
        </w:rPr>
        <w:t>On December 19, 2024, we issued a press releasing providing an updated on the progress and clinical observations from the Phase 1 APOLLO study, with a data cutoff date of September 10, 2024. Our Phase 1 APOLLO study is investigating MT-601, a MAR-T cell product, in patients with lymphoma who have relapsed after anti-CD19 chimeric antigen receptor (CAR) T cell therapy or where anti-CD19 CAR-T cells are not an option. A total of 10 patients have been treated in the study, for which clinical data is currently available for 9 patients from 5 clinical sites across the United States. Study participants showed early objective responses with and without lymphodepletion. However, immunomonitoring data confirmed that lymphodepletion enhanced the expansion and persistence of MAR-T cell clones in vivo. Key findings from the APOLLO study include:</w:t>
      </w:r>
    </w:p>
    <w:p>
      <w:pPr>
        <w:spacing w:after="0" w:line="323" w:lineRule="exact"/>
        <w:rPr>
          <w:sz w:val="20"/>
          <w:szCs w:val="20"/>
          <w:color w:val="auto"/>
        </w:rPr>
      </w:pPr>
    </w:p>
    <w:p>
      <w:pPr>
        <w:ind w:left="1820" w:right="419" w:hanging="182"/>
        <w:spacing w:after="0" w:line="26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w:t>
      </w:r>
      <w:r>
        <w:rPr>
          <w:rFonts w:ascii="Times New Roman" w:cs="Times New Roman" w:eastAsia="Times New Roman" w:hAnsi="Times New Roman"/>
          <w:sz w:val="18"/>
          <w:szCs w:val="18"/>
          <w:color w:val="auto"/>
        </w:rPr>
        <w:t> — Infusion of MT-601 was well tolerated in all study participants, with no observation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immune-effector cell associated neurotoxicity syndrome (ICANS) and one reported Grade 1 cytokine release syndrome (CRS). No dose limiting toxicities (DLTs) have been reported to date.</w:t>
      </w:r>
    </w:p>
    <w:p>
      <w:pPr>
        <w:spacing w:after="0" w:line="76" w:lineRule="exact"/>
        <w:rPr>
          <w:rFonts w:ascii="Times New Roman" w:cs="Times New Roman" w:eastAsia="Times New Roman" w:hAnsi="Times New Roman"/>
          <w:sz w:val="18"/>
          <w:szCs w:val="18"/>
          <w:color w:val="auto"/>
        </w:rPr>
      </w:pPr>
    </w:p>
    <w:p>
      <w:pPr>
        <w:ind w:left="1820" w:right="719" w:hanging="182"/>
        <w:spacing w:after="0" w:line="28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Efficacy</w:t>
      </w:r>
      <w:r>
        <w:rPr>
          <w:rFonts w:ascii="Times New Roman" w:cs="Times New Roman" w:eastAsia="Times New Roman" w:hAnsi="Times New Roman"/>
          <w:sz w:val="18"/>
          <w:szCs w:val="18"/>
          <w:color w:val="auto"/>
        </w:rPr>
        <w:t> — In the first dose cohort, 7 out of 9 patients achieved objective responses (78%) at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assessment, with 4 patients demonstrating complete response (CR; 44.4%) (Table 1).</w:t>
      </w:r>
    </w:p>
    <w:p>
      <w:pPr>
        <w:spacing w:after="0" w:line="60" w:lineRule="exact"/>
        <w:rPr>
          <w:rFonts w:ascii="Times New Roman" w:cs="Times New Roman" w:eastAsia="Times New Roman" w:hAnsi="Times New Roman"/>
          <w:sz w:val="18"/>
          <w:szCs w:val="18"/>
          <w:color w:val="auto"/>
        </w:rPr>
      </w:pPr>
    </w:p>
    <w:p>
      <w:pPr>
        <w:ind w:left="1820" w:right="479" w:hanging="182"/>
        <w:spacing w:after="0" w:line="26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 in Follow-Up</w:t>
      </w:r>
      <w:r>
        <w:rPr>
          <w:rFonts w:ascii="Times New Roman" w:cs="Times New Roman" w:eastAsia="Times New Roman" w:hAnsi="Times New Roman"/>
          <w:sz w:val="18"/>
          <w:szCs w:val="18"/>
          <w:color w:val="auto"/>
        </w:rPr>
        <w:t> — Long-term follow-up of 6 to 12 months is currently available for three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(Table 2). Ongoing follow-up visits are being conducted to assess the durability of responses. All study participants are monitored closely to ensure comprehensive data collection and patient safety.</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Table 1: MT-601 shows objective responses at first disease assessment.</w:t>
      </w:r>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Response Rate at First</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6"/>
              </w:rPr>
              <w:t>No. of Patients Treated</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580" w:type="dxa"/>
            <w:vAlign w:val="bottom"/>
            <w:gridSpan w:val="6"/>
          </w:tcPr>
          <w:p>
            <w:pPr>
              <w:ind w:left="1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No. Prior Lines of Therapy   </w:t>
            </w:r>
            <w:r>
              <w:rPr>
                <w:rFonts w:ascii="Times New Roman" w:cs="Times New Roman" w:eastAsia="Times New Roman" w:hAnsi="Times New Roman"/>
                <w:sz w:val="24"/>
                <w:szCs w:val="24"/>
                <w:b w:val="1"/>
                <w:bCs w:val="1"/>
                <w:color w:val="auto"/>
                <w:vertAlign w:val="subscript"/>
              </w:rPr>
              <w:t>​ ​</w:t>
            </w: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Assessment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 at First Assessment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 – 12</w:t>
            </w:r>
          </w:p>
        </w:tc>
        <w:tc>
          <w:tcPr>
            <w:tcW w:w="500" w:type="dxa"/>
            <w:vAlign w:val="bottom"/>
            <w:tcBorders>
              <w:top w:val="single" w:sz="8" w:color="auto"/>
            </w:tcBorders>
          </w:tcPr>
          <w:p>
            <w:pPr>
              <w:spacing w:after="0"/>
              <w:rPr>
                <w:sz w:val="21"/>
                <w:szCs w:val="21"/>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center"/>
              <w:ind w:left="139"/>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468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CR, Complete Response. Data as of September 10, 2024.</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auto"/>
              </w:rPr>
              <w:t>Table 2: Duration of patient follow-up in Phase 1 APOLLO study;</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w w:val="98"/>
              </w:rPr>
              <w:t>Longest Follow-Up</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 of Patients</w:t>
            </w:r>
          </w:p>
        </w:tc>
        <w:tc>
          <w:tcPr>
            <w:tcW w:w="7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24"/>
                <w:szCs w:val="24"/>
                <w:color w:val="auto"/>
              </w:rPr>
            </w:pPr>
          </w:p>
        </w:tc>
        <w:tc>
          <w:tcPr>
            <w:tcW w:w="1880" w:type="dxa"/>
            <w:vAlign w:val="bottom"/>
          </w:tcPr>
          <w:p>
            <w:pPr>
              <w:jc w:val="center"/>
              <w:ind w:right="616"/>
              <w:spacing w:after="0"/>
              <w:rPr>
                <w:sz w:val="20"/>
                <w:szCs w:val="20"/>
                <w:color w:val="auto"/>
              </w:rPr>
            </w:pPr>
            <w:r>
              <w:rPr>
                <w:rFonts w:ascii="Times New Roman" w:cs="Times New Roman" w:eastAsia="Times New Roman" w:hAnsi="Times New Roman"/>
                <w:sz w:val="14"/>
                <w:szCs w:val="14"/>
                <w:b w:val="1"/>
                <w:bCs w:val="1"/>
                <w:color w:val="auto"/>
                <w:w w:val="99"/>
              </w:rPr>
              <w:t>Clinical Response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1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center"/>
              <w:ind w:left="456"/>
              <w:spacing w:after="0" w:line="205" w:lineRule="exact"/>
              <w:rPr>
                <w:sz w:val="20"/>
                <w:szCs w:val="20"/>
                <w:color w:val="auto"/>
              </w:rPr>
            </w:pPr>
            <w:r>
              <w:rPr>
                <w:rFonts w:ascii="Times New Roman" w:cs="Times New Roman" w:eastAsia="Times New Roman" w:hAnsi="Times New Roman"/>
                <w:sz w:val="18"/>
                <w:szCs w:val="18"/>
                <w:color w:val="auto"/>
              </w:rPr>
              <w:t>≥ 12 months</w:t>
            </w: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center"/>
              <w:ind w:left="435"/>
              <w:spacing w:after="0" w:line="205" w:lineRule="exact"/>
              <w:rPr>
                <w:sz w:val="20"/>
                <w:szCs w:val="20"/>
                <w:color w:val="auto"/>
              </w:rPr>
            </w:pPr>
            <w:r>
              <w:rPr>
                <w:rFonts w:ascii="Times New Roman" w:cs="Times New Roman" w:eastAsia="Times New Roman" w:hAnsi="Times New Roman"/>
                <w:sz w:val="18"/>
                <w:szCs w:val="18"/>
                <w:color w:val="auto"/>
                <w:w w:val="88"/>
              </w:rPr>
              <w:t>1</w:t>
            </w:r>
          </w:p>
        </w:tc>
        <w:tc>
          <w:tcPr>
            <w:tcW w:w="4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center"/>
              <w:ind w:right="616"/>
              <w:spacing w:after="0" w:line="205" w:lineRule="exact"/>
              <w:rPr>
                <w:sz w:val="20"/>
                <w:szCs w:val="20"/>
                <w:color w:val="auto"/>
              </w:rPr>
            </w:pPr>
            <w:r>
              <w:rPr>
                <w:rFonts w:ascii="Times New Roman" w:cs="Times New Roman" w:eastAsia="Times New Roman" w:hAnsi="Times New Roman"/>
                <w:sz w:val="18"/>
                <w:szCs w:val="18"/>
                <w:color w:val="auto"/>
              </w:rPr>
              <w:t>CR</w:t>
            </w: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rPr>
              <w:t>≥ 6 months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center"/>
              <w:ind w:left="435"/>
              <w:spacing w:after="0"/>
              <w:rPr>
                <w:sz w:val="20"/>
                <w:szCs w:val="20"/>
                <w:color w:val="auto"/>
              </w:rPr>
            </w:pPr>
            <w:r>
              <w:rPr>
                <w:rFonts w:ascii="Times New Roman" w:cs="Times New Roman" w:eastAsia="Times New Roman" w:hAnsi="Times New Roman"/>
                <w:sz w:val="18"/>
                <w:szCs w:val="18"/>
                <w:color w:val="auto"/>
                <w:w w:val="88"/>
              </w:rPr>
              <w:t>2</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80" w:type="dxa"/>
            <w:vAlign w:val="bottom"/>
          </w:tcPr>
          <w:p>
            <w:pPr>
              <w:jc w:val="center"/>
              <w:ind w:right="616"/>
              <w:spacing w:after="0"/>
              <w:rPr>
                <w:sz w:val="20"/>
                <w:szCs w:val="20"/>
                <w:color w:val="auto"/>
              </w:rPr>
            </w:pPr>
            <w:r>
              <w:rPr>
                <w:rFonts w:ascii="Times New Roman" w:cs="Times New Roman" w:eastAsia="Times New Roman" w:hAnsi="Times New Roman"/>
                <w:sz w:val="18"/>
                <w:szCs w:val="18"/>
                <w:color w:val="auto"/>
              </w:rPr>
              <w:t>CR, PR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rPr>
              <w:t>1 – 4 months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center"/>
              <w:ind w:left="435"/>
              <w:spacing w:after="0"/>
              <w:rPr>
                <w:sz w:val="20"/>
                <w:szCs w:val="20"/>
                <w:color w:val="auto"/>
              </w:rPr>
            </w:pPr>
            <w:r>
              <w:rPr>
                <w:rFonts w:ascii="Times New Roman" w:cs="Times New Roman" w:eastAsia="Times New Roman" w:hAnsi="Times New Roman"/>
                <w:sz w:val="18"/>
                <w:szCs w:val="18"/>
                <w:color w:val="auto"/>
                <w:w w:val="88"/>
              </w:rPr>
              <w:t>4</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4"/>
                <w:szCs w:val="24"/>
                <w:color w:val="auto"/>
              </w:rPr>
            </w:pPr>
          </w:p>
        </w:tc>
        <w:tc>
          <w:tcPr>
            <w:tcW w:w="1880" w:type="dxa"/>
            <w:vAlign w:val="bottom"/>
          </w:tcPr>
          <w:p>
            <w:pPr>
              <w:jc w:val="center"/>
              <w:ind w:right="616"/>
              <w:spacing w:after="0"/>
              <w:rPr>
                <w:sz w:val="20"/>
                <w:szCs w:val="20"/>
                <w:color w:val="auto"/>
              </w:rPr>
            </w:pPr>
            <w:r>
              <w:rPr>
                <w:rFonts w:ascii="Times New Roman" w:cs="Times New Roman" w:eastAsia="Times New Roman" w:hAnsi="Times New Roman"/>
                <w:sz w:val="18"/>
                <w:szCs w:val="18"/>
                <w:color w:val="auto"/>
              </w:rPr>
              <w:t>CR, PR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CR, Complete Response; PR, Partial Response. Data as of September 10, 2024.</w:t>
      </w:r>
    </w:p>
    <w:p>
      <w:pPr>
        <w:spacing w:after="0" w:line="160" w:lineRule="exact"/>
        <w:rPr>
          <w:sz w:val="20"/>
          <w:szCs w:val="20"/>
          <w:color w:val="auto"/>
        </w:rPr>
      </w:pPr>
    </w:p>
    <w:p>
      <w:pPr>
        <w:ind w:left="1280" w:right="479" w:firstLine="360"/>
        <w:spacing w:after="0" w:line="244" w:lineRule="auto"/>
        <w:rPr>
          <w:sz w:val="20"/>
          <w:szCs w:val="20"/>
          <w:color w:val="auto"/>
        </w:rPr>
      </w:pPr>
      <w:r>
        <w:rPr>
          <w:rFonts w:ascii="Times New Roman" w:cs="Times New Roman" w:eastAsia="Times New Roman" w:hAnsi="Times New Roman"/>
          <w:sz w:val="18"/>
          <w:szCs w:val="18"/>
          <w:color w:val="auto"/>
        </w:rPr>
        <w:t>Although CD19-targeting CAR-T cell therapies have gained acceptance as treatment for patients with lymphoma, 40-60% of patients relapse within the first year of treatment (</w:t>
      </w:r>
      <w:r>
        <w:rPr>
          <w:rFonts w:ascii="Times New Roman" w:cs="Times New Roman" w:eastAsia="Times New Roman" w:hAnsi="Times New Roman"/>
          <w:sz w:val="18"/>
          <w:szCs w:val="18"/>
          <w:u w:val="single" w:color="auto"/>
          <w:color w:val="auto"/>
        </w:rPr>
        <w:t>Chong et al, N Engl J Med,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Neelapu et al, Blood, 2023</w:t>
      </w:r>
      <w:r>
        <w:rPr>
          <w:rFonts w:ascii="Times New Roman" w:cs="Times New Roman" w:eastAsia="Times New Roman" w:hAnsi="Times New Roman"/>
          <w:sz w:val="18"/>
          <w:szCs w:val="18"/>
          <w:color w:val="auto"/>
        </w:rPr>
        <w:t>.) . These post-CD19 CAR-T relapsed patients currently have no approved standard of care, illustrating a high unmet medical need and urgency for new therapies. In addition, CAR-T cells are associated with severe side effects such as CRS or ICANS and may increase the risk for secondary malignancies (</w:t>
      </w:r>
      <w:r>
        <w:rPr>
          <w:rFonts w:ascii="Times New Roman" w:cs="Times New Roman" w:eastAsia="Times New Roman" w:hAnsi="Times New Roman"/>
          <w:sz w:val="18"/>
          <w:szCs w:val="18"/>
          <w:u w:val="single" w:color="auto"/>
          <w:color w:val="auto"/>
        </w:rPr>
        <w:t>U.S. Food and Drug Administration, November 28, 2023</w:t>
      </w:r>
      <w:r>
        <w:rPr>
          <w:rFonts w:ascii="Times New Roman" w:cs="Times New Roman" w:eastAsia="Times New Roman" w:hAnsi="Times New Roman"/>
          <w:sz w:val="18"/>
          <w:szCs w:val="18"/>
          <w:color w:val="auto"/>
        </w:rPr>
        <w:t>). Data from clinical trials to date have demonstrated that MAR-T cells are well tolerated with no evidence of ICANS. In addition, Marker’s non-engineered MAR-T cell approach selectively expands natural tumor-specific T cells from a patient’s blood that can recognize a broad range of tumor antigens, minimizing the risk of mutagenesis.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Overview</w:t>
      </w:r>
    </w:p>
    <w:p>
      <w:pPr>
        <w:spacing w:after="0" w:line="162"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2450 Holcombe Blvd, Suite BCM-A, MS: BCM251, Houston, Texas 77021, and our telephone number is (713) 400-6400. Our website is located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62" w:lineRule="exact"/>
        <w:rPr>
          <w:sz w:val="20"/>
          <w:szCs w:val="20"/>
          <w:color w:val="auto"/>
        </w:rPr>
      </w:pPr>
    </w:p>
    <w:p>
      <w:pPr>
        <w:ind w:left="1280" w:right="819" w:firstLine="36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Securities Exchange Act of 1934, as amended, or the Exchange Act. We may remain a smaller reporting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until we have a non-affiliate public float in excess of $250 million and annual revenues in excess of</w:t>
      </w:r>
    </w:p>
    <w:p>
      <w:pPr>
        <w:spacing w:after="0" w:line="27" w:lineRule="exact"/>
        <w:rPr>
          <w:sz w:val="20"/>
          <w:szCs w:val="20"/>
          <w:color w:val="auto"/>
        </w:rPr>
      </w:pPr>
    </w:p>
    <w:p>
      <w:pPr>
        <w:ind w:left="1280" w:right="619"/>
        <w:spacing w:after="0"/>
        <w:rPr>
          <w:sz w:val="20"/>
          <w:szCs w:val="20"/>
          <w:color w:val="auto"/>
        </w:rPr>
      </w:pPr>
      <w:r>
        <w:rPr>
          <w:rFonts w:ascii="Times New Roman" w:cs="Times New Roman" w:eastAsia="Times New Roman" w:hAnsi="Times New Roman"/>
          <w:sz w:val="18"/>
          <w:szCs w:val="18"/>
          <w:color w:val="auto"/>
        </w:rPr>
        <w:t>$100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90" w:lineRule="exact"/>
        <w:rPr>
          <w:sz w:val="20"/>
          <w:szCs w:val="20"/>
          <w:color w:val="auto"/>
        </w:rPr>
      </w:pPr>
    </w:p>
    <w:p>
      <w:pPr>
        <w:jc w:val="both"/>
        <w:ind w:left="1820" w:right="399" w:hanging="182"/>
        <w:spacing w:after="0" w:line="26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4"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62" w:lineRule="exact"/>
        <w:rPr>
          <w:sz w:val="20"/>
          <w:szCs w:val="20"/>
          <w:color w:val="auto"/>
        </w:rPr>
      </w:pPr>
    </w:p>
    <w:p>
      <w:pPr>
        <w:ind w:left="1280" w:right="519" w:firstLine="360"/>
        <w:spacing w:after="0" w:line="247" w:lineRule="auto"/>
        <w:rPr>
          <w:sz w:val="20"/>
          <w:szCs w:val="20"/>
          <w:color w:val="auto"/>
        </w:rPr>
      </w:pPr>
      <w:r>
        <w:rPr>
          <w:rFonts w:ascii="Times New Roman" w:cs="Times New Roman" w:eastAsia="Times New Roman" w:hAnsi="Times New Roman"/>
          <w:sz w:val="18"/>
          <w:szCs w:val="18"/>
          <w:color w:val="auto"/>
        </w:rPr>
        <w:t>On December 19, 2024, we entered into a Securities Purchase Agreement, or the Purchase Agreement, with the selling stockholders named in this prospectus, pursuant to which we issued and sold in a private Placement the following securities to the selling stockholders: (i) 1,783,805 shares of our common stock,</w:t>
      </w:r>
    </w:p>
    <w:p>
      <w:pPr>
        <w:spacing w:after="0" w:line="2" w:lineRule="exact"/>
        <w:rPr>
          <w:sz w:val="20"/>
          <w:szCs w:val="20"/>
          <w:color w:val="auto"/>
        </w:rPr>
      </w:pPr>
    </w:p>
    <w:p>
      <w:pPr>
        <w:ind w:left="1280" w:right="419" w:hanging="2"/>
        <w:spacing w:after="0" w:line="241" w:lineRule="auto"/>
        <w:tabs>
          <w:tab w:leader="none" w:pos="15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Our 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w:t>
      </w:r>
    </w:p>
    <w:p>
      <w:pPr>
        <w:spacing w:after="0" w:line="121" w:lineRule="exact"/>
        <w:rPr>
          <w:sz w:val="20"/>
          <w:szCs w:val="20"/>
          <w:color w:val="auto"/>
        </w:rPr>
      </w:pPr>
    </w:p>
    <w:p>
      <w:pPr>
        <w:ind w:left="1280" w:right="439" w:firstLine="360"/>
        <w:spacing w:after="0" w:line="241" w:lineRule="auto"/>
        <w:rPr>
          <w:sz w:val="20"/>
          <w:szCs w:val="20"/>
          <w:color w:val="auto"/>
        </w:rPr>
      </w:pPr>
      <w:r>
        <w:rPr>
          <w:rFonts w:ascii="Times New Roman" w:cs="Times New Roman" w:eastAsia="Times New Roman" w:hAnsi="Times New Roman"/>
          <w:sz w:val="18"/>
          <w:szCs w:val="18"/>
          <w:color w:val="auto"/>
        </w:rPr>
        <w:t>Pursuant to the Purchase Agreement, the Company is obligated to call a meeting of its stockholders to obtain stockholder approval, or Stockholder Approval, for the issuance of the shares issuable upon exercise of the Private Placement Warrants and Pre-Funded Warrants, which we collectively refer to as the Warrants, within 90 days of the closing date. If the Stockholder Approval is not obtained at such meeting, the Company is required to cause an additional stockholder meeting to be held on or prior to the 180th day after the closing date, and, if despite the Company’s reasonable best efforts the Stockholder Approval is not obtained after such subsequent stockholder meeting, the Company is required to cause an additional stockholder meeting to be held semi -annual thereafter until such Stockholder Approval is obtained. In connection therewith, the Company entered into voting agreements with certain stockholders pursuant to which such stockholders, who collectively own approximately 27% of the shares of common stock outstanding immediately prior to the closing of the Private Placement, agreed to vote in favor of the Private Placement.</w:t>
      </w:r>
    </w:p>
    <w:p>
      <w:pPr>
        <w:spacing w:after="0" w:line="333"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The Warrants are exercisable at any time on or after the date that the Stockholder Approval is obtained and have a term of five years commencing upon the date that the Stockholder Approval is obtained. The Pre-Funded warrants are exercisable at a price of $0.001 per share and the Private Placement Warrants have an exercise price of $4.00 per share.</w:t>
      </w:r>
    </w:p>
    <w:p>
      <w:pPr>
        <w:spacing w:after="0" w:line="110" w:lineRule="exact"/>
        <w:rPr>
          <w:sz w:val="20"/>
          <w:szCs w:val="20"/>
          <w:color w:val="auto"/>
        </w:rPr>
      </w:pPr>
    </w:p>
    <w:p>
      <w:pPr>
        <w:ind w:left="1280" w:right="579" w:firstLine="360"/>
        <w:spacing w:after="0" w:line="243" w:lineRule="auto"/>
        <w:rPr>
          <w:sz w:val="20"/>
          <w:szCs w:val="20"/>
          <w:color w:val="auto"/>
        </w:rPr>
      </w:pPr>
      <w:r>
        <w:rPr>
          <w:rFonts w:ascii="Times New Roman" w:cs="Times New Roman" w:eastAsia="Times New Roman" w:hAnsi="Times New Roman"/>
          <w:sz w:val="18"/>
          <w:szCs w:val="18"/>
          <w:color w:val="auto"/>
        </w:rPr>
        <w:t>We may not effect the exercise of any Private Placement Warrant or Pre-Funded Warrant and a holder will not be entitled to request the exercise of any portion of any Private Placement Warrant or Pre-Funded Warrant if, upon giving effect to such exercise, the aggregate number of shares of our common stock beneficially owned by the holder (together with its affiliates and other specified parties) would exceed 4.99%, 9.99% or 19.99%, as applicable to each holder, of the number of shares of our common stock outstanding immediately after giving effect to the exercise, or the Beneficial Ownership Limitation. A holder may reset the Beneficial Ownership Limitation as to itself to a higher percentage (not to exceed 19.99%), effective 61 days after written notice to us.</w:t>
      </w:r>
    </w:p>
    <w:p>
      <w:pPr>
        <w:spacing w:after="0" w:line="119" w:lineRule="exact"/>
        <w:rPr>
          <w:sz w:val="20"/>
          <w:szCs w:val="20"/>
          <w:color w:val="auto"/>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or the Registration Rights Agreement, with the selling stockholders named in this prospectus pursuant to which we agreed to prepare and file, no later than January 14, 2025, a registration statement with the SEC to register</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resale of the following shares (i) shares of our common stock issued in the Private Placement and</w:t>
      </w:r>
    </w:p>
    <w:p>
      <w:pPr>
        <w:spacing w:after="0" w:line="27" w:lineRule="exact"/>
        <w:rPr>
          <w:sz w:val="20"/>
          <w:szCs w:val="20"/>
          <w:color w:val="auto"/>
        </w:rPr>
      </w:pPr>
    </w:p>
    <w:p>
      <w:pPr>
        <w:ind w:left="1280" w:right="419" w:hanging="2"/>
        <w:spacing w:after="0" w:line="252" w:lineRule="auto"/>
        <w:tabs>
          <w:tab w:leader="none" w:pos="1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issuable upon exercise of the Private Placement Warrants and Pre-Funded Warrants issued in the Private Placement, which we collectively refer to as the Covered Shares, and to use best efforts to cause such registration statement to become effective as promptly as practical thereafter, and in any event no later than the earlier of (A) February 14, 2024 and (B) the second business day after the date the Company is notified by the SEC that the Registration Statement will not be reviewed or will not be subject to further review.</w:t>
      </w:r>
    </w:p>
    <w:p>
      <w:pPr>
        <w:spacing w:after="0" w:line="122" w:lineRule="exact"/>
        <w:rPr>
          <w:sz w:val="20"/>
          <w:szCs w:val="20"/>
          <w:color w:val="auto"/>
        </w:rPr>
      </w:pPr>
    </w:p>
    <w:p>
      <w:pPr>
        <w:ind w:left="1280" w:right="519" w:firstLine="360"/>
        <w:spacing w:after="0" w:line="282" w:lineRule="auto"/>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auto"/>
          </w:rPr>
          <w:t xml:space="preserve">For more information regarding the Private Placement, see our Current Report on </w:t>
        </w:r>
        <w:r>
          <w:rPr>
            <w:rFonts w:ascii="Times New Roman" w:cs="Times New Roman" w:eastAsia="Times New Roman" w:hAnsi="Times New Roman"/>
            <w:sz w:val="18"/>
            <w:szCs w:val="18"/>
            <w:u w:val="single" w:color="auto"/>
            <w:color w:val="0000EE"/>
          </w:rPr>
          <w:t>Form 8-K filed with</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the SEC on December 23,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incorporated herein by reference.</w:t>
        </w:r>
      </w:hyperlink>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Common stock outstanding:</w:t>
      </w:r>
    </w:p>
    <w:p>
      <w:pPr>
        <w:spacing w:after="0" w:line="117" w:lineRule="exact"/>
        <w:rPr>
          <w:sz w:val="20"/>
          <w:szCs w:val="20"/>
          <w:color w:val="auto"/>
        </w:rPr>
      </w:pPr>
    </w:p>
    <w:p>
      <w:pPr>
        <w:ind w:left="1460" w:right="2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outstanding after the offering</w:t>
      </w:r>
    </w:p>
    <w:p>
      <w:pPr>
        <w:spacing w:after="0" w:line="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Terms of the offering</w:t>
      </w: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Nasdaq symbol</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10,707,295 shares as of January 10, 2025</w:t>
      </w:r>
    </w:p>
    <w:p>
      <w:pPr>
        <w:spacing w:after="0" w:line="333" w:lineRule="exact"/>
        <w:rPr>
          <w:sz w:val="20"/>
          <w:szCs w:val="20"/>
          <w:color w:val="auto"/>
        </w:rPr>
      </w:pPr>
    </w:p>
    <w:p>
      <w:pPr>
        <w:ind w:right="439"/>
        <w:spacing w:after="0" w:line="254" w:lineRule="auto"/>
        <w:rPr>
          <w:sz w:val="20"/>
          <w:szCs w:val="20"/>
          <w:color w:val="auto"/>
        </w:rPr>
      </w:pPr>
      <w:r>
        <w:rPr>
          <w:rFonts w:ascii="Times New Roman" w:cs="Times New Roman" w:eastAsia="Times New Roman" w:hAnsi="Times New Roman"/>
          <w:sz w:val="18"/>
          <w:szCs w:val="18"/>
          <w:color w:val="auto"/>
        </w:rPr>
        <w:t>10,062,500 shares consisting of (i) 1,783,805 shares of our common stock held by the selling stockholders, (ii) 3,247,445 shares of our common stock issuable upon exercise of outstanding Pre-Funded Warrants to purchase shares of our common stock held by the selling stockholders and (iii) 5,031,250 shares of common stock issuable upon the exercise of outstanding Private Placement Warrants held by the selling stockholders, which we collectively refer to as the Covered Shares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18,985,990 shares</w:t>
      </w:r>
      <w:r>
        <w:rPr>
          <w:rFonts w:ascii="Times New Roman" w:cs="Times New Roman" w:eastAsia="Times New Roman" w:hAnsi="Times New Roman"/>
          <w:sz w:val="26"/>
          <w:szCs w:val="26"/>
          <w:color w:val="auto"/>
          <w:vertAlign w:val="superscript"/>
        </w:rPr>
        <w:t>(1)</w:t>
      </w:r>
    </w:p>
    <w:p>
      <w:pPr>
        <w:spacing w:after="0" w:line="60"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 offered in this prospectus, as described in “Plan of Distribution.”</w:t>
      </w:r>
    </w:p>
    <w:p>
      <w:pPr>
        <w:spacing w:after="0" w:line="68" w:lineRule="exact"/>
        <w:rPr>
          <w:sz w:val="20"/>
          <w:szCs w:val="20"/>
          <w:color w:val="auto"/>
        </w:rPr>
      </w:pPr>
    </w:p>
    <w:p>
      <w:pPr>
        <w:ind w:right="439"/>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 We will, however, receive the following net proceeds of any Warrants exercised for cash (to the extent the registration statement of which this prospectus is a part is then effective and, if applicable, the “cashless exercise” provision is not utilized by the holder):</w:t>
      </w:r>
    </w:p>
    <w:p>
      <w:pPr>
        <w:spacing w:after="0" w:line="106" w:lineRule="exact"/>
        <w:rPr>
          <w:sz w:val="20"/>
          <w:szCs w:val="20"/>
          <w:color w:val="auto"/>
        </w:rPr>
      </w:pPr>
    </w:p>
    <w:p>
      <w:pPr>
        <w:ind w:left="360" w:right="939" w:hanging="358"/>
        <w:spacing w:after="0" w:line="282"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$3,247 if the outstanding Pre-Funded Warrants are exercised; and</w:t>
      </w:r>
    </w:p>
    <w:p>
      <w:pPr>
        <w:spacing w:after="0" w:line="67" w:lineRule="exact"/>
        <w:rPr>
          <w:rFonts w:ascii="Times New Roman" w:cs="Times New Roman" w:eastAsia="Times New Roman" w:hAnsi="Times New Roman"/>
          <w:sz w:val="18"/>
          <w:szCs w:val="18"/>
          <w:color w:val="auto"/>
        </w:rPr>
      </w:pPr>
    </w:p>
    <w:p>
      <w:pPr>
        <w:ind w:left="360" w:right="1019" w:hanging="358"/>
        <w:spacing w:after="0" w:line="282"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$20,125,000 if the outstanding Private Placement Warrants are exercised.</w:t>
      </w:r>
    </w:p>
    <w:p>
      <w:pPr>
        <w:spacing w:after="0" w:line="81" w:lineRule="exact"/>
        <w:rPr>
          <w:sz w:val="20"/>
          <w:szCs w:val="20"/>
          <w:color w:val="auto"/>
        </w:rPr>
      </w:pPr>
    </w:p>
    <w:p>
      <w:pPr>
        <w:ind w:right="399"/>
        <w:spacing w:after="0" w:line="250" w:lineRule="auto"/>
        <w:rPr>
          <w:sz w:val="20"/>
          <w:szCs w:val="20"/>
          <w:color w:val="auto"/>
        </w:rPr>
      </w:pPr>
      <w:r>
        <w:rPr>
          <w:rFonts w:ascii="Times New Roman" w:cs="Times New Roman" w:eastAsia="Times New Roman" w:hAnsi="Times New Roman"/>
          <w:sz w:val="18"/>
          <w:szCs w:val="18"/>
          <w:color w:val="auto"/>
        </w:rPr>
        <w:t>Any cash proceeds received by us will be used for general corporate purposes and working capital or for other purposes that the Board of Directors, in their good faith, deems to be in the best interest of the Company. No assurances can be given that any of such warrants will be exercised. See “Use of Proceeds.”</w:t>
      </w:r>
    </w:p>
    <w:p>
      <w:pPr>
        <w:spacing w:after="0" w:line="69" w:lineRule="exact"/>
        <w:rPr>
          <w:sz w:val="20"/>
          <w:szCs w:val="20"/>
          <w:color w:val="auto"/>
        </w:rPr>
      </w:pPr>
    </w:p>
    <w:p>
      <w:pPr>
        <w:ind w:right="459"/>
        <w:spacing w:after="0" w:line="258" w:lineRule="auto"/>
        <w:rPr>
          <w:sz w:val="20"/>
          <w:szCs w:val="20"/>
          <w:color w:val="auto"/>
        </w:rPr>
      </w:pPr>
      <w:r>
        <w:rPr>
          <w:rFonts w:ascii="Times New Roman" w:cs="Times New Roman" w:eastAsia="Times New Roman" w:hAnsi="Times New Roman"/>
          <w:sz w:val="18"/>
          <w:szCs w:val="18"/>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75" w:lineRule="exact"/>
        <w:rPr>
          <w:sz w:val="20"/>
          <w:szCs w:val="20"/>
          <w:color w:val="auto"/>
        </w:rPr>
      </w:pPr>
    </w:p>
    <w:p>
      <w:pPr>
        <w:ind w:right="43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“MRKR.”</w:t>
      </w:r>
    </w:p>
    <w:p>
      <w:pPr>
        <w:spacing w:after="0" w:line="54" w:lineRule="exact"/>
        <w:rPr>
          <w:sz w:val="20"/>
          <w:szCs w:val="20"/>
          <w:color w:val="auto"/>
        </w:rPr>
      </w:pPr>
    </w:p>
    <w:p>
      <w:pPr>
        <w:ind w:right="659"/>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fund the development and growth of our business. Therefore, we do not currently anticipate paying cash dividends on our common stock.</w:t>
      </w:r>
    </w:p>
    <w:p>
      <w:pPr>
        <w:spacing w:after="0" w:line="200" w:lineRule="exact"/>
        <w:rPr>
          <w:sz w:val="20"/>
          <w:szCs w:val="20"/>
          <w:color w:val="auto"/>
        </w:rPr>
      </w:pPr>
    </w:p>
    <w:p>
      <w:pPr>
        <w:sectPr>
          <w:pgSz w:w="11900" w:h="16838" w:orient="portrait"/>
          <w:cols w:equalWidth="0" w:num="2">
            <w:col w:w="3700" w:space="600"/>
            <w:col w:w="5579"/>
          </w:cols>
          <w:pgMar w:left="580" w:top="97" w:right="1440" w:bottom="1440" w:gutter="0" w:footer="0" w:header="0"/>
          <w:type w:val="continuous"/>
        </w:sectPr>
      </w:pPr>
    </w:p>
    <w:p>
      <w:pPr>
        <w:spacing w:after="0" w:line="111" w:lineRule="exact"/>
        <w:rPr>
          <w:sz w:val="20"/>
          <w:szCs w:val="20"/>
          <w:color w:val="auto"/>
        </w:rPr>
      </w:pPr>
    </w:p>
    <w:p>
      <w:pPr>
        <w:ind w:left="1640" w:right="459" w:hanging="362"/>
        <w:spacing w:after="0" w:line="266"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for cash of all of the outstanding Pre-Funded Warrants and the Private Placement Warrants, for which the underlying shares of common stock are registered herein, and that we do not issue any other shares of common stock.</w:t>
      </w:r>
    </w:p>
    <w:p>
      <w:pPr>
        <w:spacing w:after="0" w:line="108" w:lineRule="exact"/>
        <w:rPr>
          <w:sz w:val="20"/>
          <w:szCs w:val="20"/>
          <w:color w:val="auto"/>
        </w:r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10,062,500 shares of our common stock. Our common stock is currently listed on Nasdaq under the symbol “MRKR.” Shares of our common stock that may be offered under this prospectus will be fully paid and non-assessable. We will not receive any of the proceeds of sales by the selling stockholders of any of the common stock covered by this</w:t>
      </w:r>
    </w:p>
    <w:p>
      <w:pPr>
        <w:sectPr>
          <w:pgSz w:w="11900" w:h="16838" w:orient="portrait"/>
          <w:cols w:equalWidth="0" w:num="1">
            <w:col w:w="9879"/>
          </w:cols>
          <w:pgMar w:left="580" w:top="97" w:right="1440" w:bottom="1440" w:gutter="0" w:footer="0" w:header="0"/>
          <w:type w:val="continuous"/>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spacing w:after="0" w:line="253" w:lineRule="auto"/>
        <w:rPr>
          <w:sz w:val="20"/>
          <w:szCs w:val="20"/>
          <w:color w:val="auto"/>
        </w:rPr>
      </w:pPr>
      <w:r>
        <w:rPr>
          <w:rFonts w:ascii="Times New Roman" w:cs="Times New Roman" w:eastAsia="Times New Roman" w:hAnsi="Times New Roman"/>
          <w:sz w:val="18"/>
          <w:szCs w:val="18"/>
          <w:color w:val="auto"/>
        </w:rPr>
        <w:t>prospectus. We will, however, receive the exercise price of $0.001 per share of any of the Pre-Funded Warrants exercised for cash and the exercise price of $4.00 per share of any of the Private Placement Warrants exercised for cash. Throughout this prospectus, when we refer to the shares of our common stock being registered on behalf of the selling stockholders for offer and resale, we are referring to the shares of common stock that have been issued to the selling stockholders and the shares of common stock issuable upon exercise of the Pre-Funded Warrants and Private Placement Warrants issued in the Private Placement as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Investing in securities issued by us involves certain risks. Before you invest in any securities issued by us, in addition to the other information included in, or incorporated by reference into, this prospectus, you should carefully consider the risk factors contained in Part I, Item 1A under the caption “Risk Factors” and elsewhere in our most recent Annual Report on Form 10-K, which is incorporated by reference into this prospectus, as updated by and in our updates to those Risk Factors in our Quarterly Reports on Form 10-Q or Current Reports on Form 8-K, following the most recent Form 10-K and that are so incorporated and the risk factors contained in </w:t>
      </w:r>
      <w:hyperlink r:id="rId35">
        <w:r>
          <w:rPr>
            <w:rFonts w:ascii="Times New Roman" w:cs="Times New Roman" w:eastAsia="Times New Roman" w:hAnsi="Times New Roman"/>
            <w:sz w:val="18"/>
            <w:szCs w:val="18"/>
            <w:i w:val="1"/>
            <w:iCs w:val="1"/>
            <w:u w:val="single" w:color="auto"/>
            <w:color w:val="0000EE"/>
          </w:rPr>
          <w:t>our Definitive Proxy Statement on Schedule 14A filed on April 26, 2024</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 which is incorporated herein by reference.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 In addition to such other risks, set forth below are risks related to this Offering. The occurrence of any of the events described in the risk factors referred to above or set forth below might cause you to lose all or part of your investment in the common stock.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Risks Relating to This Offering and Our Common Stock</w:t>
      </w:r>
    </w:p>
    <w:p>
      <w:pPr>
        <w:spacing w:after="0" w:line="225"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sale of a substantial amount of our common stock, including resale of the shares of common stock issuable upon the exercise of the Pre-Funded Warrants and Private Placement Warrants in the public market after this offering could adversely affect the prevailing market price of our common stock and cause stockholders to experience dilution.</w:t>
      </w:r>
    </w:p>
    <w:p>
      <w:pPr>
        <w:spacing w:after="0" w:line="10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have an aggregate of 10,707,295 shares of our common stock outstanding as of January 10, 2025, including 1,783,805 shares of common stock being offered pursuant to this prospectus. The Pre-Funded Warrants and Private Placement Warrants are exercisable for an aggregate of 8,278,695 shares of common stock, subject to adjustment as provided in the Pre-Funded Warrants and Private Placement Warrants. Pursuant to the registration rights granted in the Private Placement, we agreed to register the resale by the selling stockholders named herein of the shares of common stock issued in the Private Placement, as well as those issuable upon exercise of the Pre-Funded Warrants and Private Placement Warrants. Upon such registration, these registered shares will become generally available for immediate resale.</w:t>
      </w:r>
    </w:p>
    <w:p>
      <w:pPr>
        <w:spacing w:after="0" w:line="11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in the public market, or the perception that such sales might occur, could adversely affect the market price of our common stock, and the market value of our other securities, and could result in dilution to stockholders who hold our common stock. In addition, we may issue additional shares of common stock or other equity or debt securities convertible into common stock in connection with future financings, acquisitions, employee arrangements or otherwise. Any such issuances could result in substantial dilution to our stockholders and could cause our stock price to decline.</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substantial number of shares of common stock are being offered by this prospectus, and we cannot predict if and when the selling stockholders may sell such shares in the public markets. We have also registered the offer and sale of all shares of common stock that we may issue under our equity compensation plans. Furthermore,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our stock price to decline.</w:t>
      </w:r>
    </w:p>
    <w:p>
      <w:pPr>
        <w:spacing w:after="0" w:line="177"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number of outstanding warrants and the exercise of currently outstanding warrants could result in significant dilution to the holders of our common stock.</w:t>
      </w:r>
    </w:p>
    <w:p>
      <w:pPr>
        <w:spacing w:after="0" w:line="7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As of January 10, 2025, we had outstanding warrants to purchase 8,278,695 shares of our common stock. The exercise of our outstanding warrants could result in significant dilution to existing common stockholders, adversely affect the market price of our common stock and impair our ability to raise capital through the sale of additional equity securities.</w:t>
      </w:r>
    </w:p>
    <w:p>
      <w:pPr>
        <w:spacing w:after="0" w:line="3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be volatile, which could subject us to securities class action litigation and our stockholders could incur substantial losses.</w:t>
      </w:r>
    </w:p>
    <w:p>
      <w:pPr>
        <w:spacing w:after="0" w:line="7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market price of shares of our common stock could be subject to wide fluctuations in response to many risk factors listed in this section, and others beyond our control, including:</w:t>
      </w:r>
    </w:p>
    <w:p>
      <w:pPr>
        <w:spacing w:after="0" w:line="54" w:lineRule="exact"/>
        <w:rPr>
          <w:sz w:val="20"/>
          <w:szCs w:val="20"/>
          <w:color w:val="auto"/>
        </w:rPr>
      </w:pPr>
    </w:p>
    <w:p>
      <w:pPr>
        <w:ind w:left="1800" w:right="7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or development activities of our programs, or any future programs we may acquire;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and smaller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 If in the future any of our stockholders brought a lawsuit against us, we could incur significant legal expenses, settlement costs or damage awards that are not covered by, or exceed the limits of, our available directors’ and officers’ liability insurance, which could adversely impact our financial condition, results of operations or cash flows. Such a lawsuit could also divert the time and attention of our management.</w:t>
      </w:r>
    </w:p>
    <w:p>
      <w:pPr>
        <w:spacing w:after="0" w:line="396"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7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may be influenced to some extent by the research and reports that industry or financial analysts publish about us and our business. We do not control these analysts.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83" w:lineRule="exact"/>
        <w:rPr>
          <w:sz w:val="20"/>
          <w:szCs w:val="20"/>
          <w:color w:val="auto"/>
        </w:rPr>
      </w:pPr>
    </w:p>
    <w:p>
      <w:pPr>
        <w:ind w:left="12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internal control over financial reporting is perceived as inadequate, or that we are unable to produce timely or accurate financial statements, investors may lose confidence in our operating results and the trading price of our common stock could decline.</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As a result, 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As a public company, we are required, under Section 404(a) of the Sarbanes-Oxley Act of 2002, to furnish a report by management on, among other things, the effectiveness of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internal control over financial reporting.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in the future and not be detected.</w:t>
      </w:r>
    </w:p>
    <w:p>
      <w:pPr>
        <w:spacing w:after="0" w:line="191" w:lineRule="exact"/>
        <w:rPr>
          <w:sz w:val="20"/>
          <w:szCs w:val="20"/>
          <w:color w:val="auto"/>
        </w:rPr>
      </w:pPr>
    </w:p>
    <w:p>
      <w:pPr>
        <w:ind w:left="1260" w:right="8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287" w:lineRule="exact"/>
        <w:rPr>
          <w:sz w:val="20"/>
          <w:szCs w:val="20"/>
          <w:color w:val="auto"/>
        </w:rPr>
      </w:pPr>
    </w:p>
    <w:p>
      <w:pPr>
        <w:ind w:left="1800" w:right="45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w:t>
      </w:r>
    </w:p>
    <w:p>
      <w:pPr>
        <w:spacing w:after="0" w:line="278"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294"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0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the transaction in which the person acquired in excess of 15% of our outstanding voting stock, unless the merger or combination is approved in a prescribed manner. Furthermore, our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w:t>
      </w:r>
    </w:p>
    <w:p>
      <w:pPr>
        <w:spacing w:after="0" w:line="186"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9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the selling stockholders. We may receive gross proceeds of up to $20,128,247 rounded to the nearest thousand dollars, if the Private Placement Warrants and Pre-Funded Warrants are exercised (to the extent the registration statement of which this prospectus is a part is then effective and, if applicable, the “cashless exercise” provision is not utilized by the holder) for cash at their applicable exercise prices. The Warrants are only exercisable on a net exercise cashless basis if there is no effective registration statement registering, or the prospectus contained therein is not available for the issuance of, the shares issuable upon exercise of common warrants. If any of the Pre-Funded Warrants or Common Warrants are exercised on a cashless basis, we would not receive any cash payment from the applicable selling stockholder upon any such exercise.</w:t>
      </w:r>
    </w:p>
    <w:p>
      <w:pPr>
        <w:spacing w:after="0" w:line="12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shares of our common stock.</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Any cash proceeds we receive from the exercise of Warrants will be used for general corporate purposes and working capital or other purposes that our Board of Directors deems to be in our best interest. As of the date of this prospectus, we cannot specify with certainty the particular uses for the proceeds we may receive. Accordingly, we will retain broad discretion over the use of these proceeds,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prepared this prospectus to permit the selling stockholders named below to, from time to time, sell, transfer or otherwise dispose of any or all of the Covered Shares. The shares of common stock being offered by the selling stockholders are those (i) issued to the selling stockholders in the Private Placement and (ii) issuable to the selling stockholders upon exercise of the warrants issued in the Private Placement. Notwithstanding the foregoing, the selling stockholders make no representations that the shares will be offered for sale. We are registering the offer and sale of the Covered Shares to satisfy registration rights we have granted to the selling stockholders.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issued the shares to the selling stockholders pursuant to an exemption from the registration requirements of the Securities Act provided by Section 4(a)(2) thereof and Regulation D promulgated thereunder. In connection with such issuance, each of the selling stockholders represented that such stockholder was an “accredited investor,” as such term is defined in Rule 501(a) of Regulation D. Each of the selling stockholders also represented that the stockholder was acquiring the shares of our common stock for the stockholder’s own account and not on behalf of any other person and not with a view to any resale, distribution or other disposition of the shares.</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table below presents information regarding (i) the selling stockholders, (ii) the number of shares of common stock beneficially owned by each of them prior to the offering, based on their ownership of shares of common stock and Warrants, as of January 10, 2025, assuming exercise of the Warrants held by the selling stockholders on that date, without regard to any limitations on exercises, (iii) the number of shares of common stock that each of them may sell or otherwise dispose of from time to time under this prospectus and (iv) the number and percentage of the common stock the selling stockholders will own assuming all of the shares of common stock covered by this prospectus are sold by the selling stockholders. The amounts and information set forth below are based upon information provided to us by the selling stockholders, or his, her or its representatives, in Schedules 13G or 13D and other public documents filed with the SEC or on our records as of January 1, 2025.</w:t>
      </w:r>
    </w:p>
    <w:p>
      <w:pPr>
        <w:spacing w:after="0" w:line="11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Because the selling stockholders identified in the table may sell some or all of the Covered Shares, and because, other than the registration rights, there are currently no agreements, arrangements or understandings with respect to the sale of any of the Covered Shares, no estimate can be given as to the number of Covered Shares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common stock they hold in transactions exempt from the registration requirements of the Securities Act after the date on which they acquired the Covered Shares pursuant to the Private Placement, as applicable. We have, therefore, assumed for the purposes of the following table that all the common stock covered by this prospectus will be sold by the selling stockholders.</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each person named in the table has sole voting and investment power with respect to all shares of our common stock shown in the table to be beneficially owned by such person. Except as described below in the footnotes and in “Material Relationships Between Selling Stockholders and Marker”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our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spacing w:after="0" w:line="329"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Any prospectus supplement may add, update, substitute, or change the information contained in this prospectus, including the identity of the selling stockholders and the number of shares of common stock</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registered on its behalf. The selling stockholders may sell or otherwise transfer all, some or none of the common stock held by each of them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Enterprise Associates 16, L.P.</w:t>
      </w:r>
      <w:r>
        <w:rPr>
          <w:rFonts w:ascii="Times New Roman" w:cs="Times New Roman" w:eastAsia="Times New Roman" w:hAnsi="Times New Roman"/>
          <w:sz w:val="23"/>
          <w:szCs w:val="23"/>
          <w:b w:val="1"/>
          <w:bCs w:val="1"/>
          <w:color w:val="auto"/>
          <w:vertAlign w:val="superscript"/>
        </w:rPr>
        <w:t>(3)</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Aisling Capital IV LP</w:t>
      </w:r>
      <w:r>
        <w:rPr>
          <w:rFonts w:ascii="Times New Roman" w:cs="Times New Roman" w:eastAsia="Times New Roman" w:hAnsi="Times New Roman"/>
          <w:sz w:val="23"/>
          <w:szCs w:val="23"/>
          <w:b w:val="1"/>
          <w:bCs w:val="1"/>
          <w:color w:val="auto"/>
          <w:vertAlign w:val="superscript"/>
        </w:rPr>
        <w:t>(4)</w:t>
      </w:r>
    </w:p>
    <w:p>
      <w:pPr>
        <w:spacing w:after="0" w:line="17" w:lineRule="exact"/>
        <w:rPr>
          <w:sz w:val="20"/>
          <w:szCs w:val="20"/>
          <w:color w:val="auto"/>
        </w:rPr>
      </w:pPr>
    </w:p>
    <w:p>
      <w:pPr>
        <w:ind w:left="1440" w:right="40" w:hanging="179"/>
        <w:spacing w:after="0" w:line="248" w:lineRule="auto"/>
        <w:rPr>
          <w:sz w:val="20"/>
          <w:szCs w:val="20"/>
          <w:color w:val="auto"/>
        </w:rPr>
      </w:pPr>
      <w:r>
        <w:rPr>
          <w:rFonts w:ascii="Times New Roman" w:cs="Times New Roman" w:eastAsia="Times New Roman" w:hAnsi="Times New Roman"/>
          <w:sz w:val="18"/>
          <w:szCs w:val="18"/>
          <w:b w:val="1"/>
          <w:bCs w:val="1"/>
          <w:color w:val="auto"/>
        </w:rPr>
        <w:t>Blue Owl Healthcare Opportunities IV Public Investments LP</w:t>
      </w:r>
      <w:r>
        <w:rPr>
          <w:rFonts w:ascii="Times New Roman" w:cs="Times New Roman" w:eastAsia="Times New Roman" w:hAnsi="Times New Roman"/>
          <w:sz w:val="23"/>
          <w:szCs w:val="23"/>
          <w:b w:val="1"/>
          <w:bCs w:val="1"/>
          <w:color w:val="auto"/>
          <w:vertAlign w:val="superscript"/>
        </w:rPr>
        <w:t>(5)</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Hudson Bay Master Fund Ltd.</w:t>
      </w:r>
      <w:r>
        <w:rPr>
          <w:rFonts w:ascii="Times New Roman" w:cs="Times New Roman" w:eastAsia="Times New Roman" w:hAnsi="Times New Roman"/>
          <w:sz w:val="23"/>
          <w:szCs w:val="23"/>
          <w:b w:val="1"/>
          <w:bCs w:val="1"/>
          <w:color w:val="auto"/>
          <w:vertAlign w:val="superscript"/>
        </w:rPr>
        <w:t>(6)</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Alyeska Master Fund, L.P.</w:t>
      </w:r>
      <w:r>
        <w:rPr>
          <w:rFonts w:ascii="Times New Roman" w:cs="Times New Roman" w:eastAsia="Times New Roman" w:hAnsi="Times New Roman"/>
          <w:sz w:val="23"/>
          <w:szCs w:val="23"/>
          <w:b w:val="1"/>
          <w:bCs w:val="1"/>
          <w:color w:val="auto"/>
          <w:vertAlign w:val="superscript"/>
        </w:rPr>
        <w:t>(7)</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7"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of Shares of</w:t>
            </w: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6"/>
              </w:rPr>
              <w:t>Stock to be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Stock</w:t>
            </w:r>
          </w:p>
        </w:tc>
      </w:tr>
      <w:tr>
        <w:trPr>
          <w:trHeight w:val="162"/>
        </w:trPr>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20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Pursuant to</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62"/>
        </w:trPr>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this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After the</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to Offering</w:t>
            </w:r>
          </w:p>
        </w:tc>
        <w:tc>
          <w:tcPr>
            <w:tcW w:w="10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Prospectus</w:t>
            </w:r>
            <w:r>
              <w:rPr>
                <w:rFonts w:ascii="Times New Roman" w:cs="Times New Roman" w:eastAsia="Times New Roman" w:hAnsi="Times New Roman"/>
                <w:sz w:val="15"/>
                <w:szCs w:val="15"/>
                <w:b w:val="1"/>
                <w:bCs w:val="1"/>
                <w:color w:val="auto"/>
                <w:vertAlign w:val="superscript"/>
              </w:rPr>
              <w:t>(1)</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Offering</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Offering</w:t>
            </w:r>
            <w:r>
              <w:rPr>
                <w:rFonts w:ascii="Times New Roman" w:cs="Times New Roman" w:eastAsia="Times New Roman" w:hAnsi="Times New Roman"/>
                <w:sz w:val="15"/>
                <w:szCs w:val="15"/>
                <w:b w:val="1"/>
                <w:bCs w:val="1"/>
                <w:color w:val="auto"/>
                <w:vertAlign w:val="superscript"/>
              </w:rPr>
              <w:t>(1)(2)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4,196,428</w:t>
            </w: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 ​​ 3,125,000​​ ​​1,071,428​​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​5.64% ​</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376,785</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62,500​​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314,285​​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​1.66% ​</w:t>
            </w:r>
          </w:p>
        </w:tc>
      </w:tr>
      <w:tr>
        <w:trPr>
          <w:trHeight w:val="459"/>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3,125,000</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 3,125,000​​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r>
      <w:tr>
        <w:trPr>
          <w:trHeight w:val="310"/>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 1,875,000​​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r>
      <w:tr>
        <w:trPr>
          <w:trHeight w:val="275"/>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 1,875,000​​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r>
      <w:tr>
        <w:trPr>
          <w:trHeight w:val="265"/>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​11,448,213</w:t>
            </w: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​10,062,500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​1,385,713</w:t>
            </w: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-848360</wp:posOffset>
            </wp:positionV>
            <wp:extent cx="521208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-359410</wp:posOffset>
            </wp:positionV>
            <wp:extent cx="52120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-1216660</wp:posOffset>
            </wp:positionV>
            <wp:extent cx="52120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683" w:lineRule="exact"/>
        <w:rPr>
          <w:sz w:val="20"/>
          <w:szCs w:val="20"/>
          <w:color w:val="auto"/>
        </w:rPr>
      </w:pPr>
    </w:p>
    <w:p>
      <w:pPr>
        <w:sectPr>
          <w:pgSz w:w="11900" w:h="16838" w:orient="portrait"/>
          <w:cols w:equalWidth="0" w:num="2">
            <w:col w:w="4660" w:space="720"/>
            <w:col w:w="4499"/>
          </w:cols>
          <w:pgMar w:left="580" w:top="97" w:right="1440" w:bottom="1440" w:gutter="0" w:footer="0" w:header="0"/>
          <w:type w:val="continuous"/>
        </w:sectPr>
      </w:pPr>
    </w:p>
    <w:p>
      <w:pPr>
        <w:ind w:left="1620" w:right="539" w:hanging="360"/>
        <w:spacing w:after="0" w:line="261"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and 9.9% of our outstanding common stock, as applicable.</w:t>
      </w:r>
    </w:p>
    <w:p>
      <w:pPr>
        <w:spacing w:after="0" w:line="31" w:lineRule="exact"/>
        <w:rPr>
          <w:rFonts w:ascii="Times New Roman" w:cs="Times New Roman" w:eastAsia="Times New Roman" w:hAnsi="Times New Roman"/>
          <w:sz w:val="18"/>
          <w:szCs w:val="18"/>
          <w:color w:val="auto"/>
        </w:rPr>
      </w:pPr>
    </w:p>
    <w:p>
      <w:pPr>
        <w:ind w:left="1620" w:right="639" w:hanging="360"/>
        <w:spacing w:after="0" w:line="255"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18,985,990 shares of common stock, which includes 10,707,295 shares of common stock issued and outstanding on January 10, 2025, and 8,278,695 shares of common stock being offered in this prospectus that may be issued upon exercise of the Warrants. In determining this amount, we assumed that (i) all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40" w:lineRule="exact"/>
        <w:rPr>
          <w:rFonts w:ascii="Times New Roman" w:cs="Times New Roman" w:eastAsia="Times New Roman" w:hAnsi="Times New Roman"/>
          <w:sz w:val="18"/>
          <w:szCs w:val="18"/>
          <w:color w:val="auto"/>
        </w:rPr>
      </w:pPr>
    </w:p>
    <w:p>
      <w:pPr>
        <w:ind w:left="1620" w:right="459" w:hanging="360"/>
        <w:spacing w:after="0" w:line="253"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information obtained from a Schedule 13D/A filed on December 23, 2024 with the SEC by New Enterprise Associates 16, L.P. (“NEA 16”) and its affiliates. Consists of 1,625,678 shares of common stock held directly by NEA 16 (“NEA Partners 16”) is the sole general partner of NEA 16, and NEA 16 GP, LLC (“NEA 16 LLC”) is the sole general partner of NEA Partners 16. The managers of NEA 16 LLC are Forest Baskett, Ali Behbahani, Carmen Chang, Anthony A. Florence, Jr., Mohamad H. Makhzoumi, Scott D. Sandell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 The Warrants held the stockholder prohibit the exercise thereof if, after giving effect to such exercise, the beneficial ownership of the stockholder, their affiliates and any person whose beneficial ownership would be attributable to such entities, would exceed 9.99%.</w:t>
      </w:r>
    </w:p>
    <w:p>
      <w:pPr>
        <w:spacing w:after="0" w:line="257"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consist of (i) 2,968 shares of common stock held directly by Mr. Elms, (b) 323,370 shares of common stock held directly by Aisling Capital for which Mr. Elms shares voting and dispositive power, (c) 9,250 shares of common stock issuable upon exercise of stock options within 60 days and (d) 51,415 shares of common stock issuable upon exercise of Private Placement Warrants and Pre-Funded Warrants. Aisling Capital Partners IV LLC is a general partner of Aisling Capital Partners IV, LP. Steve Elms and Andrew Schiff are the managing members of Aisling Capital Partners IV LLC. By virtue of these relationships, each of Aisling Capital Partners IV, LP, Aisling Capital Partners IV LLC, may be deemed to have sole voting and dispositive power with respect to the shares of our common stock beneficially owned by Aisling Capital IV, LP. Additionally, each of Mr. Elms and Mr. Schiff may be deemed to share the power to direct the voting and the</w:t>
      </w:r>
    </w:p>
    <w:p>
      <w:pPr>
        <w:sectPr>
          <w:pgSz w:w="11900" w:h="16838" w:orient="portrait"/>
          <w:cols w:equalWidth="0" w:num="1">
            <w:col w:w="9879"/>
          </w:cols>
          <w:pgMar w:left="580" w:top="97" w:right="1440" w:bottom="1440" w:gutter="0" w:footer="0" w:header="0"/>
          <w:type w:val="continuous"/>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38" w:lineRule="auto"/>
        <w:rPr>
          <w:sz w:val="20"/>
          <w:szCs w:val="20"/>
          <w:color w:val="auto"/>
        </w:rPr>
      </w:pPr>
      <w:r>
        <w:rPr>
          <w:rFonts w:ascii="Times New Roman" w:cs="Times New Roman" w:eastAsia="Times New Roman" w:hAnsi="Times New Roman"/>
          <w:sz w:val="18"/>
          <w:szCs w:val="18"/>
          <w:color w:val="auto"/>
        </w:rPr>
        <w:t>disposition of the shares of our common stock beneficially owned by Aisling Capital IV, LP. The address of the principal business offices of each of these entities and individuals is 888 Seventh Avenue, 12th Floor, New York, New York 10106 and 489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10017. The Warrants held the stockholder prohibit the exercise thereof if, after giving effect to such exercise, the beneficial ownership of the stockholder, their affiliates and any person whose beneficial ownership would be attributable to such entities, would exceed 4.99%.</w:t>
      </w:r>
    </w:p>
    <w:p>
      <w:pPr>
        <w:spacing w:after="0" w:line="68" w:lineRule="exact"/>
        <w:rPr>
          <w:sz w:val="20"/>
          <w:szCs w:val="20"/>
          <w:color w:val="auto"/>
        </w:rPr>
      </w:pPr>
    </w:p>
    <w:p>
      <w:pPr>
        <w:ind w:left="1620" w:right="439" w:hanging="360"/>
        <w:spacing w:after="0" w:line="25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consist of (i) 554,250 shares of common stock held directly and (ii) shares of common stock issuable upon exercise of Private Placement Warrants and Pre-Funded Warrants. The selling stockholder is offering all of the shares of common stock beneficially owned thereby in the offering. Blue Owl Healthcare Opportunities Advisors, LLC (“</w:t>
      </w:r>
      <w:r>
        <w:rPr>
          <w:rFonts w:ascii="Times New Roman" w:cs="Times New Roman" w:eastAsia="Times New Roman" w:hAnsi="Times New Roman"/>
          <w:sz w:val="18"/>
          <w:szCs w:val="18"/>
          <w:b w:val="1"/>
          <w:bCs w:val="1"/>
          <w:color w:val="auto"/>
        </w:rPr>
        <w:t>Blue Owl</w:t>
      </w:r>
      <w:r>
        <w:rPr>
          <w:rFonts w:ascii="Times New Roman" w:cs="Times New Roman" w:eastAsia="Times New Roman" w:hAnsi="Times New Roman"/>
          <w:sz w:val="18"/>
          <w:szCs w:val="18"/>
          <w:color w:val="auto"/>
        </w:rPr>
        <w:t>”) is the investment manager of Blue Owl Healthcare Opportunities IV Public Investments LP and has voting and investment power over the shares held by Blue Owl Healthcare Opportunities IV Public Investments LP. Blue Owl Healthcare Opportunities Advisors LLC exercises voting and investment power through an investment committee comprised of Kevin Raidy, Timothy Anderson, Sandip Agarwala, and Brandyn Itzkowitz, who each disclaims beneficial ownership over these securities. The address of the selling stockholder is c/o Blue Owl, Healthcare Opportunities Advisors, LLC, 399 Park Avenue,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216" w:lineRule="exact"/>
        <w:rPr>
          <w:rFonts w:ascii="Times New Roman" w:cs="Times New Roman" w:eastAsia="Times New Roman" w:hAnsi="Times New Roman"/>
          <w:sz w:val="18"/>
          <w:szCs w:val="18"/>
          <w:color w:val="auto"/>
        </w:rPr>
      </w:pPr>
    </w:p>
    <w:p>
      <w:pPr>
        <w:ind w:left="1620" w:right="419" w:hanging="360"/>
        <w:spacing w:after="0" w:line="24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consist of (i) 331,670 shares of common stock held directly and (ii) 1,543,330 shares of common stock issuable upon exercise of Private Placement Warrants and Pre-Funded Warrants. The selling stockholder is offering all of the shares of common stock beneficially owned thereby in the offering. Hudson Bay Capital Management LP (the “Investment Manager”) serves as the investment manager to Hudson Bay Master Fund Ltd., in whose name the securities reported herein are held, may be deemed to be the beneficial owner of all shares of Common Stock held by Hudson Bay Master Fund Ltd. Mr. Sander Gerber serves as the managing member of Hudson Bay Capital GP LLC, which is the general partner of the Investment Manager. The address of the selling stockholder is c/o Hudson Bay Capital Management, LP, 290 Harbor Drive,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Standford, Connecticut 06902. The Warrants held the stockholder prohibit the exercise thereof if, after giving effect to such exercise, the beneficial ownership of the stockholder, their affiliates and any person whose beneficial ownership would be attributable to such entities, would exceed 4.99%.</w:t>
      </w:r>
    </w:p>
    <w:p>
      <w:pPr>
        <w:spacing w:after="0" w:line="55" w:lineRule="exact"/>
        <w:rPr>
          <w:rFonts w:ascii="Times New Roman" w:cs="Times New Roman" w:eastAsia="Times New Roman" w:hAnsi="Times New Roman"/>
          <w:sz w:val="18"/>
          <w:szCs w:val="18"/>
          <w:color w:val="auto"/>
        </w:rPr>
      </w:pPr>
    </w:p>
    <w:p>
      <w:pPr>
        <w:ind w:left="1620" w:right="479" w:hanging="360"/>
        <w:spacing w:after="0" w:line="253"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consist of (i) 332,550 shares of common stock held directly and (ii) 1,875,000 shares of common stock issuable upon exercise of Private Placement Warrants and Pre-Funded Warrants.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is at c/o Maples Corporate Services Limited, P.O. Box 309, Ugland House, South Church Street George Town, Grand Cayman, KY1-1104, Cayman Islands. Alyeska Investment Group, L.P. is located at 77 W. Wacker, Suite 700, Chicago, Illinois 60601. The Warrants held the stockholder prohibit the exercise thereof if, after giving effect to such exercise, the beneficial ownership of the stockholder, their affiliates and any person whose beneficial ownership would be attributable to such entities, would exceed 9.99%.</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Between Selling Stockholders and Marker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Agreements with Marker Therapeutics Equity Holders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Certain of the selling stockholders that acquired their shares of our common stock in connection with the Private Placement have entered into voting agreements. The selling stockholders that acquired their shares in the Private Placement that have entered into voting agreements are: New Enterprise Associates 16, L.P, (“NEA”) and Aisling Capital IV, LP (“Aisling”).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Designation and Observer Rights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New Enterprise Associates 16, L.P, (“NEA”), one of the Private Placement investors and a selling stockholder, has the right to designate either a board observer or a board member to our board of directors.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75" w:lineRule="auto"/>
        <w:rPr>
          <w:sz w:val="20"/>
          <w:szCs w:val="20"/>
          <w:color w:val="auto"/>
        </w:rPr>
      </w:pPr>
      <w:r>
        <w:rPr>
          <w:rFonts w:ascii="Times New Roman" w:cs="Times New Roman" w:eastAsia="Times New Roman" w:hAnsi="Times New Roman"/>
          <w:sz w:val="18"/>
          <w:szCs w:val="18"/>
          <w:color w:val="auto"/>
        </w:rPr>
        <w:t>NEA has the designation right until either (i) a Change of Control Transaction, or (ii) NEA ceases to own less than 2,500,000 Shares of the Company’s stock. NEA has designated Ali Behbahani as their board observer.</w:t>
      </w:r>
    </w:p>
    <w:p>
      <w:pPr>
        <w:spacing w:after="0" w:line="32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another investor in the Private Placement and a selling stockholder, Aisling Capital IV, LP (“Aisling”), has the right to designate a board observer, so long as Aisling holds a number of shares of our common stock that is no less than 70% of the number of shares purchased in a prior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are registering the shares of common stock issued to the selling stockholders and issuable upon exercise of Warrants (Private Placement Warrants and Pre-Funded Warrants), which we collectively refer to as the Covered Shares, issued to the selling stockholders to permit the resale of those shares of common stock by the holders of the common stock and Warrants from time to time after the date of this prospectus. We will not receive any proceeds from the sale by the selling stockholders of the shares of common stock.</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selling stockholders and any of their respective pledgees, donees, transferees, assignees or other successors-in-interest may, from time to time, sell any or all their respective shares of our common stock on any stock exchange, market or trading facility on which the shares are traded or in private transactions from time to time directly or through one or more underwriters, broker-dealers or agents, subject to certain transfer restrictions imposed upon certain of the shares of common stock covered by this prospectus. See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Such sales may be made on one or more exchanges or in the over-the -counter market or otherwise, at prices and under terms then prevailing or at prices related to the then current market price or in negotiated transactions. The selling stockholders may use any one or more of the following methods when selling shares:</w:t>
      </w:r>
    </w:p>
    <w:p>
      <w:pPr>
        <w:spacing w:after="0" w:line="77"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or market distribution in accordance with the rules of the applicable exchange or market;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at-the-market offerings;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of 1934, or amended (the “Securities Act”), or Section 4 (a)</w:t>
      </w:r>
    </w:p>
    <w:p>
      <w:pPr>
        <w:ind w:left="1260" w:right="839"/>
        <w:spacing w:after="0" w:line="260" w:lineRule="auto"/>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rather than under this prospectus, provided that such transactions meet the criteria and conform to the requirements of those provisions.</w:t>
      </w:r>
    </w:p>
    <w:p>
      <w:pPr>
        <w:spacing w:after="0" w:line="114"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certain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except as set forth in a supplement to this prospectus, in the case of an agency transaction will not be in excess of a customary brokerage commission in compliance with applicable Financial Industry Regulatory Authority, Inc., or FINRA, rules; and in the case of a principal transaction a markup or markdown in compliance with applicable FINRA rules. The maximum commission or discount to be received by any member FINRA or independent broker-dealer will not be greater than 8% of the initial gross proceeds from the sale of any security being sold.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warrants or shares of our common stock owned by them and, if they default in the performance of their secured obligations, the pledgees or secured parties may offer and sell the shares of our common stock, from time to time, under this prospectus, or under an amendment to this prospectus under Rule 424(b)(3) or other applicable provision of the Securities Act amending, if necessary, the list of the selling stockholder(s) to include the pledgee, donees, transferee or other successors in interest as selling stockholders under this prospectus. The selling stockholders also may transfer and donate the shares of our common stock in other circumstances, in which case the pledgees, donees, transferees or other successors in interest will be the selling beneficial owners for purposes of this prospectus.</w:t>
      </w:r>
    </w:p>
    <w:p>
      <w:pPr>
        <w:spacing w:after="0" w:line="11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w:t>
      </w:r>
    </w:p>
    <w:p>
      <w:pPr>
        <w:spacing w:after="0" w:line="1" w:lineRule="exact"/>
        <w:rPr>
          <w:sz w:val="20"/>
          <w:szCs w:val="20"/>
          <w:color w:val="auto"/>
        </w:rPr>
      </w:pPr>
    </w:p>
    <w:p>
      <w:pPr>
        <w:ind w:left="1260" w:right="599"/>
        <w:spacing w:after="0"/>
        <w:tabs>
          <w:tab w:leader="none" w:pos="15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1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or interests therein, the selling stockholders may enter into hedging transactions with broker- 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selling stockholders and any underwriters, broker- dealers or agents that participate in the sale of the common stock or interests therein may be deemed to be “underwriters” within the meaning of Section 2(11) of the Securities Act. Any discounts, commissions, concessions or profit they earn on any resale of the shares may be underwriting discounts and commissions under the Securities Act.</w:t>
      </w:r>
    </w:p>
    <w:p>
      <w:pPr>
        <w:spacing w:after="0" w:line="110"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0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9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anti-manipulation rules of Regulation M under the Exchange Act of 1934, as amended, (the “Exchange Act”) may apply to sales of shares in the market and to the activities of the selling stockholders and their affiliates. We have advised the selling stockholders that while it is engaged in a distribution of the shares included in this prospectus it is required to comply with Regulation M promulgated under the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6" w:lineRule="auto"/>
        <w:rPr>
          <w:sz w:val="20"/>
          <w:szCs w:val="20"/>
          <w:color w:val="auto"/>
        </w:rPr>
      </w:pPr>
      <w:r>
        <w:rPr>
          <w:rFonts w:ascii="Times New Roman" w:cs="Times New Roman" w:eastAsia="Times New Roman" w:hAnsi="Times New Roman"/>
          <w:sz w:val="18"/>
          <w:szCs w:val="18"/>
          <w:color w:val="auto"/>
        </w:rPr>
        <w:t>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agreed to keep the registration statement of which this prospectus is a part effective until the earlier of (i) the date as of which all of the selling stockholders may sell all of the Covered Shares without restriction pursuant to Rule 144 under the Securities Act (including, without limitation, volume restrictions) and without the need for current public information required by Rule 144(c)(1) (or Rule 144(i)(2), if applicable) or (ii) the date on which the selling stockholders shall have sold all of the Covered Shares. We will bear all fees and expenses incurred in effecting the registration of the shares covered by this prospectus, including all fees and expenses in connection with the filing of any registration statement or prospectus supplement, fees and expenses of compliance with securities or “blue sky” laws, transfer agent fees, the maintenance of the effectiveness of the registration statement, and the listing of the shares on NASDAQ, including all registration, filing, qualification, printing, accounting and other fees and expenses, and shall be responsible for up to $10,000 of fees for one legal counsel to the selling stockholders who acquired their shares at the closing our merger, including those with respect to any review and preparation of any registration statement or prospectus supplement. The selling stockholders will pay any underwriting discounts and commissions and expenses incurred by the selling stockholders for brokerage, accounting, tax or legal services or any other expenses incurred by the selling stockholders in disposing of the shares.</w:t>
      </w:r>
    </w:p>
    <w:p>
      <w:pPr>
        <w:spacing w:after="0" w:line="115"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We will indemnify the selling stockholders against certain liabilities, including some liabilities under the Securities Act, in accordance with the registration rights agreement and securities purchase agreement, as applicable, or the selling stockholders will be entitled to contribution, as applicable. We may be indemnified by the selling stockholders against certain liabilities, including some liabilities under the Securities Act, that may arise from any written information furnished to us by the selling stockholders specifically for use in this prospectus, in accordance with the related registration rights agreement and securities purchase agreement, as applicable, or we may be entitled to contribution, as applicable.</w:t>
      </w:r>
    </w:p>
    <w:p>
      <w:pPr>
        <w:spacing w:after="0" w:line="12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this registration statement, of which this prospectus forms a part.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consolidated financial statements as of and for the years ended December 31, 2023 and 2022, as set forth in its report included in our 2023 Annual Report on Form 10-K. Our 2023 and 2022 financial statements are incorporated by reference in reliance on Marcum LLP’s report, given on their authority as experts in accounting and auditing.</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Shumaker, Loop &amp; Kendrick, LLP, Tampa, Florida. Additional legal matters may be passed upon for us or any underwriters, dealers or agents, by counsel that we will name in the applicable prospectus supplement.</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337"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issuers, such as us, that file electronically with the SEC.</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Copies of certain information filed by us with the SEC are also available on our website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Information contained in or accessible through our website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17" w:lineRule="exact"/>
        <w:rPr>
          <w:sz w:val="20"/>
          <w:szCs w:val="20"/>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our Annual Report on Form 10-K for the fiscal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March 26, 2024;</w:t>
        </w:r>
      </w:hyperlink>
    </w:p>
    <w:p>
      <w:pPr>
        <w:spacing w:after="0" w:line="53" w:lineRule="exact"/>
        <w:rPr>
          <w:rFonts w:ascii="Times New Roman" w:cs="Times New Roman" w:eastAsia="Times New Roman" w:hAnsi="Times New Roman"/>
          <w:sz w:val="18"/>
          <w:szCs w:val="18"/>
          <w:u w:val="single" w:color="auto"/>
          <w:color w:val="0000EE"/>
        </w:rPr>
      </w:pPr>
    </w:p>
    <w:p>
      <w:pPr>
        <w:ind w:left="1800" w:right="459" w:hanging="180"/>
        <w:spacing w:after="0" w:line="266" w:lineRule="auto"/>
        <w:tabs>
          <w:tab w:leader="none" w:pos="1800" w:val="left"/>
        </w:tabs>
        <w:numPr>
          <w:ilvl w:val="0"/>
          <w:numId w:val="19"/>
        </w:numPr>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auto"/>
          </w:rPr>
          <w:t xml:space="preserve">the information specifically incorporated by reference into </w:t>
        </w:r>
        <w:r>
          <w:rPr>
            <w:rFonts w:ascii="Times New Roman" w:cs="Times New Roman" w:eastAsia="Times New Roman" w:hAnsi="Times New Roman"/>
            <w:sz w:val="18"/>
            <w:szCs w:val="18"/>
            <w:u w:val="single" w:color="auto"/>
            <w:color w:val="0000EE"/>
          </w:rPr>
          <w:t>our Annual Report on Form 10-K for the</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our Definitive Proxy Statement on Schedule 14A, filed with the</w:t>
        </w:r>
      </w:hyperlink>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SEC on April 26, 2024</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800" w:right="599" w:hanging="180"/>
        <w:spacing w:after="0" w:line="266" w:lineRule="auto"/>
        <w:tabs>
          <w:tab w:leader="none" w:pos="180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March 31, 2024, June 30, 2024, </w:t>
      </w:r>
      <w:hyperlink r:id="rId54">
        <w:r>
          <w:rPr>
            <w:rFonts w:ascii="Times New Roman" w:cs="Times New Roman" w:eastAsia="Times New Roman" w:hAnsi="Times New Roman"/>
            <w:sz w:val="18"/>
            <w:szCs w:val="18"/>
            <w:color w:val="auto"/>
          </w:rPr>
          <w:t xml:space="preserve">and September 30, 2024, filed with the SEC on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14,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14,</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800" w:right="659" w:hanging="180"/>
        <w:spacing w:after="0" w:line="266" w:lineRule="auto"/>
        <w:tabs>
          <w:tab w:leader="none" w:pos="1800" w:val="left"/>
        </w:tabs>
        <w:numPr>
          <w:ilvl w:val="0"/>
          <w:numId w:val="19"/>
        </w:numPr>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26,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June 12, 2024</w:t>
        </w:r>
      </w:hyperlink>
      <w:hyperlink r:id="rId5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August 12, 2024</w:t>
        </w:r>
      </w:hyperlink>
      <w:hyperlink r:id="rId5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August 14, 2024</w:t>
        </w:r>
      </w:hyperlink>
      <w:hyperlink r:id="rId5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November 14, 2024</w:t>
        </w:r>
      </w:hyperlink>
      <w:hyperlink r:id="rId5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December 17,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December 19,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u w:val="single" w:color="auto"/>
            <w:color w:val="0000EE"/>
          </w:rPr>
          <w:t>December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800" w:right="519" w:hanging="180"/>
        <w:spacing w:after="0" w:line="261"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u w:val="single" w:color="auto"/>
            <w:color w:val="0000EE"/>
          </w:rPr>
          <w:t>the description of our common stock set forth in the amendment to the registration statement on</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Form 8-A12B registering our common stock under Section 12 of the Exchange Act, which was filed</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with the SEC on October 17, 2018, including any amendments or reports filed for purposes of</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updating such description.</w:t>
        </w:r>
      </w:hyperlink>
    </w:p>
    <w:p>
      <w:pPr>
        <w:spacing w:after="0" w:line="99" w:lineRule="exact"/>
        <w:rPr>
          <w:rFonts w:ascii="Times New Roman" w:cs="Times New Roman" w:eastAsia="Times New Roman" w:hAnsi="Times New Roman"/>
          <w:sz w:val="18"/>
          <w:szCs w:val="18"/>
          <w:u w:val="single" w:color="auto"/>
          <w:color w:val="0000EE"/>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Times New Roman" w:cs="Times New Roman" w:eastAsia="Times New Roman" w:hAnsi="Times New Roman"/>
          <w:sz w:val="18"/>
          <w:szCs w:val="18"/>
          <w:u w:val="single" w:color="auto"/>
          <w:color w:val="0000EE"/>
        </w:rPr>
      </w:pPr>
    </w:p>
    <w:p>
      <w:pPr>
        <w:ind w:left="1260" w:right="499"/>
        <w:spacing w:after="0" w:line="253" w:lineRule="auto"/>
        <w:tabs>
          <w:tab w:leader="none" w:pos="14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21" w:lineRule="exact"/>
        <w:rPr>
          <w:rFonts w:ascii="Times New Roman" w:cs="Times New Roman" w:eastAsia="Times New Roman" w:hAnsi="Times New Roman"/>
          <w:sz w:val="18"/>
          <w:szCs w:val="18"/>
          <w:u w:val="single" w:color="auto"/>
          <w:color w:val="0000EE"/>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2450 Holcombe Blvd, Suite BCM-A, MS: BCM251, Houston, Texas 77021, and our telephone number is (713) 400-6400.</w:t>
      </w:r>
    </w:p>
    <w:p>
      <w:pPr>
        <w:spacing w:after="0" w:line="120" w:lineRule="exact"/>
        <w:rPr>
          <w:rFonts w:ascii="Times New Roman" w:cs="Times New Roman" w:eastAsia="Times New Roman" w:hAnsi="Times New Roman"/>
          <w:sz w:val="18"/>
          <w:szCs w:val="18"/>
          <w:u w:val="single" w:color="auto"/>
          <w:color w:val="0000EE"/>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88" w:lineRule="exact"/>
        <w:rPr>
          <w:rFonts w:ascii="Times New Roman" w:cs="Times New Roman" w:eastAsia="Times New Roman" w:hAnsi="Times New Roman"/>
          <w:sz w:val="18"/>
          <w:szCs w:val="18"/>
          <w:u w:val="single" w:color="auto"/>
          <w:color w:val="0000EE"/>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10,062,500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864235</wp:posOffset>
            </wp:positionV>
            <wp:extent cx="1825625" cy="52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18256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29"/>
          <w:szCs w:val="29"/>
          <w:b w:val="1"/>
          <w:bCs w:val="1"/>
          <w:color w:val="auto"/>
        </w:rPr>
        <w:t>Marker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975995</wp:posOffset>
            </wp:positionV>
            <wp:extent cx="1234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236220</wp:posOffset>
            </wp:positionV>
            <wp:extent cx="123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January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1005840</wp:posOffset>
            </wp:positionV>
            <wp:extent cx="5212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lowerRoman"/>
      <w:start w:val="2"/>
    </w:lvl>
  </w:abstractNum>
  <w:abstractNum w:abstractNumId="7">
    <w:nsid w:val="DED7263"/>
    <w:multiLevelType w:val="hybridMultilevel"/>
    <w:lvl w:ilvl="0">
      <w:lvlJc w:val="left"/>
      <w:lvlText w:val="(%1)"/>
      <w:numFmt w:val="lowerRoman"/>
      <w:start w:val="2"/>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5"/>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Roman"/>
      <w:start w:val="3"/>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jpe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29" Type="http://schemas.openxmlformats.org/officeDocument/2006/relationships/hyperlink" Target="http://www.sec.gov/ix?doc=/Archives/edgar/data/1094038/000110465924131322/tm2431905d1_8k.htm" TargetMode="External"/><Relationship Id="rId35" Type="http://schemas.openxmlformats.org/officeDocument/2006/relationships/hyperlink" Target="http://www.sec.gov/Archives/edgar/data/1094038/000110465924052914/tm242848-1_def14a.htm" TargetMode="External"/><Relationship Id="rId53" Type="http://schemas.openxmlformats.org/officeDocument/2006/relationships/hyperlink" Target="http://www.sec.gov/ix?doc=/Archives/edgar/data/1094038/000141057824000297/mrkr-20231231x10k.htm" TargetMode="External"/><Relationship Id="rId54" Type="http://schemas.openxmlformats.org/officeDocument/2006/relationships/hyperlink" Target="http://www.sec.gov/ix?doc=/Archives/edgar/data/1094038/000141057824001978/mrkr-20240930x10q.htm" TargetMode="External"/><Relationship Id="rId55" Type="http://schemas.openxmlformats.org/officeDocument/2006/relationships/hyperlink" Target="http://www.sec.gov/ix?doc=/Archives/edgar/data/1094038/000110465924062001/tm2414438d1_8k.htm" TargetMode="External"/><Relationship Id="rId56" Type="http://schemas.openxmlformats.org/officeDocument/2006/relationships/hyperlink" Target="http://www.sec.gov/ix?doc=/Archives/edgar/data/1094038/000110465924070830/tm2416968d1_8k.htm" TargetMode="External"/><Relationship Id="rId57" Type="http://schemas.openxmlformats.org/officeDocument/2006/relationships/hyperlink" Target="http://www.sec.gov/ix?doc=/Archives/edgar/data/1094038/000110465924088054/tm2421372d1_8k.htm" TargetMode="External"/><Relationship Id="rId58" Type="http://schemas.openxmlformats.org/officeDocument/2006/relationships/hyperlink" Target="http://www.sec.gov/ix?doc=/Archives/edgar/data/1094038/000110465924089704/tm2421372d1_8k.htm" TargetMode="External"/><Relationship Id="rId59" Type="http://schemas.openxmlformats.org/officeDocument/2006/relationships/hyperlink" Target="http://www.sec.gov/ix?doc=/Archives/edgar/data/1094038/000110465924119077/tm2421372d1_8k.htm" TargetMode="External"/><Relationship Id="rId60" Type="http://schemas.openxmlformats.org/officeDocument/2006/relationships/hyperlink" Target="http://www.sec.gov/ix?doc=/Archives/edgar/data/1094038/000110465924129181/tm2431191d1_8k.htm" TargetMode="External"/><Relationship Id="rId61" Type="http://schemas.openxmlformats.org/officeDocument/2006/relationships/hyperlink" Target="http://www.sec.gov/ix?doc=/Archives/edgar/data/1094038/000110465924130002/tm2431560d1_8k.htm" TargetMode="External"/><Relationship Id="rId62" Type="http://schemas.openxmlformats.org/officeDocument/2006/relationships/hyperlink" Target="http://www.sec.gov/Archives/edgar/data/1094038/000114420418054210/tv504949_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2025-01-17T15:19:41Z</dcterms:created>
  <dcterms:modified xsi:type="dcterms:W3CDTF">2025-01-17T15:19:41Z</dcterms:modified>
</cp:coreProperties>
</file>