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333-196115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306070</wp:posOffset>
            </wp:positionV>
            <wp:extent cx="208407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1,886,792 UNITS</w:t>
      </w:r>
    </w:p>
    <w:p>
      <w:pPr>
        <w:spacing w:after="0" w:line="229"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this prospectus supplement and the accompanying prospectus, we are offering 1,886,792 units, with each unit consisting of one share of common stock, par value $0.001, and one warrant to purchase a share of common stock. The warrants will have an initial exercise price of $1.17 per whole share of common stock. The warrants will be exercisable from the date of issuance for a period of five (5) years. The shares of common stock and the warrants will be issued separately but can only be purchased together as units in this offering. Each unit will be sold to investors at a price of $1.06 per unit. This prospectus supplement also relates to the offering of the shares of common stock issuable upon the exercise of the warrants issued in this offering. The units can only be purchased in this offering.</w:t>
      </w:r>
    </w:p>
    <w:p>
      <w:pPr>
        <w:spacing w:after="0" w:line="193" w:lineRule="exact"/>
        <w:rPr>
          <w:sz w:val="24"/>
          <w:szCs w:val="24"/>
          <w:color w:val="auto"/>
        </w:rPr>
      </w:pPr>
    </w:p>
    <w:p>
      <w:pPr>
        <w:ind w:right="260" w:firstLine="648"/>
        <w:spacing w:after="0" w:line="277" w:lineRule="auto"/>
        <w:rPr>
          <w:sz w:val="20"/>
          <w:szCs w:val="20"/>
          <w:color w:val="auto"/>
        </w:rPr>
      </w:pPr>
      <w:r>
        <w:rPr>
          <w:rFonts w:ascii="Arial" w:cs="Arial" w:eastAsia="Arial" w:hAnsi="Arial"/>
          <w:sz w:val="18"/>
          <w:szCs w:val="18"/>
          <w:color w:val="auto"/>
        </w:rPr>
        <w:t>Our common stock is currently quoted on the OTCBB under the symbol “TPIV”. On August 7, 2014, the last reported sales price per share of our common stock on the OTCBB was $1.45.</w:t>
      </w:r>
    </w:p>
    <w:p>
      <w:pPr>
        <w:spacing w:after="0" w:line="166" w:lineRule="exact"/>
        <w:rPr>
          <w:sz w:val="24"/>
          <w:szCs w:val="24"/>
          <w:color w:val="auto"/>
        </w:rPr>
      </w:pPr>
    </w:p>
    <w:p>
      <w:pPr>
        <w:jc w:val="both"/>
        <w:ind w:right="36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in the section titled “Risk Factors” on page S-5 of this prospectus supplement, page 5 of the accompanying prospectus and under similar headings in the other documents that are incorporated by reference into this prospectus.</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1720" w:type="dxa"/>
            <w:vAlign w:val="bottom"/>
          </w:tcPr>
          <w:p>
            <w:pPr>
              <w:jc w:val="right"/>
              <w:ind w:right="41"/>
              <w:spacing w:after="0"/>
              <w:rPr>
                <w:sz w:val="20"/>
                <w:szCs w:val="20"/>
                <w:color w:val="auto"/>
              </w:rPr>
            </w:pPr>
            <w:r>
              <w:rPr>
                <w:rFonts w:ascii="Arial" w:cs="Arial" w:eastAsia="Arial" w:hAnsi="Arial"/>
                <w:sz w:val="18"/>
                <w:szCs w:val="18"/>
                <w:b w:val="1"/>
                <w:bCs w:val="1"/>
                <w:color w:val="auto"/>
              </w:rPr>
              <w:t>Per Unit (1)</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Total</w:t>
            </w: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Offering price</w:t>
            </w:r>
          </w:p>
        </w:tc>
        <w:tc>
          <w:tcPr>
            <w:tcW w:w="1720" w:type="dxa"/>
            <w:vAlign w:val="bottom"/>
            <w:tcBorders>
              <w:top w:val="single" w:sz="8" w:color="auto"/>
            </w:tcBorders>
          </w:tcPr>
          <w:p>
            <w:pPr>
              <w:jc w:val="right"/>
              <w:ind w:right="15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w:t>
            </w:r>
          </w:p>
        </w:tc>
        <w:tc>
          <w:tcPr>
            <w:tcW w:w="500" w:type="dxa"/>
            <w:vAlign w:val="bottom"/>
          </w:tcPr>
          <w:p>
            <w:pPr>
              <w:spacing w:after="0"/>
              <w:rPr>
                <w:sz w:val="17"/>
                <w:szCs w:val="17"/>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Placement agent fee (2)</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0.0742</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140,000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0.9858</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1,860,000</w:t>
            </w:r>
          </w:p>
        </w:tc>
      </w:tr>
    </w:tbl>
    <w:p>
      <w:pPr>
        <w:spacing w:after="0" w:line="202"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represents the offering price for a share of common stock and a warrant to purchase one share of common stock.</w:t>
      </w:r>
    </w:p>
    <w:p>
      <w:pPr>
        <w:spacing w:after="0" w:line="263"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issue to H.C. Wainwright &amp; Co., LLC warrants to purchase a number of shares of common stock equal to 5% of the aggregate number of shares of common stock included in the units sold in this offering and to reimburse certain of its expenses as described in the Plan of Distribution herein.</w:t>
      </w:r>
    </w:p>
    <w:p>
      <w:pPr>
        <w:spacing w:after="0" w:line="208"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retained H.C. Wainwright &amp; Co., LLC to act as our exclusive placement agent in connection with this offering. The placement agent is not purchasing the securities offered by us in this offering, and is not required to sell any specific number or dollar amount of units, but will assist us in this offering on a “best efforts” basis. We have agreed to pay the placement agent a cash fee equal to 7% of the gross proceeds for the sale of units in the offering. Additionally, we have agreed to issue to the placement agent warrants to purchase a number of shares of our common stock equal to 5% of the aggregate number of shares of common stock included in the units sold in the offering. We have also agreed to reimburse the placement agent for certain of its expenses. We estimate the total expenses of this offering, excluding the placement agent’s fees, will be approximately $30,000. Because there is no minimum offering amount required as a condition to closing in this offering, the actual public offering amount, placement agent fees, and proceeds to us, if any, are not presently determinable and may be substantially less than the total maximum offering amounts set forth above. See “Plan of Distribution” beginning on page S-8 of this prospectus supplement.</w:t>
      </w:r>
    </w:p>
    <w:p>
      <w:pPr>
        <w:spacing w:after="0" w:line="193"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ind w:right="260" w:firstLine="648"/>
        <w:spacing w:after="0" w:line="277" w:lineRule="auto"/>
        <w:rPr>
          <w:sz w:val="20"/>
          <w:szCs w:val="20"/>
          <w:color w:val="auto"/>
        </w:rPr>
      </w:pPr>
      <w:r>
        <w:rPr>
          <w:rFonts w:ascii="Arial" w:cs="Arial" w:eastAsia="Arial" w:hAnsi="Arial"/>
          <w:sz w:val="18"/>
          <w:szCs w:val="18"/>
          <w:color w:val="auto"/>
        </w:rPr>
        <w:t>Delivery of the shares of common stock and warrants offered hereby will take place on or about August 14, 2014, subject to satisfaction of certain conditions.</w:t>
      </w:r>
    </w:p>
    <w:p>
      <w:pPr>
        <w:spacing w:after="0" w:line="170" w:lineRule="exact"/>
        <w:rPr>
          <w:sz w:val="24"/>
          <w:szCs w:val="24"/>
          <w:color w:val="auto"/>
        </w:rPr>
      </w:pPr>
    </w:p>
    <w:p>
      <w:pPr>
        <w:ind w:left="5100"/>
        <w:spacing w:after="0"/>
        <w:rPr>
          <w:sz w:val="20"/>
          <w:szCs w:val="20"/>
          <w:color w:val="auto"/>
        </w:rPr>
      </w:pPr>
      <w:r>
        <w:rPr>
          <w:rFonts w:ascii="Arial" w:cs="Arial" w:eastAsia="Arial" w:hAnsi="Arial"/>
          <w:sz w:val="18"/>
          <w:szCs w:val="18"/>
          <w:i w:val="1"/>
          <w:iCs w:val="1"/>
          <w:color w:val="auto"/>
        </w:rPr>
        <w:t>Placement Agent</w:t>
      </w:r>
    </w:p>
    <w:p>
      <w:pPr>
        <w:spacing w:after="0" w:line="23"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H.C. Wainwright &amp; Co., LLC</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August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07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620" w:type="dxa"/>
            <w:vAlign w:val="bottom"/>
            <w:gridSpan w:val="3"/>
          </w:tcPr>
          <w:p>
            <w:pPr>
              <w:jc w:val="right"/>
              <w:ind w:right="4710"/>
              <w:spacing w:after="0"/>
              <w:rPr>
                <w:sz w:val="20"/>
                <w:szCs w:val="20"/>
                <w:color w:val="auto"/>
              </w:rPr>
            </w:pPr>
            <w:r>
              <w:rPr>
                <w:rFonts w:ascii="Arial" w:cs="Arial" w:eastAsia="Arial" w:hAnsi="Arial"/>
                <w:sz w:val="18"/>
                <w:szCs w:val="18"/>
                <w:color w:val="auto"/>
                <w:w w:val="94"/>
              </w:rPr>
              <w:t>TABLE OF CONTENTS</w:t>
            </w:r>
          </w:p>
        </w:tc>
      </w:tr>
      <w:tr>
        <w:trPr>
          <w:trHeight w:val="487"/>
        </w:trPr>
        <w:tc>
          <w:tcPr>
            <w:tcW w:w="48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Page</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Prospectus Supplement</w:t>
            </w:r>
          </w:p>
        </w:tc>
        <w:tc>
          <w:tcPr>
            <w:tcW w:w="18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 Factors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Special Note Regarding Forward Looking Statements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Use of Proceeds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Determination of Offering Price</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Dilution</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Plan of Distribution</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Legal Matters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Experts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Information Incorporated By Reference</w:t>
            </w:r>
          </w:p>
        </w:tc>
        <w:tc>
          <w:tcPr>
            <w:tcW w:w="18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Prospectus</w:t>
            </w:r>
          </w:p>
        </w:tc>
        <w:tc>
          <w:tcPr>
            <w:tcW w:w="18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Prospectus Summary</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 Factors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Use of Proceeds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Plan of Distribution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Legal Matters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Experts</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66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1145"/>
        </w:trPr>
        <w:tc>
          <w:tcPr>
            <w:tcW w:w="48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and also adds to and updates information contained in the accompanying prospectus as well as the documents incorporated by reference into this prospectus supplement and the accompanying prospectus. The second part, the accompanying prospectus, gives more general information about securities we may offer from time to time, some of which does not apply to this offering. This prospectus supplement and the accompanying prospectus incorporate by reference important business and financial information about us that is not included in or delivered with this prospectus supplement and the accompanying prospectus.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supplement or in the accompanying prospectus. If information in this prospectus supplement is inconsistent with the accompanying prospectus, you should rely on this prospectus supplement. We have not authorized anyone to provide you with different information. No dealer, salesperson or other person is authorized to give any information or to represent anything not contained in this prospectus or the applicable prospectus supplement. You must not rely on any unauthorized information or representation. You should assume that the information in this prospectus supplement and accompanying prospectus is accurate only as of the dates on the front of the respective document and that any information we have incorporated by reference is accurate only as of the date of the document incorporated by reference.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when making your investment decision.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stated or the context requires otherwise, references in this prospectus to “TapImmune,” “we,” “us,” or “our” refer to TapImmune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in the accompanying prospectus or in documents incorporated by reference. This summary does not contain all of the information that you should consider before making an investment decision. This prospectus supplement and the accompanying prospectus include or incorporate by reference information about this offering, our business and our financial and operating data. You should carefully read the entire prospectus supplement, the accompanying prospectus, including under the sections titled “Risk Factors” included therein, and the documents incorporated by reference into this prospectus supplement and the accompanying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both"/>
        <w:ind w:right="20"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Her2/neu peptide epitopes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right="20" w:firstLine="39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smallpox vaccine candidate, and we have been encouraged by the results. We expect these studies to begin in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principal executive offices are located at 1551 Eastlake Avenue East, Suite 100, Seattle, WA 98102 and our telephone number is (206) 504-7278.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76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Units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1,886,792 units, each consisting of one share of common stock and one warrant to purchase a share of common stock.</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Terms of warrants in units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Each full warrant shall be exercisable for five (5) years following issuance at an exercise price of $1.17.</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$1.06 per unit.</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General corporate purposes.</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48" w:lineRule="exact"/>
        <w:rPr>
          <w:sz w:val="20"/>
          <w:szCs w:val="20"/>
          <w:color w:val="auto"/>
        </w:rPr>
      </w:pPr>
    </w:p>
    <w:p>
      <w:pPr>
        <w:ind w:left="180" w:hanging="161"/>
        <w:spacing w:after="0" w:line="264" w:lineRule="auto"/>
        <w:rPr>
          <w:sz w:val="20"/>
          <w:szCs w:val="20"/>
          <w:color w:val="auto"/>
        </w:rPr>
      </w:pPr>
      <w:r>
        <w:rPr>
          <w:rFonts w:ascii="Arial" w:cs="Arial" w:eastAsia="Arial" w:hAnsi="Arial"/>
          <w:sz w:val="18"/>
          <w:szCs w:val="18"/>
          <w:color w:val="auto"/>
        </w:rPr>
        <w:t>Common stock to be outstanding immediately after this offering (1)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19,683,190</w:t>
      </w:r>
    </w:p>
    <w:p>
      <w:pPr>
        <w:spacing w:after="0" w:line="680" w:lineRule="exact"/>
        <w:rPr>
          <w:sz w:val="20"/>
          <w:szCs w:val="20"/>
          <w:color w:val="auto"/>
        </w:rPr>
      </w:pPr>
    </w:p>
    <w:p>
      <w:pPr>
        <w:sectPr>
          <w:pgSz w:w="11900" w:h="16838" w:orient="portrait"/>
          <w:cols w:equalWidth="0" w:num="2">
            <w:col w:w="2420" w:space="200"/>
            <w:col w:w="8800"/>
          </w:cols>
          <w:pgMar w:left="240" w:top="760" w:right="239" w:bottom="1440" w:gutter="0" w:footer="0" w:header="0"/>
          <w:type w:val="continuous"/>
        </w:sectPr>
      </w:pPr>
    </w:p>
    <w:p>
      <w:pPr>
        <w:spacing w:after="0"/>
        <w:rPr>
          <w:sz w:val="20"/>
          <w:szCs w:val="20"/>
          <w:color w:val="auto"/>
        </w:rPr>
      </w:pPr>
      <w:r>
        <w:rPr>
          <w:rFonts w:ascii="Arial" w:cs="Arial" w:eastAsia="Arial" w:hAnsi="Arial"/>
          <w:sz w:val="17"/>
          <w:szCs w:val="17"/>
          <w:color w:val="auto"/>
        </w:rPr>
        <w:t>OTCBB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TPIV</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investment in our company involves a high degree of risk. Please refer to the sections titled “Risk Factors,” “Special Note Regarding Forward-Looking Statements” and other information included or incorporated by reference in this prospectus supplement and the accompanying prospectus for a discussion of factors you should carefully consider before investing our securities.</w:t>
      </w:r>
    </w:p>
    <w:p>
      <w:pPr>
        <w:spacing w:after="0" w:line="200" w:lineRule="exact"/>
        <w:rPr>
          <w:sz w:val="20"/>
          <w:szCs w:val="20"/>
          <w:color w:val="auto"/>
        </w:rPr>
      </w:pPr>
    </w:p>
    <w:p>
      <w:pPr>
        <w:sectPr>
          <w:pgSz w:w="11900" w:h="16838" w:orient="portrait"/>
          <w:cols w:equalWidth="0" w:num="2">
            <w:col w:w="1900" w:space="720"/>
            <w:col w:w="8800"/>
          </w:cols>
          <w:pgMar w:left="240" w:top="7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6" w:name="page7"/>
    <w:bookmarkEnd w:id="6"/>
    <w:p>
      <w:pPr>
        <w:ind w:right="20" w:firstLine="8"/>
        <w:spacing w:after="0" w:line="26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based on the sale of all of the units being offered, approximately 17,196,398 shares of common stock outstanding as of the date of this prospectus supplement and 600,000 shares to be issued in exchange for debt at $1.17 per share simultaneously with the sale of all of the units, and excludes:</w:t>
      </w:r>
    </w:p>
    <w:p>
      <w:pPr>
        <w:spacing w:after="0" w:line="181" w:lineRule="exact"/>
        <w:rPr>
          <w:rFonts w:ascii="Arial" w:cs="Arial" w:eastAsia="Arial" w:hAnsi="Arial"/>
          <w:sz w:val="18"/>
          <w:szCs w:val="18"/>
          <w:color w:val="auto"/>
        </w:rPr>
      </w:pPr>
    </w:p>
    <w:p>
      <w:pPr>
        <w:ind w:left="1540" w:right="200" w:hanging="762"/>
        <w:spacing w:after="0" w:line="277"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65,430 shares of common stock reserved for issuance upon the exercise of outstanding options granted under our Stock Incentive Plan with a weighted average exercise price of $18.00 per share;</w:t>
      </w:r>
    </w:p>
    <w:p>
      <w:pPr>
        <w:spacing w:after="0" w:line="170" w:lineRule="exact"/>
        <w:rPr>
          <w:rFonts w:ascii="Arial" w:cs="Arial" w:eastAsia="Arial" w:hAnsi="Arial"/>
          <w:sz w:val="18"/>
          <w:szCs w:val="18"/>
          <w:color w:val="auto"/>
        </w:rPr>
      </w:pPr>
    </w:p>
    <w:p>
      <w:pPr>
        <w:ind w:left="1540" w:right="100" w:hanging="762"/>
        <w:spacing w:after="0" w:line="277"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399,285 shares of common stock that may be issued upon exercise of outstanding warrants as of June 30, 2014 with a weighted average exercise price of $10.19 per share;</w:t>
      </w:r>
    </w:p>
    <w:p>
      <w:pPr>
        <w:spacing w:after="0" w:line="170" w:lineRule="exact"/>
        <w:rPr>
          <w:rFonts w:ascii="Arial" w:cs="Arial" w:eastAsia="Arial" w:hAnsi="Arial"/>
          <w:sz w:val="18"/>
          <w:szCs w:val="18"/>
          <w:color w:val="auto"/>
        </w:rPr>
      </w:pPr>
    </w:p>
    <w:p>
      <w:pPr>
        <w:ind w:left="1540" w:hanging="762"/>
        <w:spacing w:after="0" w:line="277"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1,886,792 shares of common stock issuable upon exercise of the warrants to be issued to the investors in connection with this offering, at an exercise price of $1.17 per share, assuming the maximum number of units are sold in this offering; and</w:t>
      </w:r>
    </w:p>
    <w:p>
      <w:pPr>
        <w:spacing w:after="0" w:line="170" w:lineRule="exact"/>
        <w:rPr>
          <w:rFonts w:ascii="Arial" w:cs="Arial" w:eastAsia="Arial" w:hAnsi="Arial"/>
          <w:sz w:val="18"/>
          <w:szCs w:val="18"/>
          <w:color w:val="auto"/>
        </w:rPr>
      </w:pPr>
    </w:p>
    <w:p>
      <w:pPr>
        <w:ind w:left="1540" w:right="540" w:hanging="762"/>
        <w:spacing w:after="0" w:line="308" w:lineRule="auto"/>
        <w:tabs>
          <w:tab w:leader="none" w:pos="1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94,340 shares of common stock issuable upon exercise of the warrants to be issued to the placement agent in connection with this offering, at an exercise price of $1.17 per share, assuming the maximum number of units are sold in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our company involves a high degree of risk. Before you make a decision to invest in our securities, you should consider carefully the risks described below, as well as the risks described in or incorporated by reference in this prospectus supplement and the accompanying prospectus and all other documents incorporated by reference into this prospectus supplement and accompanying prospectus, as updated by our subsequent filings under the Securities Exchange Act of 1934, as amended (the “Exchange Act”).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risks could have a material adverse effect on our business, prospects, financial condition and results of operations. In any such case, the trading price of our securities could decline and you could lose all or part of your investment. Additional risks not presently known to us or that we currently deem immaterial may also adversely affect our business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Based on an assumed offering price of $1.06 per unit, if you purchase shares of common stock in this offering, you will suffer immediate and substantial dilution of approximately $1.232 per share in the net tangible book value of the common stock. Similarly, you will likely suffer substantial dilution in the net tangible book value of the common stock you purchase if you exercise the warrants purchased in this offering See the section titled “Dilution” in this prospectus supplement for a more detailed discussion of the dilution you will incur if you purchase common stock in this offering.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no public market for the warrants to purchase common stock in this offering.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for listing the warrants on any securities exchange. Without an active market, the liquidity of the warrants will be limited.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has significant flexibility in using the net proceeds of this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generally to use the net proceeds from this offering for working capital and general corporate purposes. Our management will have significant flexibility in applying the net proceeds of this offering. Management’s failure to use these funds effectively would have an adverse effect on the value of our common stock and could make it more difficult and costly to raise funds in the future.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into this prospectus supplement and the accompanying prospectus contain forward-looking statements that have been made within the meaning of Section 27A of the Securities Act of 1933, as amended (the “Securities Act”), and Section 21E of the Exchange Act and are subject to the safe harbor created by the Private Securities Litigation Reform Act of 1995. These statements involve known and unknown risks, uncertainties and other important factors that may cause our actual results, performance or achievements to be materially different from any future results, performances or achievements expressed or implied by the forward-looking statements. Forward-looking statements include statements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and commercial potential of our potential products;</w:t>
      </w:r>
    </w:p>
    <w:p>
      <w:pPr>
        <w:spacing w:after="0" w:line="225" w:lineRule="exact"/>
        <w:rPr>
          <w:rFonts w:ascii="Arial" w:cs="Arial" w:eastAsia="Arial" w:hAnsi="Arial"/>
          <w:sz w:val="18"/>
          <w:szCs w:val="18"/>
          <w:color w:val="auto"/>
        </w:rPr>
      </w:pPr>
    </w:p>
    <w:p>
      <w:pPr>
        <w:ind w:left="1540" w:right="200" w:hanging="762"/>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clinical trials, commencement dates for new clinical trials, clinical trial results, evaluation of our clinical trial results by regulatory agencies in other countries;</w:t>
      </w:r>
    </w:p>
    <w:p>
      <w:pPr>
        <w:spacing w:after="0" w:line="170"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potential markets and estimated trial dates;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the current or anticipated market demand or medical need of our potential products;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need for additional research and testing;</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involved in the drug development process and manufacturing;</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research and development activities;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competitors and potential competitors;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costs resulting from product liability or other third-party claims;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and projected cash needs;</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impact of recent accounting pronouncements; and</w:t>
      </w:r>
    </w:p>
    <w:p>
      <w:pPr>
        <w:spacing w:after="0" w:line="225" w:lineRule="exact"/>
        <w:rPr>
          <w:rFonts w:ascii="Arial" w:cs="Arial" w:eastAsia="Arial" w:hAnsi="Arial"/>
          <w:sz w:val="18"/>
          <w:szCs w:val="18"/>
          <w:color w:val="auto"/>
        </w:rPr>
      </w:pPr>
    </w:p>
    <w:p>
      <w:pPr>
        <w:ind w:left="1540" w:hanging="7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and approvals.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“believe,” “estimate,” “predict,” “future,” “intend,” or “certain” or the negative of these terms and similar expressions intended to identify forward-looking statements, although not all forward-looking statements contain these identifying words. These statements are not guarantees of future performance and are subject to certain risks, uncertainties, and assumptions that are difficult to predict; therefore, actual results may differ materially from those expressed or forecasted in any such forward-looking statements. Such risks and uncertainties include those contained in or incorporated by reference under the section titled “Risk Factors.” Given these risks, uncertainties and other important factors, you should not place undue reliance on these forward-looking statements. Also, these forward-looking statements represent our estimates and assumptions only as of the date such forward-looking statements are made. You should carefully read this prospectus supplement and the accompanying prospectus, together with the information incorporated by reference in this prospectus supplement and the accompanying prospectus as described under the sections titled “Where You Can Find More Information” in each document, completely and with the understanding that our actual future results may be materially different from what we expect. We can give no assurances that any of the events anticipated by the forward-looking statements will occur or, if any of them do, what impact they will have on our results of operations and financial condition.</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Except as required by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receive net proceeds from this offering of approximately $1,819,500 after deducting the placement agent fee and our estimated offering expenses, assuming that we sell the maximum number of units in this offering. Because there is no minimum offering amount required as a condition to the closing of this offering, the actual number of units sold, placement agent fee and proceeds to us are not presently determinable and may be substantially less than the maximum amount set forth above. We will derive additional proceeds of up to $2,207,548 million, if all of the warrants sold in the offering are exercised.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intend to use the net proceeds from this offering for working capital and general corporate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the offering price of the units following negotiations with prospective investors and with reference to the prevailing market price of our common stock, recent trends in such price, daily average trading volume of our common stock, our current stage of development, future capital needs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you invest in units in this offering, your ownership interest in our common stock may be diluted to the extent of the difference between the initial public offering price per unit and the pro forma as adjusted net tangible book value per share of our common shares immediately after this offering. The historical net tangible book value of our common shares as of March 31, 2014 was approximately $(5,505,594), or $(0.3168) per share. Historical net tangible book value per share represents our total tangible assets (total assets less intangible assets) less our total liabilities, divided by the number of outstanding common shares.</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Investors participating in this offering will incur immediate, substantial dilution. After giving effect to the receipt of the net proceeds from our sale of 1,886,792 units at a public offering price of $1.06 per share and after deducting placement agent fees and estimated offering expenses payable by us, our pro forma as adjusted net tangible book value as of March 31, 2014 would have been approximately $(3,686,094) million, or $(0.1914) per share. This represents an immediate increase in pro forma as adjusted net tangible book value of $0.1255 per share to our existing shareholders and an immediate dilution of $1.2514 per share to investors purchasing common shares in this offering.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5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140" w:type="dxa"/>
            <w:vAlign w:val="bottom"/>
          </w:tcPr>
          <w:p>
            <w:pPr>
              <w:spacing w:after="0"/>
              <w:rPr>
                <w:sz w:val="24"/>
                <w:szCs w:val="24"/>
                <w:color w:val="auto"/>
              </w:rPr>
            </w:pPr>
          </w:p>
        </w:tc>
        <w:tc>
          <w:tcPr>
            <w:tcW w:w="1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Without warrants</w:t>
            </w:r>
          </w:p>
        </w:tc>
        <w:tc>
          <w:tcPr>
            <w:tcW w:w="0" w:type="dxa"/>
            <w:vAlign w:val="bottom"/>
          </w:tcPr>
          <w:p>
            <w:pPr>
              <w:spacing w:after="0"/>
              <w:rPr>
                <w:sz w:val="1"/>
                <w:szCs w:val="1"/>
                <w:color w:val="auto"/>
              </w:rPr>
            </w:pPr>
          </w:p>
        </w:tc>
      </w:tr>
      <w:tr>
        <w:trPr>
          <w:trHeight w:val="202"/>
        </w:trPr>
        <w:tc>
          <w:tcPr>
            <w:tcW w:w="9140" w:type="dxa"/>
            <w:vAlign w:val="bottom"/>
          </w:tcPr>
          <w:p>
            <w:pPr>
              <w:spacing w:after="0" w:line="201" w:lineRule="exact"/>
              <w:rPr>
                <w:sz w:val="20"/>
                <w:szCs w:val="20"/>
                <w:color w:val="auto"/>
              </w:rPr>
            </w:pPr>
            <w:r>
              <w:rPr>
                <w:rFonts w:ascii="Arial" w:cs="Arial" w:eastAsia="Arial" w:hAnsi="Arial"/>
                <w:sz w:val="18"/>
                <w:szCs w:val="18"/>
                <w:color w:val="auto"/>
              </w:rPr>
              <w:t>Offering price per share</w:t>
            </w: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Historical net tangible book value per share as of March 31, 2014</w:t>
            </w:r>
          </w:p>
        </w:tc>
        <w:tc>
          <w:tcPr>
            <w:tcW w:w="1900" w:type="dxa"/>
            <w:vAlign w:val="bottom"/>
          </w:tcPr>
          <w:p>
            <w:pPr>
              <w:spacing w:after="0"/>
              <w:rPr>
                <w:sz w:val="20"/>
                <w:szCs w:val="20"/>
                <w:color w:val="auto"/>
              </w:rPr>
            </w:pPr>
            <w:r>
              <w:rPr>
                <w:rFonts w:ascii="Arial" w:cs="Arial" w:eastAsia="Arial" w:hAnsi="Arial"/>
                <w:sz w:val="18"/>
                <w:szCs w:val="18"/>
                <w:color w:val="auto"/>
              </w:rPr>
              <w:t>$(5,505,594)</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1900" w:type="dxa"/>
            <w:vAlign w:val="bottom"/>
            <w:vMerge w:val="restart"/>
          </w:tcPr>
          <w:p>
            <w:pPr>
              <w:spacing w:after="0"/>
              <w:rPr>
                <w:sz w:val="20"/>
                <w:szCs w:val="20"/>
                <w:color w:val="auto"/>
              </w:rPr>
            </w:pPr>
            <w:r>
              <w:rPr>
                <w:rFonts w:ascii="Arial" w:cs="Arial" w:eastAsia="Arial" w:hAnsi="Arial"/>
                <w:sz w:val="18"/>
                <w:szCs w:val="18"/>
                <w:color w:val="auto"/>
              </w:rPr>
              <w:t>$0.1237</w:t>
            </w:r>
          </w:p>
        </w:tc>
        <w:tc>
          <w:tcPr>
            <w:tcW w:w="0" w:type="dxa"/>
            <w:vAlign w:val="bottom"/>
          </w:tcPr>
          <w:p>
            <w:pPr>
              <w:spacing w:after="0"/>
              <w:rPr>
                <w:sz w:val="1"/>
                <w:szCs w:val="1"/>
                <w:color w:val="auto"/>
              </w:rPr>
            </w:pPr>
          </w:p>
        </w:tc>
      </w:tr>
      <w:tr>
        <w:trPr>
          <w:trHeight w:val="202"/>
        </w:trPr>
        <w:tc>
          <w:tcPr>
            <w:tcW w:w="914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900" w:type="dxa"/>
            <w:vAlign w:val="bottom"/>
          </w:tcPr>
          <w:p>
            <w:pPr>
              <w:spacing w:after="0"/>
              <w:rPr>
                <w:sz w:val="20"/>
                <w:szCs w:val="20"/>
                <w:color w:val="auto"/>
              </w:rPr>
            </w:pPr>
            <w:r>
              <w:rPr>
                <w:rFonts w:ascii="Arial" w:cs="Arial" w:eastAsia="Arial" w:hAnsi="Arial"/>
                <w:sz w:val="18"/>
                <w:szCs w:val="18"/>
                <w:color w:val="auto"/>
              </w:rPr>
              <w:t>$ (0.1932)</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00" w:type="dxa"/>
            <w:vAlign w:val="bottom"/>
          </w:tcPr>
          <w:p>
            <w:pPr>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table is based on our net tangible book value as of March 31, 2014, 17,196,398 shares outstanding as of August 11, 2014, the sale of all of the units in the offering and offering proceeds to us after expenses of $1,819,500.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this offering, we are offering up to 1,886,792 units, with each unit consisting of one share of common stock and a warrant to purchase a share of common stock. The material terms and provisions of the units, our common stock and the warrants are described under the caption “Description of Securities” in the accompanying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color w:val="auto"/>
        </w:rPr>
        <w:t>Pursuant to an engagement letter agreement dated as of July 29, 2014, we have engaged H.C. Wainwright &amp; Co., LLC (“H.C. Wainwright”) as our placement agent for this offering. H.C. Wainwright is not purchasing or selling any units, nor are they required to arrange for the purchase and sale of any specific number or dollar amount of units, other than to use their “best efforts” to arrange for the sale of units by us. Therefore, we may not sell the entire amount of units being offered. H.C. Wainwright may engage one or more sub-placement agents or selected dealers to assist with the offering. We will enter into a securities purchase agreement directly with the investors in this offering which shall include customary representations, warranties and covenants for transactions of this type.</w:t>
      </w:r>
    </w:p>
    <w:p>
      <w:pPr>
        <w:spacing w:after="0" w:line="22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the closing of this offering, we will pay the placement agent a cash transaction fee equal to seven percent (7%) of the gross proceeds to us from the sale of the units in the offering. We will reimburse H.C. Wainwright for its expenses incurred in connection with this offering in an amount equal to one percent (1%) of the aggregate gross proceeds raised in the offering, not to exceed $30,000. The costs, fees and expenses related to the FINRA filings made in connection with this offering will be approximately $180,500.</w:t>
      </w: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we agreed to grant compensation warrants to the placement agent to purchase a number of shares of our common stock equal to five percent (5%) of the aggregate number of shares of common stock in the units sold to the investors in this offering. The compensation warrants will have the same terms as the warrants issued to the investors in this offering, except that the compensation warrants will have an exercise price of $1.325 (125% of the public offering price per unit) and a termination date of July 23, 2019, or the five year anniversary of the effective date of the registration statement of which this prospectus supplement forms a part. Pursuant to FINRA Rule 5110(g), the compensation warrants and any shares issued upon exercise of the compensation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ind w:left="880" w:hanging="359"/>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our company;</w:t>
      </w:r>
    </w:p>
    <w:p>
      <w:pPr>
        <w:spacing w:after="0" w:line="225"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set forth above for the remainder of the time period;</w:t>
      </w:r>
    </w:p>
    <w:p>
      <w:pPr>
        <w:spacing w:after="0" w:line="17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aggregate amount of securities of our company held by the holder of the compensation warrants or related persons do not exceed 1% of the securities being offered;</w:t>
      </w:r>
    </w:p>
    <w:p>
      <w:pPr>
        <w:spacing w:after="0" w:line="170" w:lineRule="exact"/>
        <w:rPr>
          <w:rFonts w:ascii="Arial" w:cs="Arial" w:eastAsia="Arial" w:hAnsi="Arial"/>
          <w:sz w:val="18"/>
          <w:szCs w:val="18"/>
          <w:color w:val="auto"/>
        </w:rPr>
      </w:pPr>
    </w:p>
    <w:p>
      <w:pPr>
        <w:ind w:left="880" w:hanging="359"/>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left="880" w:hanging="359"/>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19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20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purchase agreement with investors, we have agreed to not make certain issuances or sales of our securities for a period of 90 days from the completion of this offering.</w:t>
      </w:r>
    </w:p>
    <w:p>
      <w:pPr>
        <w:spacing w:after="0" w:line="19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engagement letter agreement provides that we will indemnify the placement agent against specified liabilities, including liabilities under the Securities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2" w:lineRule="exact"/>
        <w:rPr>
          <w:sz w:val="20"/>
          <w:szCs w:val="20"/>
          <w:color w:val="auto"/>
        </w:rPr>
      </w:pPr>
    </w:p>
    <w:p>
      <w:pPr>
        <w:ind w:right="580" w:firstLine="590"/>
        <w:spacing w:after="0" w:line="328" w:lineRule="auto"/>
        <w:rPr>
          <w:sz w:val="20"/>
          <w:szCs w:val="20"/>
          <w:color w:val="auto"/>
        </w:rPr>
      </w:pPr>
      <w:r>
        <w:rPr>
          <w:rFonts w:ascii="Arial" w:cs="Arial" w:eastAsia="Arial" w:hAnsi="Arial"/>
          <w:sz w:val="19"/>
          <w:szCs w:val="19"/>
          <w:color w:val="auto"/>
        </w:rPr>
        <w:t>The validity of the issuance of the securities offered hereby will be passed upon for us by Sanders Ortoli Vaughn-Flam Rosenstadt LLP. Ellenoff Grossman &amp; Schole LLP acted as counsel to the placement agent in connection with this offering.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2"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Our annual consolidated financial statements incorporated in this prospectus by reference to our annual report on Form 10-K for the year ended December 31, 2012 have been audited by Dale Matheson Carr-Hilton LaBonte LLP, independent registered public accounting firm, to the extent indicated in their report thereon. Such consolidated financial statements are incorporated by reference into this prospectus supplement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We file annual, quarterly and current reports, proxy statements and other information with the SEC. You may read and copy any documents that we have filed with the SEC at the SEC’s Public Reference Room at 100 F Street, N.E., Washington, D.C. 20549. Please call the SEC at 1-800-SEC-0330 for further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 In addition, we make available on or through our Internet site copies of these reports as soon as reasonably practicable after we electronically file or furnished them to the SEC. Our Internet site can be found at http:www.biopathholdings.com.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incorporating by reference into this prospectus supplement and the accompanying prospectus certain information that we file with the SEC, which means that we are disclosing important information to you by referring you to those documents. The information incorporated by reference is deemed to be part of this prospectus supplement and accompanying prospectus, except for information incorporated by reference that is superseded by information contained in this prospectus supplement and accompany prospectus. This means that you must look at all of the SEC filings that we incorporate by reference to determine if any statements in the prospectus or any document previously incorporated by reference have been modified or superseded. This prospectus supplement and accompanying prospectus incorporates by reference the documents set forth below that we have previously filed with the SEC:</w:t>
      </w:r>
    </w:p>
    <w:p>
      <w:pPr>
        <w:spacing w:after="0" w:line="165" w:lineRule="exact"/>
        <w:rPr>
          <w:sz w:val="20"/>
          <w:szCs w:val="20"/>
          <w:color w:val="auto"/>
        </w:rPr>
      </w:pPr>
    </w:p>
    <w:p>
      <w:pPr>
        <w:ind w:left="1540" w:hanging="762"/>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2012;</w:t>
      </w:r>
    </w:p>
    <w:p>
      <w:pPr>
        <w:spacing w:after="0" w:line="225" w:lineRule="exact"/>
        <w:rPr>
          <w:rFonts w:ascii="Arial" w:cs="Arial" w:eastAsia="Arial" w:hAnsi="Arial"/>
          <w:sz w:val="18"/>
          <w:szCs w:val="18"/>
          <w:color w:val="auto"/>
        </w:rPr>
      </w:pPr>
    </w:p>
    <w:p>
      <w:pPr>
        <w:ind w:left="1540" w:hanging="762"/>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June 30 and September 30, 2013 and amendments on Form 10-Q/A to our quarterly report for the quarter ended September 30, 2013;</w:t>
      </w:r>
    </w:p>
    <w:p>
      <w:pPr>
        <w:spacing w:after="0" w:line="170" w:lineRule="exact"/>
        <w:rPr>
          <w:rFonts w:ascii="Arial" w:cs="Arial" w:eastAsia="Arial" w:hAnsi="Arial"/>
          <w:sz w:val="18"/>
          <w:szCs w:val="18"/>
          <w:color w:val="auto"/>
        </w:rPr>
      </w:pPr>
    </w:p>
    <w:p>
      <w:pPr>
        <w:ind w:left="1540" w:right="300" w:hanging="762"/>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4, March 12, June 7, July 22, August 9, September 20, October 3 and November 8, 2013 and January 7, 2014;</w:t>
      </w:r>
    </w:p>
    <w:p>
      <w:pPr>
        <w:spacing w:after="0" w:line="170" w:lineRule="exact"/>
        <w:rPr>
          <w:rFonts w:ascii="Arial" w:cs="Arial" w:eastAsia="Arial" w:hAnsi="Arial"/>
          <w:sz w:val="18"/>
          <w:szCs w:val="18"/>
          <w:color w:val="auto"/>
        </w:rPr>
      </w:pPr>
    </w:p>
    <w:p>
      <w:pPr>
        <w:ind w:left="1540" w:hanging="762"/>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definitive proxy statement in connection with our 2013 annual meeting of shareholders filed with the SEC on October 31, 2013; and</w:t>
      </w:r>
    </w:p>
    <w:p>
      <w:pPr>
        <w:spacing w:after="0" w:line="248" w:lineRule="exact"/>
        <w:rPr>
          <w:rFonts w:ascii="Arial" w:cs="Arial" w:eastAsia="Arial" w:hAnsi="Arial"/>
          <w:sz w:val="16"/>
          <w:szCs w:val="16"/>
          <w:color w:val="auto"/>
        </w:rPr>
      </w:pPr>
    </w:p>
    <w:p>
      <w:pPr>
        <w:ind w:left="1540" w:hanging="762"/>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with the SEC on September 10, 2008.</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or accompanying prospectus or in a later filed document that is incorporated or deemed to be incorporated herein by reference modifies or replaces such information.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incorporate by reference all documents we file in the future pursuant to Section 13(a), 13(c), 14 or 15(d) of the Exchange Act (i) after the date of the filing of the registration statement of which this prospectus supplement and accompanying prospectus is a part and prior to the effectiveness of such registration statement or (ii) after the date of this prospectus supplement and until we file a post-effective amendment that indicates the termination of the offering of the securities made by this prospectus supplement and accompanying prospectus. These documents include periodic reports, such as annual reports on Form 10-K, quarterly reports on Form 10-Q and current reports on Form 8-K, as well as any proxy statements.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will provide to each person, including any beneficial owner, to whom a prospectus supplement and accompanying prospectus is delivered, without charge upon written or oral request, a copy of any or all of the documents that are incorporated by reference into this prospectus supplement or accompanying prospectus but not delivered with the prospectus supplement and accompanying prospectus, including exhibits which are specifically incorporated by reference into such documents. You may request a copy of these filings at no cost, by writing to or telephoning us at the following address: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Glynn Wilson, President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1551 Eastlake Avenue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 Seattle, WA</w:t>
      </w:r>
    </w:p>
    <w:p>
      <w:pPr>
        <w:spacing w:after="0" w:line="9" w:lineRule="exact"/>
        <w:rPr>
          <w:sz w:val="20"/>
          <w:szCs w:val="20"/>
          <w:color w:val="auto"/>
        </w:rPr>
      </w:pPr>
    </w:p>
    <w:p>
      <w:pPr>
        <w:ind w:left="5580" w:hanging="428"/>
        <w:spacing w:after="0"/>
        <w:tabs>
          <w:tab w:leader="none" w:pos="5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504-7278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160020</wp:posOffset>
            </wp:positionV>
            <wp:extent cx="2084070" cy="1063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offer to sell, from time to time in one or more offerings, any combination of common stock, warrants or units having an aggregate initial offering price not exceeding $40,000,000. When we decide to sell a particular class or series of securities, we will provide specific terms of the offered securities in a prospectus supplement. You should read this prospectus and any prospectus supplement carefully before you invest.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carefully before you invest in any securities. This prospectus may not be used to consummate a sale of securities unless accompanied by the applicable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traded on the OTC Bulletin Board under the symbol “TPIV”. On July 14, 2014 the last reported sale price for our common stock on the OTC Bulletin Board was $1.60 per share and we had 16,806,569 shares of common stock outstanding. Neither our warranty nor our units are publically traded.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21, 2014, the aggregate market value of the voting and non-voting common equity held by non-affiliates of the registrant computed by reference to the price at which the registrant’s common equity was last sold was approximately $79,065,000, based on approximately 15,060,000 shares of common stock held by non-affiliates and a closing share price of $5.25.</w:t>
      </w:r>
    </w:p>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5 and contained in any applicable prospectus supplement and under similar headings in the other documents that are incorporated by reference into this prospectus.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offer our common stock, warrants or units, in one or more offerings in amounts, at prices, and on terms determined at the time of the offering. We may sell these securities through agents we select or through underwriters and dealers we select. If we use agents, underwriters or dealers, we will name them and describe their compensation in a prospectus supplement.</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date of this prospectus is July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710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r>
      <w:tr>
        <w:trPr>
          <w:trHeight w:val="460"/>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About this Prospectus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Prospectus Summary</w:t>
            </w:r>
          </w:p>
        </w:tc>
        <w:tc>
          <w:tcPr>
            <w:tcW w:w="7100" w:type="dxa"/>
            <w:vAlign w:val="bottom"/>
            <w:gridSpan w:val="4"/>
          </w:tcPr>
          <w:p>
            <w:pPr>
              <w:jc w:val="center"/>
              <w:ind w:left="5570"/>
              <w:spacing w:after="0"/>
              <w:rPr>
                <w:sz w:val="20"/>
                <w:szCs w:val="20"/>
                <w:color w:val="auto"/>
              </w:rPr>
            </w:pPr>
            <w:r>
              <w:rPr>
                <w:rFonts w:ascii="Arial" w:cs="Arial" w:eastAsia="Arial" w:hAnsi="Arial"/>
                <w:sz w:val="18"/>
                <w:szCs w:val="18"/>
                <w:color w:val="auto"/>
                <w:w w:val="79"/>
              </w:rPr>
              <w:t>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 Factors</w:t>
            </w:r>
          </w:p>
        </w:tc>
        <w:tc>
          <w:tcPr>
            <w:tcW w:w="7100" w:type="dxa"/>
            <w:vAlign w:val="bottom"/>
            <w:gridSpan w:val="4"/>
          </w:tcPr>
          <w:p>
            <w:pPr>
              <w:jc w:val="center"/>
              <w:ind w:left="5570"/>
              <w:spacing w:after="0"/>
              <w:rPr>
                <w:sz w:val="20"/>
                <w:szCs w:val="20"/>
                <w:color w:val="auto"/>
              </w:rPr>
            </w:pPr>
            <w:r>
              <w:rPr>
                <w:rFonts w:ascii="Arial" w:cs="Arial" w:eastAsia="Arial" w:hAnsi="Arial"/>
                <w:sz w:val="18"/>
                <w:szCs w:val="18"/>
                <w:color w:val="auto"/>
                <w:w w:val="79"/>
              </w:rPr>
              <w:t>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Plan of Distribution</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Legal Matters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Experts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Incorporation of Certain Informatin By Reference</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SEC, utilizing a “shelf” registration process. Under this shelf process, we may sell the securities described in this prospectus in one or more offerings.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or in any documents that we have incorporated by reference into this prospectus. You should read this prospectus and any applicable prospectus supplement, together with the information incorporated herein by reference as described under the heading “Where You Can Find More Information.”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and any applicable prospectus supplement. We have not authorized any dealer, salesman or other person to give any information or to make any representation other than those contained or incorporated by reference in this prospectus or any applicable prospectus supplement. You must not rely upon any information or representation not contained or incorporated by reference in this prospectus or the accompanying prospectus supplement. We take no responsibility for, and can provide no assurance as to the reliability of, any other information that others may give you.</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any accompanying applicable supplement to this prospectus do not constitute an offer to sell or the solicitation of an offer to buy any securities other than the registered securities to which they relate, nor do this prospectus and any accompanying applicable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sold on a later date.</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us at President Glynn Wilson, TapImmune Inc, 1551 Eastlake Avenue East, Suite 100, Seattle, WA, 98102 or you may call us at (206) 504-7278.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86"/>
        <w:spacing w:after="0" w:line="286" w:lineRule="auto"/>
        <w:rPr>
          <w:sz w:val="20"/>
          <w:szCs w:val="20"/>
          <w:color w:val="auto"/>
        </w:rPr>
      </w:pPr>
      <w:r>
        <w:rPr>
          <w:rFonts w:ascii="Arial" w:cs="Arial" w:eastAsia="Arial" w:hAnsi="Arial"/>
          <w:sz w:val="16"/>
          <w:szCs w:val="16"/>
          <w:color w:val="auto"/>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370"/>
        <w:spacing w:after="0" w:line="302"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on page 5, the information incorporated by reference, including our financial statements, and the exhibits to the registration statement of which this prospectus is a part. Unless otherwise stated or the context requires otherwise, references in this prospectus to “TapImmune,” “we,” “us,” or “our” refer to TapImmune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2010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jc w:val="both"/>
        <w:ind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Her2/neu peptide epitopes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right="20" w:firstLine="39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smallpox vaccine candidate, and we have been encouraged by the results. We expect these studies to begin in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principal executive offices are located at 1551 Eastlake Avenue East, Suite 100, Seattle, WA 98102 and our telephone number is (206) 504-7278. We maintain a website at </w:t>
      </w:r>
      <w:r>
        <w:rPr>
          <w:rFonts w:ascii="Arial" w:cs="Arial" w:eastAsia="Arial" w:hAnsi="Arial"/>
          <w:sz w:val="18"/>
          <w:szCs w:val="18"/>
          <w:u w:val="single" w:color="auto"/>
          <w:color w:val="0000FF"/>
        </w:rPr>
        <w:t>http://www.tapimmune.com</w:t>
      </w:r>
      <w:r>
        <w:rPr>
          <w:rFonts w:ascii="Arial" w:cs="Arial" w:eastAsia="Arial" w:hAnsi="Arial"/>
          <w:sz w:val="18"/>
          <w:szCs w:val="18"/>
          <w:color w:val="auto"/>
        </w:rPr>
        <w:t xml:space="preserve"> which contains descriptions of our technology, our drugs and the trial status of each drug. The information on our website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offer the securities described in this prospectus from time to time, together with any applicable prospectus supplement, at prices and on terms to be determined by market conditions at the time of offering. This prospectus provides you with a general description of the securities we may offer. Holders of our common stock are entitled to one vote for each share held of record on each matter submitted to a vote of stockholders. Until you have acquired shares of our common stock upon exercise of any warrants, you will have no rights with respect to the shares of our common stock underlying such warrants. Upon exercise of your warrants, you will be entitled to exercise the rights of a common stockholder only as matters of which the record date occurs after the exercise date. Each time we offer our securities, we will provide a prospectus supplement that will describe the specific amounts, prices and other important terms of the securities. A prospectus supplement to be provided to you may also add, update or change information contained in this prospectus or in documents we have incorporated by reference. However, no prospectus supplement will offer a security that is not registered and described in this prospectus at the time of the effectiveness of the registration statement of which this prospectus is a part.</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Investing in our securities involves a high degree of risk. You should carefully consider and evaluate all of the information included and incorporated by reference or deemed to be incorporated by reference in this prospectus or any applicable prospectus supplement, including the risk factors contained herein and those incorporated by reference herein from our Annual Report on Form 10-K for the fiscal year ended December 31, 2013 and the Quarterly Report on Form 10-Q for the quarter ended March 30, 2014, respectively, as updated by annual, quarterly and other reports and documents we file with the SEC after the date of this prospectus and that are incorporated by reference herein or contained in any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2013, we had an accumulated deficit of $55,427,000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9" w:name="page20"/>
    <w:bookmarkEnd w:id="19"/>
    <w:p>
      <w:pPr>
        <w:jc w:val="both"/>
        <w:ind w:firstLine="324"/>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commercial success even if our product candidates are approved for sale.</w:t>
      </w:r>
    </w:p>
    <w:p>
      <w:pPr>
        <w:spacing w:after="0" w:line="256"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70" w:lineRule="exact"/>
        <w:rPr>
          <w:sz w:val="20"/>
          <w:szCs w:val="20"/>
          <w:color w:val="auto"/>
        </w:rPr>
      </w:pPr>
    </w:p>
    <w:p>
      <w:pPr>
        <w:ind w:left="540" w:hanging="37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the formulation of Immunotherapies by health care professionals and patients;</w:t>
      </w:r>
    </w:p>
    <w:p>
      <w:pPr>
        <w:spacing w:after="0" w:line="225" w:lineRule="exact"/>
        <w:rPr>
          <w:rFonts w:ascii="Arial" w:cs="Arial" w:eastAsia="Arial" w:hAnsi="Arial"/>
          <w:sz w:val="18"/>
          <w:szCs w:val="18"/>
          <w:color w:val="auto"/>
        </w:rPr>
      </w:pPr>
    </w:p>
    <w:p>
      <w:pPr>
        <w:ind w:left="540" w:right="280" w:hanging="370"/>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third-parties that we may enter into collaboration agreements with for the manufacture, sales, marketing and distribution of our products; and</w:t>
      </w:r>
    </w:p>
    <w:p>
      <w:pPr>
        <w:spacing w:after="0" w:line="170" w:lineRule="exact"/>
        <w:rPr>
          <w:rFonts w:ascii="Arial" w:cs="Arial" w:eastAsia="Arial" w:hAnsi="Arial"/>
          <w:sz w:val="18"/>
          <w:szCs w:val="18"/>
          <w:color w:val="auto"/>
        </w:rPr>
      </w:pPr>
    </w:p>
    <w:p>
      <w:pPr>
        <w:ind w:left="540" w:hanging="37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effectiveness and relative cost of alternative treatments which may be developed by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340" w:right="80" w:hanging="8"/>
        <w:spacing w:after="0" w:line="277" w:lineRule="auto"/>
        <w:tabs>
          <w:tab w:leader="none" w:pos="5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license technologies from a third party, the Mayo Clinic. We in-license from the Mayo Clinic the technology for: (i) the Her2/neu peptide epitopes,</w:t>
      </w:r>
    </w:p>
    <w:p>
      <w:pPr>
        <w:spacing w:after="0" w:line="46" w:lineRule="exact"/>
        <w:rPr>
          <w:sz w:val="20"/>
          <w:szCs w:val="20"/>
          <w:color w:val="auto"/>
        </w:rPr>
      </w:pPr>
    </w:p>
    <w:p>
      <w:pPr>
        <w:jc w:val="both"/>
        <w:ind w:right="40" w:firstLine="8"/>
        <w:spacing w:after="0" w:line="255"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17" w:lineRule="exact"/>
        <w:rPr>
          <w:rFonts w:ascii="Arial" w:cs="Arial" w:eastAsia="Arial" w:hAnsi="Arial"/>
          <w:sz w:val="18"/>
          <w:szCs w:val="18"/>
          <w:color w:val="auto"/>
        </w:rPr>
      </w:pPr>
    </w:p>
    <w:p>
      <w:pPr>
        <w:ind w:left="380" w:right="20" w:hanging="142"/>
        <w:spacing w:after="0" w:line="277" w:lineRule="auto"/>
        <w:tabs>
          <w:tab w:leader="none" w:pos="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97" w:lineRule="exact"/>
        <w:rPr>
          <w:rFonts w:ascii="Arial" w:cs="Arial" w:eastAsia="Arial" w:hAnsi="Arial"/>
          <w:sz w:val="18"/>
          <w:szCs w:val="18"/>
          <w:color w:val="auto"/>
        </w:rPr>
      </w:pPr>
    </w:p>
    <w:p>
      <w:pPr>
        <w:ind w:left="360" w:hanging="136"/>
        <w:spacing w:after="0"/>
        <w:tabs>
          <w:tab w:leader="none" w:pos="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52" w:lineRule="exact"/>
        <w:rPr>
          <w:rFonts w:ascii="Arial" w:cs="Arial" w:eastAsia="Arial" w:hAnsi="Arial"/>
          <w:sz w:val="18"/>
          <w:szCs w:val="18"/>
          <w:color w:val="auto"/>
        </w:rPr>
      </w:pPr>
    </w:p>
    <w:p>
      <w:pPr>
        <w:ind w:left="380" w:hanging="142"/>
        <w:spacing w:after="0"/>
        <w:tabs>
          <w:tab w:leader="none" w:pos="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52" w:lineRule="exact"/>
        <w:rPr>
          <w:rFonts w:ascii="Arial" w:cs="Arial" w:eastAsia="Arial" w:hAnsi="Arial"/>
          <w:sz w:val="18"/>
          <w:szCs w:val="18"/>
          <w:color w:val="auto"/>
        </w:rPr>
      </w:pPr>
    </w:p>
    <w:p>
      <w:pPr>
        <w:ind w:left="380" w:right="20" w:hanging="142"/>
        <w:spacing w:after="0" w:line="277" w:lineRule="auto"/>
        <w:tabs>
          <w:tab w:leader="none" w:pos="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sales, marketing or distribution capability and we must rely upon third parties for such.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intend to create facilities to manufacture our products and therefore will depend upon third parties to do so. We currently have no agreements with any commercial manufacturers.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July 16, 2014, we had 2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jc w:val="both"/>
        <w:ind w:firstLine="324"/>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Successful development of biopharmaceuticals is highly uncertain and depends on numerous factors, many of which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340" w:right="80" w:hanging="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340" w:right="300" w:hanging="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340" w:right="80" w:hanging="8"/>
        <w:spacing w:after="0" w:line="312" w:lineRule="auto"/>
        <w:tabs>
          <w:tab w:leader="none" w:pos="5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46" w:lineRule="exact"/>
        <w:rPr>
          <w:rFonts w:ascii="Arial" w:cs="Arial" w:eastAsia="Arial" w:hAnsi="Arial"/>
          <w:sz w:val="16"/>
          <w:szCs w:val="16"/>
          <w:color w:val="auto"/>
        </w:rPr>
      </w:pPr>
    </w:p>
    <w:p>
      <w:pPr>
        <w:ind w:left="580" w:hanging="24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the immunotherapy from being commercialized.</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you have paid,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14" w:lineRule="exact"/>
        <w:rPr>
          <w:sz w:val="20"/>
          <w:szCs w:val="20"/>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of our common stock to be listed or quoted on the OTCBB, the NASDAQ Capital Market, NYSE Amex Equities or other national market system;</w:t>
      </w:r>
    </w:p>
    <w:p>
      <w:pPr>
        <w:spacing w:after="0" w:line="275" w:lineRule="exact"/>
        <w:rPr>
          <w:rFonts w:ascii="Arial" w:cs="Arial" w:eastAsia="Arial" w:hAnsi="Arial"/>
          <w:sz w:val="16"/>
          <w:szCs w:val="16"/>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9" w:name="page30"/>
    <w:bookmarkEnd w:id="29"/>
    <w:p>
      <w:pPr>
        <w:jc w:val="both"/>
        <w:ind w:firstLine="324"/>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81"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252" w:lineRule="exact"/>
        <w:rPr>
          <w:rFonts w:ascii="Arial" w:cs="Arial" w:eastAsia="Arial" w:hAnsi="Arial"/>
          <w:sz w:val="18"/>
          <w:szCs w:val="18"/>
          <w:color w:val="auto"/>
        </w:rPr>
      </w:pPr>
    </w:p>
    <w:p>
      <w:pPr>
        <w:ind w:left="340" w:right="120" w:hanging="8"/>
        <w:spacing w:after="0" w:line="277" w:lineRule="auto"/>
        <w:tabs>
          <w:tab w:leader="none" w:pos="5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197" w:lineRule="exact"/>
        <w:rPr>
          <w:rFonts w:ascii="Arial" w:cs="Arial" w:eastAsia="Arial" w:hAnsi="Arial"/>
          <w:sz w:val="18"/>
          <w:szCs w:val="18"/>
          <w:color w:val="auto"/>
        </w:rPr>
      </w:pPr>
    </w:p>
    <w:p>
      <w:pPr>
        <w:ind w:left="340" w:right="260" w:hanging="8"/>
        <w:spacing w:after="0" w:line="308" w:lineRule="auto"/>
        <w:tabs>
          <w:tab w:leader="none" w:pos="5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70"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252" w:lineRule="exact"/>
        <w:rPr>
          <w:rFonts w:ascii="Arial" w:cs="Arial" w:eastAsia="Arial" w:hAnsi="Arial"/>
          <w:sz w:val="18"/>
          <w:szCs w:val="18"/>
          <w:color w:val="auto"/>
        </w:rPr>
      </w:pPr>
    </w:p>
    <w:p>
      <w:pPr>
        <w:ind w:left="340" w:right="540" w:hanging="8"/>
        <w:spacing w:after="0" w:line="277" w:lineRule="auto"/>
        <w:tabs>
          <w:tab w:leader="none" w:pos="5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252" w:lineRule="exact"/>
        <w:rPr>
          <w:rFonts w:ascii="Arial" w:cs="Arial" w:eastAsia="Arial" w:hAnsi="Arial"/>
          <w:sz w:val="18"/>
          <w:szCs w:val="18"/>
          <w:color w:val="auto"/>
        </w:rPr>
      </w:pPr>
    </w:p>
    <w:p>
      <w:pPr>
        <w:ind w:left="340" w:right="120" w:hanging="8"/>
        <w:spacing w:after="0" w:line="277" w:lineRule="auto"/>
        <w:tabs>
          <w:tab w:leader="none" w:pos="5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one reason we asked our shareholders to approve a reverse stock split was to increase the price per share of our common stock such that it would not be subject to the “penny stock” rules. Our stock closed at $1.60 per share on July 14, 2014 and the per share price of our common stock might not obtain or maintain the necessary levels to prevent our stock being subject to these rules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52" w:lineRule="exact"/>
        <w:rPr>
          <w:sz w:val="20"/>
          <w:szCs w:val="20"/>
          <w:color w:val="auto"/>
        </w:rPr>
      </w:pPr>
    </w:p>
    <w:p>
      <w:pPr>
        <w:jc w:val="both"/>
        <w:ind w:firstLine="685"/>
        <w:spacing w:after="0" w:line="273" w:lineRule="auto"/>
        <w:rPr>
          <w:sz w:val="20"/>
          <w:szCs w:val="20"/>
          <w:color w:val="auto"/>
        </w:rPr>
      </w:pPr>
      <w:r>
        <w:rPr>
          <w:rFonts w:ascii="Arial" w:cs="Arial" w:eastAsia="Arial" w:hAnsi="Arial"/>
          <w:sz w:val="17"/>
          <w:szCs w:val="17"/>
          <w:color w:val="auto"/>
        </w:rPr>
        <w:t>The quotation of our common stock on the OTCBB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market for the warrants to purchase common stock being offering in this offering.</w:t>
      </w:r>
    </w:p>
    <w:p>
      <w:pPr>
        <w:spacing w:after="0" w:line="225" w:lineRule="exact"/>
        <w:rPr>
          <w:sz w:val="20"/>
          <w:szCs w:val="20"/>
          <w:color w:val="auto"/>
        </w:rPr>
      </w:pPr>
    </w:p>
    <w:p>
      <w:pPr>
        <w:ind w:right="180" w:firstLine="663"/>
        <w:spacing w:after="0" w:line="264"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for a listing of any of the warrants on any securities exchange. Without an active market, the liquidity of the warrants will be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warrants will have no rights as a common stockholder until such holders exercise their warrants and acquire our common stock.</w:t>
      </w:r>
    </w:p>
    <w:p>
      <w:pPr>
        <w:spacing w:after="0" w:line="248" w:lineRule="exact"/>
        <w:rPr>
          <w:sz w:val="20"/>
          <w:szCs w:val="20"/>
          <w:color w:val="auto"/>
        </w:rPr>
      </w:pPr>
    </w:p>
    <w:p>
      <w:pPr>
        <w:ind w:right="80" w:firstLine="666"/>
        <w:spacing w:after="0" w:line="264" w:lineRule="auto"/>
        <w:rPr>
          <w:sz w:val="20"/>
          <w:szCs w:val="20"/>
          <w:color w:val="auto"/>
        </w:rPr>
      </w:pPr>
      <w:r>
        <w:rPr>
          <w:rFonts w:ascii="Arial" w:cs="Arial" w:eastAsia="Arial" w:hAnsi="Arial"/>
          <w:sz w:val="18"/>
          <w:szCs w:val="18"/>
          <w:color w:val="auto"/>
        </w:rPr>
        <w:t>Until you acquire shares of our common stock upon exercise of your warrants, you will have no rights with respect to the shares of our common stock underlying such warrants. Upon exercise of your warrants, you will be entitled to exercise the rights of a common stockholder only as matters of which the record date occurs after the exercise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52" w:lineRule="exact"/>
        <w:rPr>
          <w:sz w:val="20"/>
          <w:szCs w:val="20"/>
          <w:color w:val="auto"/>
        </w:rPr>
      </w:pPr>
    </w:p>
    <w:p>
      <w:pPr>
        <w:jc w:val="both"/>
        <w:ind w:firstLine="704"/>
        <w:spacing w:after="0" w:line="264" w:lineRule="auto"/>
        <w:rPr>
          <w:sz w:val="20"/>
          <w:szCs w:val="20"/>
          <w:color w:val="auto"/>
        </w:rPr>
      </w:pPr>
      <w:r>
        <w:rPr>
          <w:rFonts w:ascii="Arial" w:cs="Arial" w:eastAsia="Arial" w:hAnsi="Arial"/>
          <w:sz w:val="18"/>
          <w:szCs w:val="18"/>
          <w:color w:val="auto"/>
        </w:rPr>
        <w:t>Our common stock began trades on the over-the-counter-markets and is currently quoted on the OTCBB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81"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180" w:right="360" w:firstLine="314"/>
        <w:spacing w:after="0" w:line="258" w:lineRule="auto"/>
        <w:tabs>
          <w:tab w:leader="none" w:pos="7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commitments;</w:t>
      </w:r>
    </w:p>
    <w:p>
      <w:pPr>
        <w:spacing w:after="0" w:line="210"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OTCBB which would limit the ability of broker-dealers to sell our securities and the ability of shareholders to sell their securities in the secondary market.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trading on the OTCBB must be reporting issuers under Section 12 of the Securities Exchange Act, as amended. If we fail to file such reports in a timely manner, the shares of our common stock would eventually cease to be quoted on the OTCBB, and the market liquidity for our securities could be severely adversely affected by limiting the ability of broker-dealers to sell our securities and the ability of shareholders to sell their securities in the secondary market.</w:t>
      </w:r>
    </w:p>
    <w:p>
      <w:pPr>
        <w:spacing w:after="0" w:line="187" w:lineRule="exact"/>
        <w:rPr>
          <w:sz w:val="20"/>
          <w:szCs w:val="20"/>
          <w:color w:val="auto"/>
        </w:rPr>
      </w:pPr>
    </w:p>
    <w:p>
      <w:pPr>
        <w:ind w:right="140" w:firstLine="45"/>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208"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authorized shares of common stock available for issuance may adversely affect the market price of our securities.</w:t>
      </w:r>
    </w:p>
    <w:p>
      <w:pPr>
        <w:spacing w:after="0" w:line="252" w:lineRule="exact"/>
        <w:rPr>
          <w:sz w:val="20"/>
          <w:szCs w:val="20"/>
          <w:color w:val="auto"/>
        </w:rPr>
      </w:pPr>
    </w:p>
    <w:p>
      <w:pPr>
        <w:jc w:val="both"/>
        <w:ind w:firstLine="398"/>
        <w:spacing w:after="0" w:line="276" w:lineRule="auto"/>
        <w:rPr>
          <w:sz w:val="20"/>
          <w:szCs w:val="20"/>
          <w:color w:val="auto"/>
        </w:rPr>
      </w:pPr>
      <w:r>
        <w:rPr>
          <w:rFonts w:ascii="Arial" w:cs="Arial" w:eastAsia="Arial" w:hAnsi="Arial"/>
          <w:sz w:val="17"/>
          <w:szCs w:val="17"/>
          <w:color w:val="auto"/>
        </w:rPr>
        <w:t>We are currently authorized to issue 500,000,000 shares of our common stock. As of July 14, 2014, we had 16,806,569 shares of our common stock issued and outstanding, excluding shares issuable upon exercise of our outstanding warrants, options and shares of common stock earned but not yet issued under Omnibus Stock Option Plan. Those outstanding shares represent 3.2% of are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2014, the fair value of the derivative liability – warrants was $603,893.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491"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corporate offices are currently located at 1551 Eastlake Avenue East, Suite 100, Seattle, Washington, 98102.We are on a month to month basis with our landlord for our current facility which is an approximately 2,682 square feet in Seattle, Washington.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8, 2012, we entered into a consulting agreement with Michael Gardner whereby he was issued 56,000 shares of our common stock in exchange for consulting duties, including the raising of capital. We determined that Mr. Gardener had no intent to fulfill his obligations under that agreement and terminated that agreement. The court denied our motion for a TRO and we were unable to raise necessary funds to continue our defense against Mr. Gardner, As a result, we defaulted on a $100,000 bond. In addition, we attempted to restrict Mr. Gardner’s ability to transfer his shares he received pursuant to that agreement. Mr. Gardner sued us in New York Supreme Court attempting to compel us to remove the legend from his shares and we countered a Temporary Restraining Order.</w:t>
      </w:r>
    </w:p>
    <w:p>
      <w:pPr>
        <w:spacing w:after="0" w:line="22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also brought an action against Mr. Gardner in the American Arbitration Association. That action remains pending. We have claimed losses totaling approximately $800,000. Mr. Gardner has claimed damages totaling $633,000, 82,000 shares of our common stock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3" w:name="page34"/>
    <w:bookmarkEnd w:id="33"/>
    <w:p>
      <w:pPr>
        <w:jc w:val="both"/>
        <w:ind w:firstLine="324"/>
        <w:spacing w:after="0" w:line="264" w:lineRule="auto"/>
        <w:rPr>
          <w:sz w:val="20"/>
          <w:szCs w:val="20"/>
          <w:color w:val="auto"/>
        </w:rPr>
      </w:pPr>
      <w:r>
        <w:rPr>
          <w:rFonts w:ascii="Arial" w:cs="Arial" w:eastAsia="Arial" w:hAnsi="Arial"/>
          <w:sz w:val="18"/>
          <w:szCs w:val="18"/>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to settle that matter in the second quarter of 2014.</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an applicable prospectus supplement states otherwise, we expect to use the proceeds from the sale of the sale of these securities in the following order:</w:t>
      </w:r>
    </w:p>
    <w:p>
      <w:pPr>
        <w:spacing w:after="0" w:line="197" w:lineRule="exact"/>
        <w:rPr>
          <w:sz w:val="20"/>
          <w:szCs w:val="20"/>
          <w:color w:val="auto"/>
        </w:rPr>
      </w:pPr>
    </w:p>
    <w:p>
      <w:pPr>
        <w:ind w:left="500" w:hanging="141"/>
        <w:spacing w:after="0"/>
        <w:tabs>
          <w:tab w:leader="none" w:pos="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$400,000 of proceeds of the sale of these securities to exercise our option to acquire an exclusive license to the Folate Alpha Receptor technology,</w:t>
      </w:r>
    </w:p>
    <w:p>
      <w:pPr>
        <w:spacing w:after="0" w:line="275" w:lineRule="exact"/>
        <w:rPr>
          <w:rFonts w:ascii="Arial" w:cs="Arial" w:eastAsia="Arial" w:hAnsi="Arial"/>
          <w:sz w:val="16"/>
          <w:szCs w:val="16"/>
          <w:color w:val="auto"/>
        </w:rPr>
      </w:pPr>
    </w:p>
    <w:p>
      <w:pPr>
        <w:ind w:left="340" w:hanging="143"/>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remainder for general corporate purposes, which may include funding clinical studies, repayment of existing indebtedness, working capital, capital expenditures, acquisitions and joint ventures.</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As of the date of this prospectus, we have not identified as probable any specific material proposed uses of these proceeds except as set out above. If, as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date of any prospectus supplement, we have identified any such uses, we will describe them in the prospectus supplement. The amount of securities offered from time to time pursuant to this prospectus and any prospectus supplement, and the precise amounts and timing of the application of net proceeds from the sale of those securities, depends upon our funding requirements. Pending these uses, we intend to invest the net proceeds in investment-grade, interest-bearing securities.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securities to one or more underwriters or dealers for public offering and sale by them, or we may sell the securities to investors directly or through agents. An applicable prospectus supplement will set forth the terms of the offering and the method of distribution and will identify any firms acting as underwriters, dealers or agents in connection with the offering, including:</w:t>
      </w:r>
    </w:p>
    <w:p>
      <w:pPr>
        <w:spacing w:after="0" w:line="181"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initial public offering price and the net proceeds we will receive from such sale;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distribute our securities from time to time in one or more transactions at a fixed price or prices, which may be changed, or at prices determined as a prospectus supplement specifies, including in “at-the-market” offerings. We may sell our securities through rights offering, forward contracts or similar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4" w:name="page35"/>
    <w:bookmarkEnd w:id="34"/>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a prospectus supplement pursuant to delayed delivery contracts providing for payment and delivery on a specified date in the future. The contracts will be subject only to those conditions set forth in an applicable prospectus supplement, and the prospectus supplement will set forth any commissions we pay for solicitation of these contracts.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underwriting discounts or other compensation which we pay to underwriters or agents in connection with the offering of our securities, and any discounts, concessions or commissions which underwriters allow to dealers, will be set forth in a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common stock sold pursuant to this prospectus and applicable prospectus supplement, will be approved for trading, upon notice of issuance, on the OCTBB market or such other stock exchange that our securities are trading upon. Any warrants or units sold pursuant to this prospectus will not be approved on any market or exchange. However, the shares of common stock underlying those warrants will also be approved for trading upon exercise of the warrants on the OTCBB market or such other exchange that our securities are trading upon.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of the underwriters and their affiliates may be customers of, engage in transactions with, and perform services for, us and our subsidiaries in the ordinary course of business at any time. We may sell the securities covered in this prospectus in any of these ways (or in any combination).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no more than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date hereof, we are authorized by our certificate of incorporation to issue an aggregate of 500,000,000 shares of common stock, par value $0.001 per share and 5,000,000 shares as blank check preferred shares, no par value. 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w:t>
      </w:r>
    </w:p>
    <w:p>
      <w:pPr>
        <w:spacing w:after="0" w:line="20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This prospectus contains only a summary of the common stock we may offer from time to time, in one or more offerings, in a dollar amount that does not exceed, in the aggregate, $20,000,000. The specific terms of any securities actually offered for sale, together with the terms of that offering, the initial price and the net proceeds to us from the sale of these securities, will be set forth in an accompanying prospectus supplement. That prospectus supplement also will contain information, where applicable, about material United States federal income tax considerations relating to the securities, and the securities exchange, if any, on which the securities will be listed. This prospectus may not be used to consummate a sale of securities unless it is accompanied by a prospectus supplement.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issue warrants for the purchase of common stock. We may issue warrants independently or together with any other securities offered by any prospectus supplement and they may be attached to or separate from the other offered securities. Each series of warrants will be issued under a separate warrant agreement to be entered into by us. Further terms of the warrants and the applicable warrant agreements will be set forth in the applicable prospectus supplement.</w:t>
      </w:r>
    </w:p>
    <w:p>
      <w:pPr>
        <w:spacing w:after="0" w:line="214"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7" w:lineRule="exact"/>
        <w:rPr>
          <w:sz w:val="20"/>
          <w:szCs w:val="20"/>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terms and number of shares of common stock purchasable upon exercise of the warrants;</w:t>
      </w:r>
    </w:p>
    <w:p>
      <w:pPr>
        <w:spacing w:after="0" w:line="9" w:lineRule="exact"/>
        <w:rPr>
          <w:rFonts w:ascii="Arial" w:cs="Arial" w:eastAsia="Arial" w:hAnsi="Arial"/>
          <w:sz w:val="18"/>
          <w:szCs w:val="18"/>
          <w:color w:val="auto"/>
        </w:rPr>
      </w:pPr>
    </w:p>
    <w:p>
      <w:pPr>
        <w:ind w:left="500" w:right="20" w:hanging="141"/>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will be separately transferable;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at which each share of common stock purchasable upon exercise of the warrants may be purchased;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ectPr>
          <w:pgSz w:w="11900" w:h="16838" w:orient="portrait"/>
          <w:cols w:equalWidth="0" w:num="1">
            <w:col w:w="11420"/>
          </w:cols>
          <w:pgMar w:left="240" w:top="756" w:right="239" w:bottom="0" w:gutter="0" w:footer="0" w:header="0"/>
        </w:sectPr>
      </w:pPr>
    </w:p>
    <w:bookmarkStart w:id="36" w:name="page37"/>
    <w:bookmarkEnd w:id="36"/>
    <w:p>
      <w:pPr>
        <w:ind w:left="340"/>
        <w:spacing w:after="0"/>
        <w:rPr>
          <w:sz w:val="20"/>
          <w:szCs w:val="20"/>
          <w:color w:val="auto"/>
        </w:rPr>
      </w:pPr>
      <w:r>
        <w:rPr>
          <w:rFonts w:ascii="Arial" w:cs="Arial" w:eastAsia="Arial" w:hAnsi="Arial"/>
          <w:sz w:val="22"/>
          <w:szCs w:val="22"/>
          <w:color w:val="auto"/>
        </w:rPr>
        <w:t>The applicable prospectus supplement will describe, among other matters, :</w:t>
      </w:r>
    </w:p>
    <w:p>
      <w:pPr>
        <w:spacing w:after="0" w:line="240" w:lineRule="exact"/>
        <w:rPr>
          <w:sz w:val="20"/>
          <w:szCs w:val="20"/>
          <w:color w:val="auto"/>
        </w:rPr>
      </w:pPr>
    </w:p>
    <w:p>
      <w:pPr>
        <w:ind w:left="340" w:right="140" w:hanging="8"/>
        <w:spacing w:after="0" w:line="258" w:lineRule="auto"/>
        <w:tabs>
          <w:tab w:leader="none" w:pos="475" w:val="left"/>
        </w:tabs>
        <w:numPr>
          <w:ilvl w:val="0"/>
          <w:numId w:val="25"/>
        </w:numPr>
        <w:rPr>
          <w:rFonts w:ascii="Arial" w:cs="Arial" w:eastAsia="Arial" w:hAnsi="Arial"/>
          <w:sz w:val="18"/>
          <w:szCs w:val="18"/>
          <w:color w:val="222222"/>
        </w:rPr>
      </w:pPr>
      <w:r>
        <w:rPr>
          <w:rFonts w:ascii="Arial" w:cs="Arial" w:eastAsia="Arial" w:hAnsi="Arial"/>
          <w:sz w:val="18"/>
          <w:szCs w:val="18"/>
          <w:color w:val="222222"/>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222222"/>
        </w:rPr>
      </w:pPr>
    </w:p>
    <w:p>
      <w:pPr>
        <w:ind w:left="460" w:hanging="128"/>
        <w:spacing w:after="0"/>
        <w:tabs>
          <w:tab w:leader="none" w:pos="460" w:val="left"/>
        </w:tabs>
        <w:numPr>
          <w:ilvl w:val="0"/>
          <w:numId w:val="25"/>
        </w:numPr>
        <w:rPr>
          <w:rFonts w:ascii="Arial" w:cs="Arial" w:eastAsia="Arial" w:hAnsi="Arial"/>
          <w:sz w:val="18"/>
          <w:szCs w:val="18"/>
          <w:color w:val="222222"/>
        </w:rPr>
      </w:pPr>
      <w:r>
        <w:rPr>
          <w:rFonts w:ascii="Arial" w:cs="Arial" w:eastAsia="Arial" w:hAnsi="Arial"/>
          <w:sz w:val="18"/>
          <w:szCs w:val="18"/>
          <w:color w:val="222222"/>
        </w:rPr>
        <w:t>any agreement under which the units will be issued;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25"/>
        </w:numPr>
        <w:rPr>
          <w:rFonts w:ascii="Arial" w:cs="Arial" w:eastAsia="Arial" w:hAnsi="Arial"/>
          <w:sz w:val="18"/>
          <w:szCs w:val="18"/>
          <w:color w:val="222222"/>
        </w:rPr>
      </w:pPr>
      <w:r>
        <w:rPr>
          <w:rFonts w:ascii="Arial" w:cs="Arial" w:eastAsia="Arial" w:hAnsi="Arial"/>
          <w:sz w:val="18"/>
          <w:szCs w:val="18"/>
          <w:color w:val="222222"/>
        </w:rPr>
        <w:t>any provisions for the issuance, payment, settlement, transfer or exchange of the units or of the securities comprising the units; and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25"/>
        </w:numPr>
        <w:rPr>
          <w:rFonts w:ascii="Arial" w:cs="Arial" w:eastAsia="Arial" w:hAnsi="Arial"/>
          <w:sz w:val="18"/>
          <w:szCs w:val="18"/>
          <w:color w:val="222222"/>
        </w:rPr>
      </w:pPr>
      <w:r>
        <w:rPr>
          <w:rFonts w:ascii="Arial" w:cs="Arial" w:eastAsia="Arial" w:hAnsi="Arial"/>
          <w:sz w:val="18"/>
          <w:szCs w:val="18"/>
          <w:color w:val="222222"/>
        </w:rPr>
        <w:t>whether the units will be issued in fully registered or global form.</w:t>
      </w:r>
    </w:p>
    <w:p>
      <w:pPr>
        <w:spacing w:after="0" w:line="23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outstanding shares of common stock or shares of common stock issuable upon conversion of our convertible notes and shares of common stock issuable upon exercise of outstanding warrants are subject to demand or piggyback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Nevada Law</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Incorporation and Bylaws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Clean water FL 33760.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our common stock are quoted on the OTCBB under the symbol TPIV.OB. On July 14, 2014 the last reported sale price per share for our common stock on the OTCBB as reported was $1.60.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legality and validity of the securities offered from time to time under this prospectus will be passed upon by Sanders Ortoli Vaughn-Flam Rosenstadt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financial statements as of December 31, 2013 and 2012, and for each of the three years in the period ended December 31, 2013 incorporated herein by reference from our Annual Report in Form 10-K for the year ended December 31, 2013 have been audited by Dale Matheson Carr-Hilton LaBonte LLP, an independent registered public accounting firm, as set forth in their report therein, and are incorporated in reliance upon such report given on the authority of such firm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0000FF"/>
        </w:rPr>
        <w:t>http://www.sec.gov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and prior to the termination of this offering,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 (other than in each case, documents or information deemed to be furnished and not filed in accordance with SEC rules):</w:t>
      </w:r>
    </w:p>
    <w:p>
      <w:pPr>
        <w:spacing w:after="0" w:line="179" w:lineRule="exact"/>
        <w:rPr>
          <w:sz w:val="20"/>
          <w:szCs w:val="20"/>
          <w:color w:val="auto"/>
        </w:rPr>
      </w:pPr>
    </w:p>
    <w:p>
      <w:pPr>
        <w:ind w:left="500" w:right="180" w:hanging="249"/>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as filed with the SEC on April 14, 2014 as amended by Form 10-K/A filed with the SEC on April 17, 2014; and</w:t>
      </w:r>
    </w:p>
    <w:p>
      <w:pPr>
        <w:spacing w:after="0" w:line="170" w:lineRule="exact"/>
        <w:rPr>
          <w:rFonts w:ascii="Arial" w:cs="Arial" w:eastAsia="Arial" w:hAnsi="Arial"/>
          <w:sz w:val="18"/>
          <w:szCs w:val="18"/>
          <w:color w:val="auto"/>
        </w:rPr>
      </w:pPr>
    </w:p>
    <w:p>
      <w:pPr>
        <w:ind w:left="500" w:hanging="249"/>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Periodic Reports on Form 10-Q filed with the SEC on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9" w:name="page40"/>
    <w:bookmarkEnd w:id="39"/>
    <w:p>
      <w:pPr>
        <w:jc w:val="both"/>
        <w:ind w:firstLine="324"/>
        <w:spacing w:after="0" w:line="270" w:lineRule="auto"/>
        <w:rPr>
          <w:sz w:val="20"/>
          <w:szCs w:val="20"/>
          <w:color w:val="auto"/>
        </w:rPr>
      </w:pPr>
      <w:r>
        <w:rPr>
          <w:rFonts w:ascii="Arial" w:cs="Arial" w:eastAsia="Arial" w:hAnsi="Arial"/>
          <w:sz w:val="17"/>
          <w:szCs w:val="17"/>
          <w:color w:val="auto"/>
        </w:rPr>
        <w:t>In addition, all documents that we file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or deemed to be a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or deemed to be a part of this Registration Statement modifies or supersedes such statement. Any statement contained in a document that is deemed to be incorporated by reference or deemed to be a part of this Registration Statement after the most recent effective date may modify or replace existing statements contained in this Registration Statement. In either case, any statement so modified or superseded shall not be deemed to constitute a part of this Registration Statement, except as so modified or superseded.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TapImmune Inc.1551 Eastlake Avenue East, Suite 100, Seattle Washington. Attn: Glynn Wilson or by calling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206"/>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2020-01-28T09:05:21Z</dcterms:created>
  <dcterms:modified xsi:type="dcterms:W3CDTF">2020-01-28T09:05:21Z</dcterms:modified>
</cp:coreProperties>
</file>