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1960" w:right="7940" w:hanging="66"/>
        <w:spacing w:after="0" w:line="291" w:lineRule="auto"/>
        <w:tabs>
          <w:tab w:leader="none" w:pos="231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2320" w:hanging="426"/>
        <w:spacing w:after="0"/>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11 Pages)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ind w:right="20" w:firstLine="648"/>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68"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58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740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Iroquois Capital Management L.L.C.</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CHECK THE</w:t>
            </w:r>
          </w:p>
        </w:tc>
        <w:tc>
          <w:tcPr>
            <w:tcW w:w="740" w:type="dxa"/>
            <w:vAlign w:val="bottom"/>
          </w:tcPr>
          <w:p>
            <w:pPr>
              <w:spacing w:after="0"/>
              <w:rPr>
                <w:sz w:val="20"/>
                <w:szCs w:val="20"/>
                <w:color w:val="auto"/>
              </w:rPr>
            </w:pP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APPROPRIATE BOX IF A</w:t>
            </w: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MEMBER OF A GROUP</w:t>
            </w:r>
          </w:p>
        </w:tc>
        <w:tc>
          <w:tcPr>
            <w:tcW w:w="7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1"/>
                <w:szCs w:val="21"/>
                <w:color w:val="auto"/>
              </w:rPr>
            </w:pPr>
          </w:p>
        </w:tc>
        <w:tc>
          <w:tcPr>
            <w:tcW w:w="7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2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0</w:t>
            </w: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0"/>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6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1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6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1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shd w:val="clear" w:color="auto" w:fill="000000"/>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6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1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vMerge w:val="continue"/>
            <w:shd w:val="clear" w:color="auto" w:fill="000000"/>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6"/>
                <w:szCs w:val="6"/>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0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82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312,501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CHECK BOX IF THE</w:t>
            </w: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AGGREGATE AMOUNT IN</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ROW (9) EXCLUDES</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w w:val="94"/>
              </w:rPr>
              <w:t>CERTAIN SHARES</w:t>
            </w:r>
          </w:p>
        </w:tc>
        <w:tc>
          <w:tcPr>
            <w:tcW w:w="740" w:type="dxa"/>
            <w:vAlign w:val="bottom"/>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980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6.6% (See Item 4)*</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80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C and F Warrants are subject to a 9.9% blocker and the percentage set forth in row (11) gives effect to such blockers.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58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740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Richard Abbe</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CHECK THE</w:t>
            </w:r>
          </w:p>
        </w:tc>
        <w:tc>
          <w:tcPr>
            <w:tcW w:w="740" w:type="dxa"/>
            <w:vAlign w:val="bottom"/>
          </w:tcPr>
          <w:p>
            <w:pPr>
              <w:spacing w:after="0"/>
              <w:rPr>
                <w:sz w:val="20"/>
                <w:szCs w:val="20"/>
                <w:color w:val="auto"/>
              </w:rPr>
            </w:pP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APPROPRIATE BOX IF A</w:t>
            </w: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MEMBER OF A GROUP</w:t>
            </w:r>
          </w:p>
        </w:tc>
        <w:tc>
          <w:tcPr>
            <w:tcW w:w="7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1"/>
                <w:szCs w:val="21"/>
                <w:color w:val="auto"/>
              </w:rPr>
            </w:pPr>
          </w:p>
        </w:tc>
        <w:tc>
          <w:tcPr>
            <w:tcW w:w="7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2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United States of America</w:t>
            </w: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0</w:t>
            </w: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0"/>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6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1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6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1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shd w:val="clear" w:color="auto" w:fill="000000"/>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6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1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vMerge w:val="continue"/>
            <w:shd w:val="clear" w:color="auto" w:fill="000000"/>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6"/>
                <w:szCs w:val="6"/>
                <w:color w:val="auto"/>
              </w:rPr>
            </w:pPr>
          </w:p>
        </w:tc>
        <w:tc>
          <w:tcPr>
            <w:tcW w:w="81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0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82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358,025 shares of Common Stock</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312,501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CHECK BOX IF THE</w:t>
            </w: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AGGREGATE AMOUNT IN</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ROW (9) EXCLUDES</w:t>
            </w:r>
          </w:p>
        </w:tc>
        <w:tc>
          <w:tcPr>
            <w:tcW w:w="7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w w:val="94"/>
              </w:rPr>
              <w:t>CERTAIN SHARES</w:t>
            </w:r>
          </w:p>
        </w:tc>
        <w:tc>
          <w:tcPr>
            <w:tcW w:w="740" w:type="dxa"/>
            <w:vAlign w:val="bottom"/>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980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6.6% (See Item 4)*</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80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8"/>
        <w:spacing w:after="0" w:line="291"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C and F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58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7400" w:type="dxa"/>
            <w:vAlign w:val="bottom"/>
            <w:tcBorders>
              <w:top w:val="single" w:sz="8" w:color="auto"/>
              <w:bottom w:val="single" w:sz="8" w:color="auto"/>
              <w:right w:val="single" w:sz="8" w:color="auto"/>
            </w:tcBorders>
          </w:tcPr>
          <w:p>
            <w:pPr>
              <w:spacing w:after="0"/>
              <w:rPr>
                <w:sz w:val="3"/>
                <w:szCs w:val="3"/>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NAMES OF REPORTING PERSONS</w:t>
            </w: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Kimberly Page</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CHECK THE</w:t>
            </w:r>
          </w:p>
        </w:tc>
        <w:tc>
          <w:tcPr>
            <w:tcW w:w="740" w:type="dxa"/>
            <w:vAlign w:val="bottom"/>
          </w:tcPr>
          <w:p>
            <w:pPr>
              <w:spacing w:after="0"/>
              <w:rPr>
                <w:sz w:val="20"/>
                <w:szCs w:val="20"/>
                <w:color w:val="auto"/>
              </w:rPr>
            </w:pP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 o</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APPROPRIATE BOX IF A</w:t>
            </w:r>
          </w:p>
        </w:tc>
        <w:tc>
          <w:tcPr>
            <w:tcW w:w="74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MEMBER OF A GROUP</w:t>
            </w:r>
          </w:p>
        </w:tc>
        <w:tc>
          <w:tcPr>
            <w:tcW w:w="7400" w:type="dxa"/>
            <w:vAlign w:val="bottom"/>
            <w:tcBorders>
              <w:right w:val="single" w:sz="8" w:color="auto"/>
            </w:tcBorders>
          </w:tcPr>
          <w:p>
            <w:pPr>
              <w:spacing w:after="0"/>
              <w:rPr>
                <w:sz w:val="20"/>
                <w:szCs w:val="20"/>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1"/>
                <w:szCs w:val="21"/>
                <w:color w:val="auto"/>
              </w:rPr>
            </w:pPr>
          </w:p>
        </w:tc>
        <w:tc>
          <w:tcPr>
            <w:tcW w:w="7400" w:type="dxa"/>
            <w:vAlign w:val="bottom"/>
            <w:tcBorders>
              <w:right w:val="single" w:sz="8" w:color="auto"/>
            </w:tcBorders>
          </w:tcPr>
          <w:p>
            <w:pPr>
              <w:spacing w:after="0"/>
              <w:rPr>
                <w:sz w:val="21"/>
                <w:szCs w:val="2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200" w:type="dxa"/>
            <w:vAlign w:val="bottom"/>
            <w:tcBorders>
              <w:bottom w:val="single" w:sz="8" w:color="auto"/>
              <w:right w:val="single" w:sz="8" w:color="auto"/>
            </w:tcBorders>
            <w:gridSpan w:val="3"/>
          </w:tcPr>
          <w:p>
            <w:pPr>
              <w:spacing w:after="0"/>
              <w:rPr>
                <w:sz w:val="22"/>
                <w:szCs w:val="22"/>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9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United States of America</w:t>
            </w:r>
          </w:p>
        </w:tc>
        <w:tc>
          <w:tcPr>
            <w:tcW w:w="7400" w:type="dxa"/>
            <w:vAlign w:val="bottom"/>
            <w:tcBorders>
              <w:right w:val="single" w:sz="8" w:color="auto"/>
            </w:tcBorders>
          </w:tcPr>
          <w:p>
            <w:pPr>
              <w:spacing w:after="0"/>
              <w:rPr>
                <w:sz w:val="24"/>
                <w:szCs w:val="24"/>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SOLE VOTING POWER</w:t>
            </w: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234,000 shares of Common Stock</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187,500 shares of Common Stock issuable upon exercise of Series A, D and E Warrants (See Item 4)*</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125,067 shares of Common Stock issuable upon exercise of Series C and F Warrants (See Item 4)*</w:t>
            </w: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VOTING POWER</w:t>
            </w:r>
          </w:p>
        </w:tc>
      </w:tr>
      <w:tr>
        <w:trPr>
          <w:trHeight w:val="419"/>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358,025 shares of Common Stock</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16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spacing w:after="0"/>
              <w:rPr>
                <w:sz w:val="20"/>
                <w:szCs w:val="20"/>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5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EACH</w:t>
            </w:r>
          </w:p>
        </w:tc>
        <w:tc>
          <w:tcPr>
            <w:tcW w:w="1600" w:type="dxa"/>
            <w:vAlign w:val="bottom"/>
            <w:tcBorders>
              <w:right w:val="single" w:sz="8" w:color="auto"/>
            </w:tcBorders>
          </w:tcPr>
          <w:p>
            <w:pPr>
              <w:ind w:left="740"/>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7"/>
                <w:szCs w:val="17"/>
                <w:color w:val="auto"/>
              </w:rPr>
            </w:pPr>
          </w:p>
        </w:tc>
        <w:tc>
          <w:tcPr>
            <w:tcW w:w="814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SOLE DISPOSITIVE POWER</w:t>
            </w: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1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0" w:type="dxa"/>
            <w:vAlign w:val="bottom"/>
            <w:tcBorders>
              <w:right w:val="single" w:sz="8" w:color="auto"/>
            </w:tcBorders>
          </w:tcPr>
          <w:p>
            <w:pPr>
              <w:spacing w:after="0"/>
              <w:rPr>
                <w:sz w:val="17"/>
                <w:szCs w:val="17"/>
                <w:color w:val="auto"/>
              </w:rPr>
            </w:pPr>
          </w:p>
        </w:tc>
      </w:t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234,000 shares of Common Stock</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187,500 shares of Common Stock issuable upon exercise of Series A, D and E Warrants (See Item 4)*</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125,067 shares of Common Stock issuable upon exercise of Series C and F Warrants (See Item 4)*</w:t>
            </w: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1"/>
                <w:szCs w:val="21"/>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DISPOSITIVE POWER</w:t>
            </w: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358,025 shares of Common Stock</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312,501 shares of Common Stock issuable upon exercise of Series A, D and E Warrants (See Item 4)*</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820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592,025 shares of Common Stock</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500,001 shares of Common Stock issuable upon exercise of Series A, D and E Warrants (See Item 4)*</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333,401 shares of Common Stock issuable upon exercise of Series C Warrants (See Item 4)*</w:t>
            </w: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CHECK BOX IF THE</w:t>
            </w: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AGGREGATE AMOUNT IN</w:t>
            </w:r>
          </w:p>
        </w:tc>
        <w:tc>
          <w:tcPr>
            <w:tcW w:w="740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400" w:type="dxa"/>
            <w:vAlign w:val="bottom"/>
            <w:gridSpan w:val="3"/>
          </w:tcPr>
          <w:p>
            <w:pPr>
              <w:ind w:left="140"/>
              <w:spacing w:after="0"/>
              <w:rPr>
                <w:sz w:val="20"/>
                <w:szCs w:val="20"/>
                <w:color w:val="auto"/>
              </w:rPr>
            </w:pPr>
            <w:r>
              <w:rPr>
                <w:rFonts w:ascii="Arial" w:cs="Arial" w:eastAsia="Arial" w:hAnsi="Arial"/>
                <w:sz w:val="18"/>
                <w:szCs w:val="18"/>
                <w:color w:val="auto"/>
              </w:rPr>
              <w:t>ROW (9) EXCLUDES</w:t>
            </w:r>
          </w:p>
        </w:tc>
        <w:tc>
          <w:tcPr>
            <w:tcW w:w="74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w w:val="94"/>
              </w:rPr>
              <w:t>CERTAIN SHARES</w:t>
            </w:r>
          </w:p>
        </w:tc>
        <w:tc>
          <w:tcPr>
            <w:tcW w:w="740" w:type="dxa"/>
            <w:vAlign w:val="bottom"/>
          </w:tcPr>
          <w:p>
            <w:pPr>
              <w:spacing w:after="0"/>
              <w:rPr>
                <w:sz w:val="20"/>
                <w:szCs w:val="20"/>
                <w:color w:val="auto"/>
              </w:rPr>
            </w:pPr>
          </w:p>
        </w:tc>
        <w:tc>
          <w:tcPr>
            <w:tcW w:w="7400" w:type="dxa"/>
            <w:vAlign w:val="bottom"/>
            <w:tcBorders>
              <w:right w:val="single" w:sz="8" w:color="auto"/>
            </w:tcBorders>
          </w:tcPr>
          <w:p>
            <w:pPr>
              <w:spacing w:after="0"/>
              <w:rPr>
                <w:sz w:val="20"/>
                <w:szCs w:val="20"/>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9800" w:type="dxa"/>
            <w:vAlign w:val="bottom"/>
            <w:tcBorders>
              <w:bottom w:val="single" w:sz="8" w:color="auto"/>
              <w:right w:val="single" w:sz="8" w:color="auto"/>
            </w:tcBorders>
            <w:gridSpan w:val="4"/>
          </w:tcPr>
          <w:p>
            <w:pPr>
              <w:spacing w:after="0"/>
              <w:rPr>
                <w:sz w:val="22"/>
                <w:szCs w:val="22"/>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9.9% (See Item 4)*</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800" w:type="dxa"/>
            <w:vAlign w:val="bottom"/>
            <w:tcBorders>
              <w:bottom w:val="single" w:sz="8" w:color="auto"/>
              <w:right w:val="single" w:sz="8" w:color="auto"/>
            </w:tcBorders>
            <w:gridSpan w:val="4"/>
          </w:tcPr>
          <w:p>
            <w:pPr>
              <w:spacing w:after="0"/>
              <w:rPr>
                <w:sz w:val="3"/>
                <w:szCs w:val="3"/>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7400" w:type="dxa"/>
            <w:vAlign w:val="bottom"/>
            <w:tcBorders>
              <w:right w:val="single" w:sz="8" w:color="auto"/>
            </w:tcBorders>
          </w:tcPr>
          <w:p>
            <w:pPr>
              <w:spacing w:after="0"/>
              <w:rPr>
                <w:sz w:val="24"/>
                <w:szCs w:val="24"/>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8"/>
        <w:spacing w:after="0" w:line="291"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more fully described in Item 4, the Series A, D and E Warrants are subject to a 4.9% blocker and the Series C and F Warrants are subject to a 9.9% blocker and the percentage set forth in row (11) gives effect to such blocker. However, as more fully described in Item 4, the securities reported in rows (6),</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 w:name="page5"/>
    <w:bookmarkEnd w:id="4"/>
    <w:p>
      <w:pPr>
        <w:ind w:firstLine="648"/>
        <w:spacing w:after="0" w:line="276" w:lineRule="auto"/>
        <w:rPr>
          <w:sz w:val="20"/>
          <w:szCs w:val="20"/>
          <w:color w:val="auto"/>
        </w:rPr>
      </w:pPr>
      <w:r>
        <w:rPr>
          <w:rFonts w:ascii="Arial" w:cs="Arial" w:eastAsia="Arial" w:hAnsi="Arial"/>
          <w:sz w:val="17"/>
          <w:szCs w:val="17"/>
          <w:color w:val="auto"/>
        </w:rPr>
        <w:t>This Amendment No. 2 (this “Amendment”) amends the statement on Schedule 13G filed on March 13, 2015, as amended on February 8, 2016 (the “Original Schedule 13G”) with respect to the Common Stock, $0.001 par value (the “Common Stock”) of TapImmune Inc., a Nevada corporation (the “Company”). Capitalized terms used herein and not otherwise defined in this Amendment have the meanings set forth in the Original Schedule 13G. This Amendment amends and restates Item 2(a)-(c) and Item 4 in their entirety as set forth below. As of August 1, 2016, Mr. Josh Silverman no longer beneficially owned any shares of Common Stock held by Iroquois Master Fund Ltd. and is no longer a Reporting Person.</w:t>
      </w:r>
    </w:p>
    <w:p>
      <w:pPr>
        <w:spacing w:after="0" w:line="16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260" w:right="340"/>
        <w:spacing w:after="0" w:line="257" w:lineRule="auto"/>
        <w:rPr>
          <w:sz w:val="20"/>
          <w:szCs w:val="20"/>
          <w:color w:val="auto"/>
        </w:rPr>
      </w:pPr>
      <w:r>
        <w:rPr>
          <w:rFonts w:ascii="Arial" w:cs="Arial" w:eastAsia="Arial" w:hAnsi="Arial"/>
          <w:sz w:val="18"/>
          <w:szCs w:val="18"/>
          <w:color w:val="auto"/>
        </w:rPr>
        <w:t>Iroquois Capital Management, LLC, Delaware limited liability company (“Iroquois”); Richard Abbe; and Kimberly Page. Each of the foregoing is referred to as a “Reporting Person” and collectively as the “Reporting Persons.” The Reporting Persons have entered into a Joint Filing Agreement, a copy of which is filed with this Schedule 13G as Exhibit 99.1, pursuant to which the Reporting Persons have agreed to file this Schedule 13G jointly in accordance with the provisions of Rule 13d-1(k) of the Securities Exchange Act of 1934, as amended.</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address of the principal office of each of the Reporting Persons is 205 East 42nd Street, 20th Floor, New York, New York 10017.</w:t>
      </w:r>
    </w:p>
    <w:p>
      <w:pPr>
        <w:spacing w:after="0" w:line="23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Iroquois Capital is incorporated in Delaware. Mr. Abbe and Ms. Page are citizens of the United States of America.</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8,395,768 shares of Common Stock issued and outstanding as of December 15, 2016, as represented in the Company's Registration Statement on Form S-3 filed with the Securities and Exchange Commission on December 22, 2016, and assumes the exercise of the reported warrants (the "Reported Warrants") subject to the Blockers (as defined below).</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C or Series F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date of the event which requires filing of this statement, (i) Iroquois Master Fund Ltd. (“Iroquois Master Fund”) held 358,025 shares of Common Stock and Reported Warrants to purchase 520,835 shares of Common Stock and (ii) American Capital Management (“American Capital”) held 234,000 shares of Common Stock and Reported Warrants to purchase 312,567 shares of Common Stock. Mr. Abbe shares authority and responsibility for the investments made on behalf of the Fund with Ms. Page, each of whom is a director of the Fund. Iroquois is the investment manager for Iroquois Master Fund and Mr. Abbe is the President of Iroquois. Ms. Page has sole authority and responsibility for the investments made on behalf of American Capital by virtue of her relationship as manager of American Capital.</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Kimberly Page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796" w:right="539" w:bottom="1440" w:gutter="0" w:footer="0" w:header="0"/>
        </w:sectPr>
      </w:pPr>
    </w:p>
    <w:bookmarkStart w:id="6" w:name="page7"/>
    <w:bookmarkEnd w:id="6"/>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ectPr>
          <w:pgSz w:w="11900" w:h="16838" w:orient="portrait"/>
          <w:cols w:equalWidth="0" w:num="1">
            <w:col w:w="10219"/>
          </w:cols>
          <w:pgMar w:left="240" w:top="58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PURSUANT TO RULE 13d-1(k)(1)</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Kimberly Page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Kimberly Page</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Roman"/>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2020-01-16T08:34:01Z</dcterms:created>
  <dcterms:modified xsi:type="dcterms:W3CDTF">2020-01-16T08:34:01Z</dcterms:modified>
</cp:coreProperties>
</file>