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333-228059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January 28, 2019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November 16,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280035</wp:posOffset>
            </wp:positionV>
            <wp:extent cx="176657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49,897,758 Shares of Common Stock</w:t>
      </w:r>
    </w:p>
    <w:p>
      <w:pPr>
        <w:spacing w:after="0" w:line="200" w:lineRule="exact"/>
        <w:rPr>
          <w:sz w:val="24"/>
          <w:szCs w:val="24"/>
          <w:color w:val="auto"/>
        </w:rPr>
      </w:pPr>
    </w:p>
    <w:p>
      <w:pPr>
        <w:spacing w:after="0" w:line="245"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This Prospectus Supplement No. 1 supplements the prospectus dated November 16, 2018 included in a registration statement that we filed with the SEC (together the “Prospectus”) covering the registering for resale by the selling stockholders named in the Prospectus of 31,414,255 shares of our common stock and registering 18,483,503 shares of our common stock issuable upon the exercise of the warrants described in the Prospectus by the selling stockholders named in the Prospectus in order for the holders of such warrants to exercise the warrants, in their discretion, as well as for the resale of such shares of common stock by the selling stockholders.</w:t>
      </w:r>
    </w:p>
    <w:p>
      <w:pPr>
        <w:spacing w:after="0" w:line="18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purpose of this Prospectus Supplement No. 1 is solely to supplement and amend the “Selling Stockholders” table on page 12 of the Prospectus to reflect certain transfers from certain selling stockholders previously identified in the Prospectus to other parties who as a result of such transfers are being added or substituted as selling stockholders which transfers are described in the footnotes of such table.</w:t>
      </w:r>
    </w:p>
    <w:p>
      <w:pPr>
        <w:spacing w:after="0" w:line="18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This prospectus supplement is not complete without, and may not be utilized except in connection with, the Prospectus, including any amendments or supplements thereto. This prospectus supplement is qualified by reference to the Prospectus, except to the extent that the information provided by this prospectus supplement supersedes information contained in the Prospectus. Capitalized terms used in this prospectus supplement and not otherwise defined herein have the meanings specified in the prospectus.</w:t>
      </w:r>
    </w:p>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“MRKR.” On January 28, 2019, the last reported sale price of our common stock on the Nasdaq Capital Market was $5.87 per share. You are urged to obtain current market quotations for the common stock.</w:t>
      </w:r>
    </w:p>
    <w:p>
      <w:pPr>
        <w:spacing w:after="0" w:line="166"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“Risk Factors” beginning on page 6 of the Prospectus.</w:t>
      </w:r>
    </w:p>
    <w:p>
      <w:pPr>
        <w:spacing w:after="0" w:line="162"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January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the table appearing under the caption “Selling Stockholders” commencing on page 11 of the Prospectus is hereby supplemented and amended by adding the information below with respect to selling stockholders not previously listed in the Prospectus, and by superseding the information with respect to the selling stockholders identified below that were previously listed in the Prospectus with the information below.</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information set forth in the table below has been updated solely to add or substitute selling stockholders as a result of transfers from selling stockholders previously identified in the Prospectus which transfers are further described in the footnotes to the table below. The Prospectus selling stockholders table is superseded in part by this Prospectus Supplement No. 1 with the information provided below and in particular: (i) footnote (11) for selling stockholder, Katalyst Securities One, LLC is replaced with footnote (3) below, (ii) the selling stockholder AIGH Investment Partners LP and the footnote in the Prospectus are removed from the selling stockholder table, and (iii) the line for the selling stockholder 683 Capital Partners, LP is superseded with the information provided below and footnote (6) is replaced with footnote (17) below. The information below with respect to the above transfers is based on information provided to us by or on behalf of the selling stockholders listed below on or before January 24, 2019 and we have not independently verified this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Maximum</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Shares of</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of Shares of</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Shares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Common</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Shares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Common</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Stock to be</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Common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Sold</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Beneficially</w:t>
            </w: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Pursuant to</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Owned</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this</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Owned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Prior to</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Prospectus</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After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Stockholder</w:t>
            </w: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3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3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(2)</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60" w:type="dxa"/>
            <w:vAlign w:val="bottom"/>
            <w:tcBorders>
              <w:bottom w:val="single" w:sz="8" w:color="CCEEFF"/>
            </w:tcBorders>
          </w:tcPr>
          <w:p>
            <w:pPr>
              <w:spacing w:after="0"/>
              <w:rPr>
                <w:sz w:val="20"/>
                <w:szCs w:val="20"/>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Katalyst Securities One, LLC (3)</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256,250</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2"/>
              </w:rPr>
              <w:t>0%</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Peter Janssen (4)(5)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73,877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57,750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16,127</w:t>
            </w:r>
          </w:p>
        </w:tc>
        <w:tc>
          <w:tcPr>
            <w:tcW w:w="1400" w:type="dxa"/>
            <w:vAlign w:val="bottom"/>
            <w:gridSpan w:val="2"/>
          </w:tcPr>
          <w:p>
            <w:pPr>
              <w:ind w:left="11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Opes Equities, Inc. (4)(6)</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9,375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9,375</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2"/>
              </w:rPr>
              <w:t>0%</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Christopher Cozzolino (3)(7)</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24,078</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13,125</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10,953</w:t>
            </w:r>
          </w:p>
        </w:tc>
        <w:tc>
          <w:tcPr>
            <w:tcW w:w="1400" w:type="dxa"/>
            <w:vAlign w:val="bottom"/>
            <w:gridSpan w:val="2"/>
          </w:tcPr>
          <w:p>
            <w:pPr>
              <w:ind w:left="11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Benison (4)(8)</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7,125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2"/>
              </w:rPr>
              <w:t>0%</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John R. Raphael Revocable Trust dtd 7/6/07 (4)(9)</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7,031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7,031</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ind w:left="1140"/>
              <w:spacing w:after="0"/>
              <w:rPr>
                <w:sz w:val="20"/>
                <w:szCs w:val="20"/>
                <w:color w:val="auto"/>
              </w:rPr>
            </w:pPr>
            <w:r>
              <w:rPr>
                <w:rFonts w:ascii="Arial" w:cs="Arial" w:eastAsia="Arial" w:hAnsi="Arial"/>
                <w:sz w:val="18"/>
                <w:szCs w:val="18"/>
                <w:color w:val="auto"/>
                <w:w w:val="92"/>
              </w:rPr>
              <w:t>0%</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Harrison Corbin (4)(10)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17,836</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5,625</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12, 211</w:t>
            </w: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Michael Silverman (4)(11)</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61,125</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61,125</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ind w:left="1140"/>
              <w:spacing w:after="0"/>
              <w:rPr>
                <w:sz w:val="20"/>
                <w:szCs w:val="20"/>
                <w:color w:val="auto"/>
              </w:rPr>
            </w:pPr>
            <w:r>
              <w:rPr>
                <w:rFonts w:ascii="Arial" w:cs="Arial" w:eastAsia="Arial" w:hAnsi="Arial"/>
                <w:sz w:val="18"/>
                <w:szCs w:val="18"/>
                <w:color w:val="auto"/>
                <w:w w:val="92"/>
              </w:rPr>
              <w:t>0%</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Renaud (4)(12)</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39,000</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5,200</w:t>
            </w: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The Hewlett Fund LP (4)(13)</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14,063</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14,063</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ind w:left="1140"/>
              <w:spacing w:after="0"/>
              <w:rPr>
                <w:sz w:val="20"/>
                <w:szCs w:val="20"/>
                <w:color w:val="auto"/>
              </w:rPr>
            </w:pPr>
            <w:r>
              <w:rPr>
                <w:rFonts w:ascii="Arial" w:cs="Arial" w:eastAsia="Arial" w:hAnsi="Arial"/>
                <w:sz w:val="18"/>
                <w:szCs w:val="18"/>
                <w:color w:val="auto"/>
                <w:w w:val="92"/>
              </w:rPr>
              <w:t>0%</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Janssen (4)(14)</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16,563</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13,125</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3,438</w:t>
            </w: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Teresa D. Dereniak (4)(15)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7,031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7,031</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ind w:left="1140"/>
              <w:spacing w:after="0"/>
              <w:rPr>
                <w:sz w:val="20"/>
                <w:szCs w:val="20"/>
                <w:color w:val="auto"/>
              </w:rPr>
            </w:pPr>
            <w:r>
              <w:rPr>
                <w:rFonts w:ascii="Arial" w:cs="Arial" w:eastAsia="Arial" w:hAnsi="Arial"/>
                <w:sz w:val="18"/>
                <w:szCs w:val="18"/>
                <w:color w:val="auto"/>
                <w:w w:val="92"/>
              </w:rPr>
              <w:t>0%</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683 Capital Partners, LP (16)(17)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2,631,875</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2,631,875</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2"/>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firstLine="8"/>
        <w:spacing w:after="0" w:line="264" w:lineRule="auto"/>
        <w:tabs>
          <w:tab w:leader="none" w:pos="263"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and 9.9% of our outstanding common stock, as applicable.”</w:t>
      </w:r>
    </w:p>
    <w:p>
      <w:pPr>
        <w:spacing w:after="0" w:line="181" w:lineRule="exact"/>
        <w:rPr>
          <w:rFonts w:ascii="Arial" w:cs="Arial" w:eastAsia="Arial" w:hAnsi="Arial"/>
          <w:sz w:val="18"/>
          <w:szCs w:val="18"/>
          <w:color w:val="auto"/>
        </w:rPr>
      </w:pPr>
    </w:p>
    <w:p>
      <w:pPr>
        <w:jc w:val="both"/>
        <w:ind w:firstLine="8"/>
        <w:spacing w:after="0" w:line="257" w:lineRule="auto"/>
        <w:tabs>
          <w:tab w:leader="none" w:pos="276"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63,812,012 shares of common stock, which includes 45,328,510 shares of common stock issued and outstanding on October 17, 2018, and 49,897,758 shares of common stock being offered in this Prospectus that may be issued upon exercise of the warrants. In determining this amount, we assumed that (i) all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both"/>
        <w:ind w:firstLine="8"/>
        <w:spacing w:after="0" w:line="264" w:lineRule="auto"/>
        <w:tabs>
          <w:tab w:leader="none" w:pos="281"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256,250 shares of common stock held by the selling stockholder. Barbara Glenns may be deemed to have voting and investment power with respect to the securities held by Katalyst Securities One, LLC. The selling stockholder address is 30 Waterside Plaza, New York, NY 10010.</w:t>
      </w:r>
    </w:p>
    <w:p>
      <w:pPr>
        <w:spacing w:after="0" w:line="181" w:lineRule="exact"/>
        <w:rPr>
          <w:rFonts w:ascii="Arial" w:cs="Arial" w:eastAsia="Arial" w:hAnsi="Arial"/>
          <w:sz w:val="18"/>
          <w:szCs w:val="18"/>
          <w:color w:val="auto"/>
        </w:rPr>
      </w:pPr>
    </w:p>
    <w:p>
      <w:pPr>
        <w:jc w:val="both"/>
        <w:ind w:firstLine="8"/>
        <w:spacing w:after="0" w:line="264" w:lineRule="auto"/>
        <w:tabs>
          <w:tab w:leader="none" w:pos="281"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warrants received upon distribution and assignment by Katalyst Securities One, LLC to its members: Peter Janssen, Opes Equities, Inc., Christopher Cozzolino, Jeffrey Benison, John R. Raphael Revocable Trust dtd 7/6/07, Lee Harrison Corbin, Michael Silverman, Stephen Renaud, The Hewlett Fund LP, Morgan Janssen and Teresa D. Dereniak.</w:t>
      </w:r>
    </w:p>
    <w:p>
      <w:pPr>
        <w:spacing w:after="0" w:line="181" w:lineRule="exact"/>
        <w:rPr>
          <w:rFonts w:ascii="Arial" w:cs="Arial" w:eastAsia="Arial" w:hAnsi="Arial"/>
          <w:sz w:val="18"/>
          <w:szCs w:val="18"/>
          <w:color w:val="auto"/>
        </w:rPr>
      </w:pPr>
    </w:p>
    <w:p>
      <w:pPr>
        <w:jc w:val="both"/>
        <w:ind w:firstLine="8"/>
        <w:spacing w:after="0" w:line="288" w:lineRule="auto"/>
        <w:tabs>
          <w:tab w:leader="none" w:pos="27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73,877 shares issuable upon the exercise of the warrants comprised of (i) 16,127 shares issuable upon the exercise of the warrants sold in August 2016 and (ii) 57,750 shares issuable upon the exercise of the warrants sold in October 2018 that are held by the stockholder. This amount does not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183" w:lineRule="exact"/>
        <w:rPr>
          <w:rFonts w:ascii="Arial" w:cs="Arial" w:eastAsia="Arial" w:hAnsi="Arial"/>
          <w:sz w:val="16"/>
          <w:szCs w:val="16"/>
          <w:color w:val="auto"/>
        </w:rPr>
      </w:pPr>
    </w:p>
    <w:p>
      <w:pPr>
        <w:jc w:val="both"/>
        <w:ind w:firstLine="8"/>
        <w:spacing w:after="0" w:line="291" w:lineRule="auto"/>
        <w:tabs>
          <w:tab w:leader="none" w:pos="27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9,375 shares issuable upon the exercise of the warrants sold in October 2018 that are held by the stockholder. This amount does not</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 Ilario Licul, in his capacity as President or Barbara Glenns, in her capacity as Vice President of Opes Equities, Inc., has voting and investment power over the shares owned by Opes Equities, Inc.</w:t>
      </w:r>
    </w:p>
    <w:p>
      <w:pPr>
        <w:spacing w:after="0" w:line="190" w:lineRule="exact"/>
        <w:rPr>
          <w:rFonts w:ascii="Arial" w:cs="Arial" w:eastAsia="Arial" w:hAnsi="Arial"/>
          <w:sz w:val="16"/>
          <w:szCs w:val="16"/>
          <w:color w:val="auto"/>
        </w:rPr>
      </w:pPr>
    </w:p>
    <w:p>
      <w:pPr>
        <w:jc w:val="both"/>
        <w:ind w:firstLine="8"/>
        <w:spacing w:after="0" w:line="288" w:lineRule="auto"/>
        <w:tabs>
          <w:tab w:leader="none" w:pos="27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24,078 shares issuable upon the exercise of the warrants comprised of (i) 10,953 shares issuable upon the exercise of the warrants sold in June 2017 and (ii) 13,125 shares issuable upon the exercise of the warrants sold in October 2018 that are held by the stockholder. This amount does not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183" w:lineRule="exact"/>
        <w:rPr>
          <w:rFonts w:ascii="Arial" w:cs="Arial" w:eastAsia="Arial" w:hAnsi="Arial"/>
          <w:sz w:val="16"/>
          <w:szCs w:val="16"/>
          <w:color w:val="auto"/>
        </w:rPr>
      </w:pPr>
    </w:p>
    <w:p>
      <w:pPr>
        <w:jc w:val="both"/>
        <w:ind w:firstLine="8"/>
        <w:spacing w:after="0" w:line="291" w:lineRule="auto"/>
        <w:tabs>
          <w:tab w:leader="none" w:pos="27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7,125 shares issuable upon the exercise of the warrants sold in October 2018 that are held by the stockholder. This amount does not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183" w:lineRule="exact"/>
        <w:rPr>
          <w:rFonts w:ascii="Arial" w:cs="Arial" w:eastAsia="Arial" w:hAnsi="Arial"/>
          <w:sz w:val="16"/>
          <w:szCs w:val="16"/>
          <w:color w:val="auto"/>
        </w:rPr>
      </w:pPr>
    </w:p>
    <w:p>
      <w:pPr>
        <w:jc w:val="both"/>
        <w:ind w:firstLine="8"/>
        <w:spacing w:after="0" w:line="291" w:lineRule="auto"/>
        <w:tabs>
          <w:tab w:leader="none" w:pos="27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7,031 shares issuable upon the exercise of the warrants sold in October 2018 that are held by the stockholder. This amount does not</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 By virtue of his position as trustee, John R. Raphael has voting and dispositive power over the securities held by the John R. Raphael Revocable Trust dtd 7/6/07.</w:t>
      </w:r>
    </w:p>
    <w:p>
      <w:pPr>
        <w:spacing w:after="0" w:line="190" w:lineRule="exact"/>
        <w:rPr>
          <w:rFonts w:ascii="Arial" w:cs="Arial" w:eastAsia="Arial" w:hAnsi="Arial"/>
          <w:sz w:val="16"/>
          <w:szCs w:val="16"/>
          <w:color w:val="auto"/>
        </w:rPr>
      </w:pPr>
    </w:p>
    <w:p>
      <w:pPr>
        <w:jc w:val="both"/>
        <w:ind w:firstLine="8"/>
        <w:spacing w:after="0" w:line="257" w:lineRule="auto"/>
        <w:tabs>
          <w:tab w:leader="none" w:pos="3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17,836 shares issuable upon the exercise of the warrants comprised of (i) 12,211 shares issuable upon the exercise of the warrants sold in June 2017 and (ii) 5,625 shares issuable upon the exercise of the warrants sold in October 2018 that are held by the stockholder. This amount does not (i) give effect to limitations on ownership set out in any of the warrants that may be exercised into such shares or (ii) include any shares that may be beneficially owned by an affiliate.</w:t>
      </w:r>
    </w:p>
    <w:p>
      <w:pPr>
        <w:spacing w:after="0" w:line="188" w:lineRule="exact"/>
        <w:rPr>
          <w:rFonts w:ascii="Arial" w:cs="Arial" w:eastAsia="Arial" w:hAnsi="Arial"/>
          <w:sz w:val="18"/>
          <w:szCs w:val="18"/>
          <w:color w:val="auto"/>
        </w:rPr>
      </w:pPr>
    </w:p>
    <w:p>
      <w:pPr>
        <w:jc w:val="both"/>
        <w:ind w:firstLine="8"/>
        <w:spacing w:after="0" w:line="291" w:lineRule="auto"/>
        <w:tabs>
          <w:tab w:leader="none" w:pos="35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61,125 shares issuable upon the exercise of the warrants sold in October 2018 that are held by the stockholder. This amount does not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183" w:lineRule="exact"/>
        <w:rPr>
          <w:rFonts w:ascii="Arial" w:cs="Arial" w:eastAsia="Arial" w:hAnsi="Arial"/>
          <w:sz w:val="16"/>
          <w:szCs w:val="16"/>
          <w:color w:val="auto"/>
        </w:rPr>
      </w:pPr>
    </w:p>
    <w:p>
      <w:pPr>
        <w:jc w:val="both"/>
        <w:ind w:firstLine="8"/>
        <w:spacing w:after="0" w:line="259" w:lineRule="auto"/>
        <w:tabs>
          <w:tab w:leader="none" w:pos="3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5,200 shares of common stock and 39,000 shares issuable upon the exercise of the warrants sold in October 2018 that are held by the stockholder. This amount does not (i) give effect to limitations on ownership set out in any of the warrants that may be exercised into such shares or (ii) include any shares that may be beneficially owned by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jc w:val="both"/>
        <w:ind w:firstLine="8"/>
        <w:spacing w:after="0" w:line="291" w:lineRule="auto"/>
        <w:tabs>
          <w:tab w:leader="none" w:pos="36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14,063 shares issuable upon the exercise of the warrants sold in October 2018 that are held by the stockholder. This amount does not</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 Martin Chopp, in his capacity as general partner of The Hewlett Fund LP, has voting and investment power over the shares owned by The Hewlett Fund LP.</w:t>
      </w:r>
    </w:p>
    <w:p>
      <w:pPr>
        <w:spacing w:after="0" w:line="190" w:lineRule="exact"/>
        <w:rPr>
          <w:rFonts w:ascii="Arial" w:cs="Arial" w:eastAsia="Arial" w:hAnsi="Arial"/>
          <w:sz w:val="16"/>
          <w:szCs w:val="16"/>
          <w:color w:val="auto"/>
        </w:rPr>
      </w:pPr>
    </w:p>
    <w:p>
      <w:pPr>
        <w:jc w:val="both"/>
        <w:ind w:firstLine="8"/>
        <w:spacing w:after="0" w:line="288" w:lineRule="auto"/>
        <w:tabs>
          <w:tab w:leader="none" w:pos="36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16,563 shares issuable upon the exercise of the warrants comprised of (i) 3,438 shares issuable upon the exercise of the warrants sold in August 2016 and (ii) 13,125 shares issuable upon the exercise of the warrants sold in October 2018 that are held by the stockholder. This amount does not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183" w:lineRule="exact"/>
        <w:rPr>
          <w:rFonts w:ascii="Arial" w:cs="Arial" w:eastAsia="Arial" w:hAnsi="Arial"/>
          <w:sz w:val="16"/>
          <w:szCs w:val="16"/>
          <w:color w:val="auto"/>
        </w:rPr>
      </w:pPr>
    </w:p>
    <w:p>
      <w:pPr>
        <w:jc w:val="both"/>
        <w:ind w:firstLine="8"/>
        <w:spacing w:after="0" w:line="291" w:lineRule="auto"/>
        <w:tabs>
          <w:tab w:leader="none" w:pos="36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7,031 shares issuable upon the exercise of the warrants sold in October 2018 that are held by the stockholder. This amount does not</w:t>
      </w:r>
    </w:p>
    <w:p>
      <w:pPr>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183" w:lineRule="exact"/>
        <w:rPr>
          <w:rFonts w:ascii="Arial" w:cs="Arial" w:eastAsia="Arial" w:hAnsi="Arial"/>
          <w:sz w:val="16"/>
          <w:szCs w:val="16"/>
          <w:color w:val="auto"/>
        </w:rPr>
      </w:pPr>
    </w:p>
    <w:p>
      <w:pPr>
        <w:ind w:firstLine="8"/>
        <w:spacing w:after="0" w:line="277" w:lineRule="auto"/>
        <w:tabs>
          <w:tab w:leader="none" w:pos="37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warrants received upon full assignment by AIGH Investment Partners LP (a selling stockholder previously named in the table) of its Company warrants to 683 Capital Partners, LP.</w:t>
      </w:r>
    </w:p>
    <w:p>
      <w:pPr>
        <w:spacing w:after="0" w:line="170" w:lineRule="exact"/>
        <w:rPr>
          <w:rFonts w:ascii="Arial" w:cs="Arial" w:eastAsia="Arial" w:hAnsi="Arial"/>
          <w:sz w:val="18"/>
          <w:szCs w:val="18"/>
          <w:color w:val="auto"/>
        </w:rPr>
      </w:pPr>
    </w:p>
    <w:p>
      <w:pPr>
        <w:jc w:val="both"/>
        <w:ind w:firstLine="8"/>
        <w:spacing w:after="0" w:line="255"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1,460,000 shares of common stock held directly and (ii) 1,171,875 shares of common stock issuable upon exercise of 2018 PIPE Warrants. The selling stockholder is offering all of the shares of common stock beneficially owned thereby in the offering. The shares and warrants directly held by 683 Capital Partners, LP are indirectly held by 683 Capital Management, LLC and Ari Zweiman, the managing member of 683 Capital Management, LLC. 683 Capital Management, LLC, 683 Capital Partners LP and Mr. Zweiman share voting and dispositive power with respect to the shares held by 683 Capital Partners, LP. The address of the selling stockholder is 3 Columbus Circle, Suite 2205, 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2020-01-10T04:12:09Z</dcterms:created>
  <dcterms:modified xsi:type="dcterms:W3CDTF">2020-01-10T04:12:09Z</dcterms:modified>
</cp:coreProperties>
</file>