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tm2022347d1_s8.htm"/>
      <w:bookmarkStart w:id="1" w:name="kstm2022347d1_s8"/>
      <w:bookmarkEnd w:id="0"/>
      <w:bookmarkEnd w:id="1"/>
      <w:r>
        <w:rPr/>
        <w:t>  </w:t>
      </w:r>
    </w:p>
    <w:p>
      <w:pPr>
        <w:pStyle w:val="TextBody"/>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June 12, 2020</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w:t>
      </w:r>
    </w:p>
    <w:p>
      <w:pPr>
        <w:pStyle w:val="TextBody"/>
        <w:spacing w:before="0" w:after="0"/>
        <w:ind w:left="0" w:right="0" w:hanging="0"/>
        <w:rPr>
          <w:caps w:val="false"/>
          <w:smallCaps w:val="false"/>
        </w:rPr>
      </w:pPr>
      <w:r>
        <w:rPr>
          <w:caps w:val="false"/>
          <w:smallCaps w:val="false"/>
        </w:rPr>
        <w:t> </w:t>
      </w:r>
    </w:p>
    <w:p>
      <w:pPr>
        <w:pStyle w:val="TextBody"/>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rPr>
          <w:caps w:val="false"/>
          <w:smallCaps w:val="false"/>
        </w:rPr>
      </w:pPr>
      <w:r>
        <w:rPr>
          <w:caps w:val="false"/>
          <w:smallCaps w:val="false"/>
        </w:rPr>
        <w:t> </w:t>
      </w:r>
    </w:p>
    <w:p>
      <w:pPr>
        <w:pStyle w:val="TextBody"/>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S-8</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REGISTRATION STATEMENT UNDER THE SECURITIES ACT OF 1933</w:t>
      </w:r>
    </w:p>
    <w:p>
      <w:pPr>
        <w:pStyle w:val="TextBody"/>
        <w:spacing w:before="0" w:after="0"/>
        <w:ind w:left="0" w:right="0" w:hanging="0"/>
        <w:rPr>
          <w:caps w:val="false"/>
          <w:smallCaps w:val="false"/>
        </w:rPr>
      </w:pPr>
      <w:r>
        <w:rPr>
          <w:caps w:val="false"/>
          <w:smallCaps w:val="false"/>
        </w:rPr>
        <w:t> </w:t>
      </w:r>
    </w:p>
    <w:p>
      <w:pPr>
        <w:pStyle w:val="TextBody"/>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smallCaps/>
          <w:sz w:val="28"/>
        </w:rPr>
      </w:pPr>
      <w:r>
        <w:rPr>
          <w:rFonts w:ascii="Times New Roman;Times;Serif" w:hAnsi="Times New Roman;Times;Serif"/>
          <w:b/>
          <w:i w:val="false"/>
          <w:smallCaps/>
          <w:sz w:val="28"/>
        </w:rPr>
        <w:t>Marker Therapeutics, Inc.</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ind w:left="0" w:right="0" w:hanging="0"/>
        <w:rPr>
          <w:caps w:val="false"/>
          <w:smallCaps w:val="false"/>
        </w:rPr>
      </w:pPr>
      <w:r>
        <w:rPr>
          <w:caps w:val="false"/>
          <w:smallCaps w:val="false"/>
        </w:rPr>
        <w:t> </w:t>
      </w:r>
    </w:p>
    <w:p>
      <w:pPr>
        <w:pStyle w:val="TextBody"/>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tbl>
      <w:tblPr>
        <w:tblW w:w="7855" w:type="dxa"/>
        <w:jc w:val="left"/>
        <w:tblInd w:w="0" w:type="dxa"/>
        <w:tblCellMar>
          <w:top w:w="0" w:type="dxa"/>
          <w:left w:w="0" w:type="dxa"/>
          <w:bottom w:w="0" w:type="dxa"/>
          <w:right w:w="0" w:type="dxa"/>
        </w:tblCellMar>
      </w:tblPr>
      <w:tblGrid>
        <w:gridCol w:w="4880"/>
        <w:gridCol w:w="60"/>
        <w:gridCol w:w="2915"/>
      </w:tblGrid>
      <w:tr>
        <w:trPr/>
        <w:tc>
          <w:tcPr>
            <w:tcW w:w="48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15" w:type="dxa"/>
            <w:tcBorders/>
            <w:shd w:fill="auto" w:val="clear"/>
            <w:vAlign w:val="center"/>
          </w:tcPr>
          <w:p>
            <w:pPr>
              <w:pStyle w:val="TableContents"/>
              <w:spacing w:before="0" w:after="283"/>
              <w:rPr/>
            </w:pPr>
            <w:r>
              <w:rPr/>
              <w:t> </w:t>
            </w:r>
          </w:p>
        </w:tc>
      </w:tr>
      <w:tr>
        <w:trPr/>
        <w:tc>
          <w:tcPr>
            <w:tcW w:w="4880" w:type="dxa"/>
            <w:tcBorders/>
            <w:shd w:fill="auto" w:val="clear"/>
            <w:vAlign w:val="center"/>
          </w:tcPr>
          <w:p>
            <w:pPr>
              <w:pStyle w:val="TableContents"/>
              <w:spacing w:before="0" w:after="283"/>
              <w:jc w:val="center"/>
              <w:rPr>
                <w:b/>
                <w:sz w:val="20"/>
              </w:rPr>
            </w:pPr>
            <w:r>
              <w:rPr>
                <w:b/>
                <w:sz w:val="20"/>
              </w:rPr>
              <w:t>Delaware</w:t>
            </w:r>
          </w:p>
        </w:tc>
        <w:tc>
          <w:tcPr>
            <w:tcW w:w="60" w:type="dxa"/>
            <w:tcBorders/>
            <w:shd w:fill="auto" w:val="clear"/>
            <w:vAlign w:val="center"/>
          </w:tcPr>
          <w:p>
            <w:pPr>
              <w:pStyle w:val="TableContents"/>
              <w:spacing w:before="0" w:after="283"/>
              <w:rPr/>
            </w:pPr>
            <w:r>
              <w:rPr/>
              <w:t> </w:t>
            </w:r>
          </w:p>
        </w:tc>
        <w:tc>
          <w:tcPr>
            <w:tcW w:w="2915" w:type="dxa"/>
            <w:tcBorders/>
            <w:shd w:fill="auto" w:val="clear"/>
            <w:vAlign w:val="center"/>
          </w:tcPr>
          <w:p>
            <w:pPr>
              <w:pStyle w:val="TableContents"/>
              <w:spacing w:before="0" w:after="283"/>
              <w:jc w:val="center"/>
              <w:rPr>
                <w:b/>
                <w:sz w:val="20"/>
              </w:rPr>
            </w:pPr>
            <w:r>
              <w:rPr>
                <w:b/>
                <w:sz w:val="20"/>
              </w:rPr>
              <w:t>45-4497941</w:t>
            </w:r>
          </w:p>
        </w:tc>
      </w:tr>
      <w:tr>
        <w:trPr/>
        <w:tc>
          <w:tcPr>
            <w:tcW w:w="4880" w:type="dxa"/>
            <w:tcBorders/>
            <w:shd w:fill="auto" w:val="clear"/>
            <w:vAlign w:val="center"/>
          </w:tcPr>
          <w:p>
            <w:pPr>
              <w:pStyle w:val="TableContents"/>
              <w:spacing w:before="0" w:after="283"/>
              <w:jc w:val="center"/>
              <w:rPr>
                <w:sz w:val="20"/>
              </w:rPr>
            </w:pPr>
            <w:r>
              <w:rPr>
                <w:sz w:val="20"/>
              </w:rPr>
              <w:t>(State or other jurisdiction of incorporation or organization)</w:t>
            </w:r>
          </w:p>
        </w:tc>
        <w:tc>
          <w:tcPr>
            <w:tcW w:w="60" w:type="dxa"/>
            <w:tcBorders/>
            <w:shd w:fill="auto" w:val="clear"/>
            <w:vAlign w:val="center"/>
          </w:tcPr>
          <w:p>
            <w:pPr>
              <w:pStyle w:val="TableContents"/>
              <w:spacing w:before="0" w:after="283"/>
              <w:rPr/>
            </w:pPr>
            <w:r>
              <w:rPr/>
              <w:t> </w:t>
            </w:r>
          </w:p>
        </w:tc>
        <w:tc>
          <w:tcPr>
            <w:tcW w:w="2915" w:type="dxa"/>
            <w:tcBorders/>
            <w:shd w:fill="auto" w:val="clear"/>
            <w:vAlign w:val="center"/>
          </w:tcPr>
          <w:p>
            <w:pPr>
              <w:pStyle w:val="TableContents"/>
              <w:spacing w:before="0" w:after="283"/>
              <w:jc w:val="center"/>
              <w:rPr>
                <w:sz w:val="20"/>
              </w:rPr>
            </w:pPr>
            <w:r>
              <w:rPr>
                <w:sz w:val="20"/>
              </w:rPr>
              <w:t>(I.R.S. Employer Identification No.)</w:t>
            </w:r>
          </w:p>
        </w:tc>
      </w:tr>
    </w:tbl>
    <w:p>
      <w:pPr>
        <w:pStyle w:val="TextBody"/>
        <w:spacing w:before="0" w:after="0"/>
        <w:ind w:left="0" w:right="0" w:hanging="0"/>
        <w:rPr>
          <w:caps w:val="false"/>
          <w:smallCaps w:val="false"/>
        </w:rPr>
      </w:pPr>
      <w:r>
        <w:rPr>
          <w:caps w:val="false"/>
          <w:smallCaps w:val="false"/>
        </w:rPr>
        <w:t> </w:t>
      </w:r>
    </w:p>
    <w:tbl>
      <w:tblPr>
        <w:tblW w:w="4255" w:type="dxa"/>
        <w:jc w:val="left"/>
        <w:tblInd w:w="0" w:type="dxa"/>
        <w:tblCellMar>
          <w:top w:w="0" w:type="dxa"/>
          <w:left w:w="0" w:type="dxa"/>
          <w:bottom w:w="0" w:type="dxa"/>
          <w:right w:w="0" w:type="dxa"/>
        </w:tblCellMar>
      </w:tblPr>
      <w:tblGrid>
        <w:gridCol w:w="3275"/>
        <w:gridCol w:w="60"/>
        <w:gridCol w:w="920"/>
      </w:tblGrid>
      <w:tr>
        <w:trPr/>
        <w:tc>
          <w:tcPr>
            <w:tcW w:w="3275"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3200 Southwest Freeway, Suite 2240</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Houston, Texas</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center"/>
              <w:rPr>
                <w:b/>
                <w:sz w:val="20"/>
              </w:rPr>
            </w:pPr>
            <w:r>
              <w:rPr>
                <w:b/>
                <w:sz w:val="20"/>
              </w:rPr>
              <w:t>77027</w:t>
            </w:r>
          </w:p>
        </w:tc>
      </w:tr>
      <w:tr>
        <w:trPr/>
        <w:tc>
          <w:tcPr>
            <w:tcW w:w="3275" w:type="dxa"/>
            <w:tcBorders/>
            <w:shd w:fill="auto" w:val="clear"/>
            <w:vAlign w:val="center"/>
          </w:tcPr>
          <w:p>
            <w:pPr>
              <w:pStyle w:val="TableContents"/>
              <w:spacing w:before="0" w:after="283"/>
              <w:jc w:val="center"/>
              <w:rPr>
                <w:sz w:val="20"/>
              </w:rPr>
            </w:pPr>
            <w:r>
              <w:rPr>
                <w:sz w:val="20"/>
              </w:rPr>
              <w:t>(Address of Principal Executive Offices)</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center"/>
              <w:rPr>
                <w:sz w:val="20"/>
              </w:rPr>
            </w:pPr>
            <w:r>
              <w:rPr>
                <w:sz w:val="20"/>
              </w:rPr>
              <w:t>(Zip Code)</w:t>
            </w:r>
          </w:p>
        </w:tc>
      </w:tr>
    </w:tbl>
    <w:p>
      <w:pPr>
        <w:pStyle w:val="TextBody"/>
        <w:spacing w:before="0" w:after="0"/>
        <w:ind w:left="0" w:right="0" w:hanging="0"/>
        <w:rPr>
          <w:caps w:val="false"/>
          <w:smallCaps w:val="false"/>
        </w:rPr>
      </w:pPr>
      <w:r>
        <w:rPr>
          <w:caps w:val="false"/>
          <w:smallCaps w:val="false"/>
        </w:rPr>
        <w:t> </w:t>
      </w:r>
    </w:p>
    <w:p>
      <w:pPr>
        <w:pStyle w:val="TextBody"/>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Marker Therapeutics, Inc. 2020 Equity Incentive Plan</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w:t>
      </w:r>
    </w:p>
    <w:p>
      <w:pPr>
        <w:pStyle w:val="TextBody"/>
        <w:spacing w:before="0" w:after="0"/>
        <w:ind w:left="0" w:right="0" w:hanging="0"/>
        <w:rPr>
          <w:caps w:val="false"/>
          <w:smallCaps w:val="false"/>
        </w:rPr>
      </w:pPr>
      <w:r>
        <w:rPr>
          <w:caps w:val="false"/>
          <w:smallCaps w:val="false"/>
        </w:rPr>
        <w:t> </w:t>
      </w:r>
    </w:p>
    <w:p>
      <w:pPr>
        <w:pStyle w:val="TextBody"/>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Peter Hoang</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President, Chief Executive Officer and Director</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Marker Therapeutics, Inc.</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3200 Southwest Freeway, Suite 2240</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Houston, Texas 77027</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(713) 400-6400</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spacing w:before="0" w:after="0"/>
        <w:ind w:left="0" w:right="0" w:hanging="0"/>
        <w:jc w:val="center"/>
        <w:rPr>
          <w:caps w:val="false"/>
          <w:smallCaps w:val="false"/>
        </w:rPr>
      </w:pPr>
      <w:r>
        <w:rPr>
          <w:caps w:val="false"/>
          <w:smallCaps w:val="false"/>
        </w:rPr>
        <w:t> </w:t>
      </w:r>
    </w:p>
    <w:p>
      <w:pPr>
        <w:pStyle w:val="TextBody"/>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Divakar Gupta</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Darren DeStefano</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Madison A. Jones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Cooley LLP</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 Hudson Yards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10001</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(212) 479-6000</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ind w:left="0" w:right="0" w:firstLine="360"/>
        <w:rPr>
          <w:caps w:val="false"/>
          <w:smallCaps w:val="false"/>
        </w:rPr>
      </w:pPr>
      <w:r>
        <w:rPr>
          <w:caps w:val="false"/>
          <w:smallCaps w:val="false"/>
        </w:rPr>
        <w:t> </w:t>
      </w:r>
    </w:p>
    <w:tbl>
      <w:tblPr>
        <w:tblW w:w="4715" w:type="dxa"/>
        <w:jc w:val="left"/>
        <w:tblInd w:w="0" w:type="dxa"/>
        <w:tblCellMar>
          <w:top w:w="0" w:type="dxa"/>
          <w:left w:w="0" w:type="dxa"/>
          <w:bottom w:w="0" w:type="dxa"/>
          <w:right w:w="0" w:type="dxa"/>
        </w:tblCellMar>
      </w:tblPr>
      <w:tblGrid>
        <w:gridCol w:w="1835"/>
        <w:gridCol w:w="60"/>
        <w:gridCol w:w="230"/>
        <w:gridCol w:w="60"/>
        <w:gridCol w:w="2225"/>
        <w:gridCol w:w="60"/>
        <w:gridCol w:w="245"/>
      </w:tblGrid>
      <w:tr>
        <w:trPr/>
        <w:tc>
          <w:tcPr>
            <w:tcW w:w="1835" w:type="dxa"/>
            <w:tcBorders/>
            <w:shd w:fill="auto" w:val="clear"/>
            <w:vAlign w:val="center"/>
          </w:tcPr>
          <w:p>
            <w:pPr>
              <w:pStyle w:val="TableContents"/>
              <w:spacing w:before="0" w:after="283"/>
              <w:rPr>
                <w:sz w:val="20"/>
              </w:rPr>
            </w:pPr>
            <w:r>
              <w:rPr>
                <w:sz w:val="20"/>
              </w:rPr>
              <w:t>Large accelerated filer</w:t>
            </w:r>
          </w:p>
        </w:tc>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spacing w:before="0" w:after="283"/>
              <w:rPr>
                <w:sz w:val="20"/>
              </w:rPr>
            </w:pPr>
            <w:r>
              <w:rPr>
                <w:sz w:val="20"/>
              </w:rPr>
              <w:t>Accelerated filer</w:t>
            </w:r>
          </w:p>
        </w:tc>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w:t>
            </w:r>
          </w:p>
        </w:tc>
      </w:tr>
      <w:tr>
        <w:trPr/>
        <w:tc>
          <w:tcPr>
            <w:tcW w:w="1835" w:type="dxa"/>
            <w:tcBorders/>
            <w:shd w:fill="auto" w:val="clear"/>
            <w:vAlign w:val="center"/>
          </w:tcPr>
          <w:p>
            <w:pPr>
              <w:pStyle w:val="TableContents"/>
              <w:spacing w:before="0" w:after="283"/>
              <w:rPr/>
            </w:pPr>
            <w:r>
              <w:rPr/>
              <w:t> </w:t>
            </w:r>
          </w:p>
        </w:tc>
        <w:tc>
          <w:tcPr>
            <w:tcW w:w="290" w:type="dxa"/>
            <w:gridSpan w:val="2"/>
            <w:tcBorders/>
            <w:shd w:fill="auto" w:val="clear"/>
            <w:vAlign w:val="center"/>
          </w:tcPr>
          <w:p>
            <w:pPr>
              <w:pStyle w:val="TableContents"/>
              <w:spacing w:before="0" w:after="283"/>
              <w:rPr/>
            </w:pPr>
            <w:r>
              <w:rPr/>
              <w:t> </w:t>
            </w:r>
          </w:p>
        </w:tc>
        <w:tc>
          <w:tcPr>
            <w:tcW w:w="2285" w:type="dxa"/>
            <w:gridSpan w:val="2"/>
            <w:tcBorders/>
            <w:shd w:fill="auto" w:val="clear"/>
            <w:vAlign w:val="center"/>
          </w:tcPr>
          <w:p>
            <w:pPr>
              <w:pStyle w:val="TableContents"/>
              <w:spacing w:before="0" w:after="283"/>
              <w:rPr/>
            </w:pPr>
            <w:r>
              <w:rPr/>
              <w:t> </w:t>
            </w:r>
          </w:p>
        </w:tc>
        <w:tc>
          <w:tcPr>
            <w:tcW w:w="305" w:type="dxa"/>
            <w:gridSpan w:val="2"/>
            <w:tcBorders/>
            <w:shd w:fill="auto" w:val="clear"/>
            <w:vAlign w:val="center"/>
          </w:tcPr>
          <w:p>
            <w:pPr>
              <w:pStyle w:val="TableContents"/>
              <w:spacing w:before="0" w:after="283"/>
              <w:rPr/>
            </w:pPr>
            <w:r>
              <w:rPr/>
              <w:t> </w:t>
            </w:r>
          </w:p>
        </w:tc>
      </w:tr>
      <w:tr>
        <w:trPr/>
        <w:tc>
          <w:tcPr>
            <w:tcW w:w="1835" w:type="dxa"/>
            <w:tcBorders/>
            <w:shd w:fill="auto" w:val="clear"/>
            <w:vAlign w:val="center"/>
          </w:tcPr>
          <w:p>
            <w:pPr>
              <w:pStyle w:val="TableContents"/>
              <w:spacing w:before="0" w:after="283"/>
              <w:rPr>
                <w:sz w:val="20"/>
              </w:rPr>
            </w:pPr>
            <w:r>
              <w:rPr>
                <w:sz w:val="20"/>
              </w:rPr>
              <w:t>Non-accelerated filer</w:t>
            </w:r>
          </w:p>
        </w:tc>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spacing w:before="0" w:after="283"/>
              <w:rPr>
                <w:sz w:val="20"/>
              </w:rPr>
            </w:pPr>
            <w:r>
              <w:rPr>
                <w:sz w:val="20"/>
              </w:rPr>
              <w:t>Smaller reporting company</w:t>
            </w:r>
          </w:p>
        </w:tc>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w:t>
            </w:r>
          </w:p>
        </w:tc>
      </w:tr>
      <w:tr>
        <w:trPr/>
        <w:tc>
          <w:tcPr>
            <w:tcW w:w="18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r>
      <w:tr>
        <w:trPr/>
        <w:tc>
          <w:tcPr>
            <w:tcW w:w="18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REGISTRATION FEE</w:t>
      </w:r>
    </w:p>
    <w:p>
      <w:pPr>
        <w:pStyle w:val="TextBody"/>
        <w:spacing w:before="0" w:after="0"/>
        <w:ind w:left="0" w:right="0" w:hanging="0"/>
        <w:rPr>
          <w:caps w:val="false"/>
          <w:smallCaps w:val="false"/>
        </w:rPr>
      </w:pPr>
      <w:r>
        <w:rPr>
          <w:caps w:val="false"/>
          <w:smallCaps w:val="false"/>
        </w:rPr>
        <w:t> </w:t>
      </w:r>
    </w:p>
    <w:tbl>
      <w:tblPr>
        <w:tblW w:w="9310" w:type="dxa"/>
        <w:jc w:val="left"/>
        <w:tblInd w:w="0" w:type="dxa"/>
        <w:tblCellMar>
          <w:top w:w="50" w:type="dxa"/>
          <w:left w:w="0" w:type="dxa"/>
          <w:bottom w:w="50" w:type="dxa"/>
          <w:right w:w="0" w:type="dxa"/>
        </w:tblCellMar>
      </w:tblPr>
      <w:tblGrid>
        <w:gridCol w:w="3410"/>
        <w:gridCol w:w="60"/>
        <w:gridCol w:w="1760"/>
        <w:gridCol w:w="60"/>
        <w:gridCol w:w="1175"/>
        <w:gridCol w:w="60"/>
        <w:gridCol w:w="1400"/>
        <w:gridCol w:w="60"/>
        <w:gridCol w:w="1325"/>
      </w:tblGrid>
      <w:tr>
        <w:trPr/>
        <w:tc>
          <w:tcPr>
            <w:tcW w:w="3410" w:type="dxa"/>
            <w:tcBorders>
              <w:top w:val="single" w:sz="8" w:space="0" w:color="000000"/>
              <w:bottom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securities</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registered</w:t>
            </w:r>
          </w:p>
        </w:tc>
        <w:tc>
          <w:tcPr>
            <w:tcW w:w="60" w:type="dxa"/>
            <w:tcBorders>
              <w:top w:val="single" w:sz="8" w:space="0" w:color="000000"/>
              <w:left w:val="single" w:sz="8" w:space="0" w:color="000000"/>
              <w:bottom w:val="single" w:sz="8" w:space="0" w:color="000000"/>
            </w:tcBorders>
            <w:shd w:fill="auto" w:val="clear"/>
            <w:tcMar>
              <w:left w:w="50" w:type="dxa"/>
            </w:tcMar>
            <w:vAlign w:val="center"/>
          </w:tcPr>
          <w:p>
            <w:pPr>
              <w:pStyle w:val="TableContents"/>
              <w:spacing w:before="0" w:after="283"/>
              <w:rPr/>
            </w:pPr>
            <w:r>
              <w:rPr/>
              <w:t> </w:t>
            </w:r>
          </w:p>
        </w:tc>
        <w:tc>
          <w:tcPr>
            <w:tcW w:w="1760" w:type="dxa"/>
            <w:tcBorders>
              <w:top w:val="single" w:sz="8" w:space="0" w:color="000000"/>
              <w:bottom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(1)</w:t>
            </w:r>
          </w:p>
        </w:tc>
        <w:tc>
          <w:tcPr>
            <w:tcW w:w="60" w:type="dxa"/>
            <w:tcBorders>
              <w:top w:val="single" w:sz="8" w:space="0" w:color="000000"/>
              <w:left w:val="single" w:sz="8" w:space="0" w:color="000000"/>
              <w:bottom w:val="single" w:sz="8" w:space="0" w:color="000000"/>
            </w:tcBorders>
            <w:shd w:fill="auto" w:val="clear"/>
            <w:tcMar>
              <w:left w:w="50" w:type="dxa"/>
            </w:tcMar>
            <w:vAlign w:val="center"/>
          </w:tcPr>
          <w:p>
            <w:pPr>
              <w:pStyle w:val="TableContents"/>
              <w:spacing w:before="0" w:after="283"/>
              <w:rPr/>
            </w:pPr>
            <w:r>
              <w:rPr/>
              <w:t> </w:t>
            </w:r>
          </w:p>
        </w:tc>
        <w:tc>
          <w:tcPr>
            <w:tcW w:w="1175" w:type="dxa"/>
            <w:tcBorders>
              <w:top w:val="single" w:sz="8" w:space="0" w:color="000000"/>
              <w:bottom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 price</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share(3)</w:t>
            </w:r>
          </w:p>
        </w:tc>
        <w:tc>
          <w:tcPr>
            <w:tcW w:w="60" w:type="dxa"/>
            <w:tcBorders>
              <w:top w:val="single" w:sz="8" w:space="0" w:color="000000"/>
              <w:left w:val="single" w:sz="8" w:space="0" w:color="000000"/>
              <w:bottom w:val="single" w:sz="8" w:space="0" w:color="000000"/>
            </w:tcBorders>
            <w:shd w:fill="auto" w:val="clear"/>
            <w:tcMar>
              <w:left w:w="50" w:type="dxa"/>
            </w:tcMar>
            <w:vAlign w:val="center"/>
          </w:tcPr>
          <w:p>
            <w:pPr>
              <w:pStyle w:val="TableContents"/>
              <w:spacing w:before="0" w:after="283"/>
              <w:rPr/>
            </w:pPr>
            <w:r>
              <w:rPr/>
              <w:t> </w:t>
            </w:r>
          </w:p>
        </w:tc>
        <w:tc>
          <w:tcPr>
            <w:tcW w:w="1400" w:type="dxa"/>
            <w:tcBorders>
              <w:top w:val="single" w:sz="8" w:space="0" w:color="000000"/>
              <w:bottom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 price(3)</w:t>
            </w:r>
          </w:p>
        </w:tc>
        <w:tc>
          <w:tcPr>
            <w:tcW w:w="60" w:type="dxa"/>
            <w:tcBorders>
              <w:top w:val="single" w:sz="8" w:space="0" w:color="000000"/>
              <w:left w:val="single" w:sz="8" w:space="0" w:color="000000"/>
              <w:bottom w:val="single" w:sz="8" w:space="0" w:color="000000"/>
            </w:tcBorders>
            <w:shd w:fill="auto" w:val="clear"/>
            <w:tcMar>
              <w:left w:w="50" w:type="dxa"/>
            </w:tcMar>
            <w:vAlign w:val="center"/>
          </w:tcPr>
          <w:p>
            <w:pPr>
              <w:pStyle w:val="TableContents"/>
              <w:spacing w:before="0" w:after="283"/>
              <w:rPr/>
            </w:pPr>
            <w:r>
              <w:rPr/>
              <w:t> </w:t>
            </w:r>
          </w:p>
        </w:tc>
        <w:tc>
          <w:tcPr>
            <w:tcW w:w="1325" w:type="dxa"/>
            <w:tcBorders>
              <w:top w:val="single" w:sz="8" w:space="0" w:color="000000"/>
              <w:bottom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fee</w:t>
            </w:r>
          </w:p>
        </w:tc>
      </w:tr>
      <w:tr>
        <w:trPr/>
        <w:tc>
          <w:tcPr>
            <w:tcW w:w="3410" w:type="dxa"/>
            <w:tcBorders>
              <w:bottom w:val="single" w:sz="8" w:space="0" w:color="000000"/>
            </w:tcBorders>
            <w:shd w:fill="auto" w:val="clear"/>
            <w:tcMar>
              <w:top w:w="0" w:type="dxa"/>
            </w:tcMar>
            <w:vAlign w:val="center"/>
          </w:tcPr>
          <w:p>
            <w:pPr>
              <w:pStyle w:val="TableContents"/>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2020 Equity Incentive Plan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$0.01 par value per share</w:t>
            </w:r>
          </w:p>
        </w:tc>
        <w:tc>
          <w:tcPr>
            <w:tcW w:w="60" w:type="dxa"/>
            <w:tcBorders>
              <w:left w:val="single" w:sz="8" w:space="0" w:color="000000"/>
              <w:bottom w:val="single" w:sz="8" w:space="0" w:color="000000"/>
            </w:tcBorders>
            <w:shd w:fill="auto" w:val="clear"/>
            <w:tcMar>
              <w:top w:w="0" w:type="dxa"/>
              <w:left w:w="50" w:type="dxa"/>
            </w:tcMar>
            <w:vAlign w:val="center"/>
          </w:tcPr>
          <w:p>
            <w:pPr>
              <w:pStyle w:val="TableContents"/>
              <w:spacing w:before="0" w:after="283"/>
              <w:rPr/>
            </w:pPr>
            <w:r>
              <w:rPr/>
              <w:t> </w:t>
            </w:r>
          </w:p>
        </w:tc>
        <w:tc>
          <w:tcPr>
            <w:tcW w:w="1760" w:type="dxa"/>
            <w:tcBorders>
              <w:bottom w:val="single" w:sz="8" w:space="0" w:color="000000"/>
            </w:tcBorders>
            <w:shd w:fill="auto" w:val="clear"/>
            <w:tcMar>
              <w:top w:w="0" w:type="dxa"/>
            </w:tcMar>
            <w:vAlign w:val="center"/>
          </w:tcPr>
          <w:p>
            <w:pPr>
              <w:pStyle w:val="TableContents"/>
              <w:spacing w:before="0" w:after="283"/>
              <w:jc w:val="center"/>
              <w:rPr>
                <w:sz w:val="20"/>
              </w:rPr>
            </w:pPr>
            <w:r>
              <w:rPr>
                <w:sz w:val="20"/>
              </w:rPr>
              <w:t>10,772,798 shares (2)</w:t>
            </w:r>
          </w:p>
        </w:tc>
        <w:tc>
          <w:tcPr>
            <w:tcW w:w="60" w:type="dxa"/>
            <w:tcBorders>
              <w:left w:val="single" w:sz="8" w:space="0" w:color="000000"/>
              <w:bottom w:val="single" w:sz="8" w:space="0" w:color="000000"/>
            </w:tcBorders>
            <w:shd w:fill="auto" w:val="clear"/>
            <w:tcMar>
              <w:top w:w="0" w:type="dxa"/>
              <w:left w:w="50" w:type="dxa"/>
            </w:tcMar>
            <w:vAlign w:val="center"/>
          </w:tcPr>
          <w:p>
            <w:pPr>
              <w:pStyle w:val="TableContents"/>
              <w:spacing w:before="0" w:after="283"/>
              <w:rPr/>
            </w:pPr>
            <w:r>
              <w:rPr/>
              <w:t> </w:t>
            </w:r>
          </w:p>
        </w:tc>
        <w:tc>
          <w:tcPr>
            <w:tcW w:w="1175" w:type="dxa"/>
            <w:tcBorders>
              <w:bottom w:val="single" w:sz="8" w:space="0" w:color="000000"/>
            </w:tcBorders>
            <w:shd w:fill="auto" w:val="clear"/>
            <w:tcMar>
              <w:top w:w="0" w:type="dxa"/>
            </w:tcMar>
            <w:vAlign w:val="center"/>
          </w:tcPr>
          <w:p>
            <w:pPr>
              <w:pStyle w:val="TableContents"/>
              <w:spacing w:before="0" w:after="283"/>
              <w:jc w:val="center"/>
              <w:rPr>
                <w:sz w:val="20"/>
              </w:rPr>
            </w:pPr>
            <w:r>
              <w:rPr>
                <w:sz w:val="20"/>
              </w:rPr>
              <w:t>$2.25</w:t>
            </w:r>
          </w:p>
        </w:tc>
        <w:tc>
          <w:tcPr>
            <w:tcW w:w="60" w:type="dxa"/>
            <w:tcBorders>
              <w:left w:val="single" w:sz="8" w:space="0" w:color="000000"/>
              <w:bottom w:val="single" w:sz="8" w:space="0" w:color="000000"/>
            </w:tcBorders>
            <w:shd w:fill="auto" w:val="clear"/>
            <w:tcMar>
              <w:top w:w="0" w:type="dxa"/>
              <w:left w:w="50" w:type="dxa"/>
            </w:tcMar>
            <w:vAlign w:val="center"/>
          </w:tcPr>
          <w:p>
            <w:pPr>
              <w:pStyle w:val="TableContents"/>
              <w:spacing w:before="0" w:after="283"/>
              <w:jc w:val="center"/>
              <w:rPr/>
            </w:pPr>
            <w:r>
              <w:rPr/>
              <w:t> </w:t>
            </w:r>
          </w:p>
        </w:tc>
        <w:tc>
          <w:tcPr>
            <w:tcW w:w="1400" w:type="dxa"/>
            <w:tcBorders>
              <w:bottom w:val="single" w:sz="8" w:space="0" w:color="000000"/>
            </w:tcBorders>
            <w:shd w:fill="auto" w:val="clear"/>
            <w:tcMar>
              <w:top w:w="0" w:type="dxa"/>
            </w:tcMar>
            <w:vAlign w:val="center"/>
          </w:tcPr>
          <w:p>
            <w:pPr>
              <w:pStyle w:val="TableContents"/>
              <w:spacing w:before="0" w:after="283"/>
              <w:jc w:val="center"/>
              <w:rPr>
                <w:sz w:val="20"/>
              </w:rPr>
            </w:pPr>
            <w:r>
              <w:rPr>
                <w:sz w:val="20"/>
              </w:rPr>
              <w:t>$24,238,795.50</w:t>
            </w:r>
          </w:p>
        </w:tc>
        <w:tc>
          <w:tcPr>
            <w:tcW w:w="60" w:type="dxa"/>
            <w:tcBorders>
              <w:left w:val="single" w:sz="8" w:space="0" w:color="000000"/>
              <w:bottom w:val="single" w:sz="8" w:space="0" w:color="000000"/>
            </w:tcBorders>
            <w:shd w:fill="auto" w:val="clear"/>
            <w:tcMar>
              <w:top w:w="0" w:type="dxa"/>
              <w:left w:w="50" w:type="dxa"/>
            </w:tcMar>
            <w:vAlign w:val="center"/>
          </w:tcPr>
          <w:p>
            <w:pPr>
              <w:pStyle w:val="TableContents"/>
              <w:spacing w:before="0" w:after="283"/>
              <w:jc w:val="center"/>
              <w:rPr/>
            </w:pPr>
            <w:r>
              <w:rPr/>
              <w:t> </w:t>
            </w:r>
          </w:p>
        </w:tc>
        <w:tc>
          <w:tcPr>
            <w:tcW w:w="1325" w:type="dxa"/>
            <w:tcBorders>
              <w:bottom w:val="single" w:sz="8" w:space="0" w:color="000000"/>
            </w:tcBorders>
            <w:shd w:fill="auto" w:val="clear"/>
            <w:tcMar>
              <w:top w:w="0" w:type="dxa"/>
            </w:tcMar>
            <w:vAlign w:val="center"/>
          </w:tcPr>
          <w:p>
            <w:pPr>
              <w:pStyle w:val="TableContents"/>
              <w:spacing w:before="0" w:after="283"/>
              <w:jc w:val="center"/>
              <w:rPr>
                <w:sz w:val="20"/>
              </w:rPr>
            </w:pPr>
            <w:r>
              <w:rPr>
                <w:sz w:val="20"/>
              </w:rPr>
              <w:t>$3,146.20</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03"/>
        <w:gridCol w:w="10002"/>
      </w:tblGrid>
      <w:tr>
        <w:trPr/>
        <w:tc>
          <w:tcPr>
            <w:tcW w:w="203" w:type="dxa"/>
            <w:tcBorders/>
            <w:shd w:fill="auto" w:val="clear"/>
            <w:vAlign w:val="center"/>
          </w:tcPr>
          <w:p>
            <w:pPr>
              <w:pStyle w:val="TableContents"/>
              <w:spacing w:before="0" w:after="283"/>
              <w:rPr>
                <w:sz w:val="20"/>
              </w:rPr>
            </w:pPr>
            <w:r>
              <w:rPr>
                <w:sz w:val="20"/>
              </w:rPr>
              <w:t>(1)</w:t>
            </w:r>
          </w:p>
        </w:tc>
        <w:tc>
          <w:tcPr>
            <w:tcW w:w="10002" w:type="dxa"/>
            <w:tcBorders/>
            <w:shd w:fill="auto" w:val="clear"/>
            <w:vAlign w:val="center"/>
          </w:tcPr>
          <w:p>
            <w:pPr>
              <w:pStyle w:val="TableContents"/>
              <w:spacing w:before="0" w:after="283"/>
              <w:rPr>
                <w:sz w:val="20"/>
              </w:rPr>
            </w:pPr>
            <w:r>
              <w:rPr>
                <w:sz w:val="20"/>
              </w:rPr>
              <w:t>Pursuant to Rule 416(a) under the Securities Act of 1933, as amended (the “Securities Act”), this Registration Statement shall also cover any additional shares of the Registrant’s Common Stock (“Common Stock”) that become issuable under the Marker Therapeutics, Inc. 2020 Equity Incentive Plan (the “2020 Plan”) by reason of any stock dividend, stock split, recapitalization or other similar transaction.</w:t>
            </w:r>
          </w:p>
        </w:tc>
      </w:tr>
      <w:tr>
        <w:trPr/>
        <w:tc>
          <w:tcPr>
            <w:tcW w:w="203" w:type="dxa"/>
            <w:tcBorders/>
            <w:shd w:fill="auto" w:val="clear"/>
            <w:vAlign w:val="center"/>
          </w:tcPr>
          <w:p>
            <w:pPr>
              <w:pStyle w:val="TableContents"/>
              <w:spacing w:before="0" w:after="283"/>
              <w:rPr>
                <w:sz w:val="20"/>
              </w:rPr>
            </w:pPr>
            <w:r>
              <w:rPr>
                <w:sz w:val="20"/>
              </w:rPr>
              <w:t>(2)</w:t>
            </w:r>
          </w:p>
        </w:tc>
        <w:tc>
          <w:tcPr>
            <w:tcW w:w="10002" w:type="dxa"/>
            <w:tcBorders/>
            <w:shd w:fill="auto" w:val="clear"/>
            <w:vAlign w:val="center"/>
          </w:tcPr>
          <w:p>
            <w:pPr>
              <w:pStyle w:val="TableContents"/>
              <w:spacing w:before="0" w:after="283"/>
              <w:rPr>
                <w:sz w:val="20"/>
              </w:rPr>
            </w:pPr>
            <w:r>
              <w:rPr>
                <w:sz w:val="20"/>
              </w:rPr>
              <w:t xml:space="preserve">Subject to adjustment for certain changes in the Registrant’s capitalization, the aggregate number of shares of our common stock that may be issued under the 2020 Plan will not exceed 10,772,798, which is the sum of (i) 3,260,000 new shares and (ii) up to 7,512,798 shares, which is the number of shares remaining available for the grant of new awards under the Prior Plans as of immediately prior to the effective date of the 2020 Plan and the Prior Plans’ Returning Shares (as defined below), as such shares become available from time to time. The term “Prior Plans’ Returning Shares” refers to the following shares of common stock subject to any stock award granted under the Registrant’s 2014 Omnibus Stock Ownership Plan, as amended (the “2014 Plan”) and the 2009 Stock Incentive Plan, as amended (the “2009 Plan” and together with the 2014 Plan, the “Prior Plans”) that were outstanding as of May 19, 2020: (i) any shares subject to such stock award that are not issued because such award or any portion thereof expires or otherwise terminates without all of the shares covered by such award having been issued; (ii) any shares subject to such stock award that are not issued because such award or any portion thereof is settled in cash; (iii) any shares issued pursuant to such stock award that are forfeited back to or repurchased by us because of the failure to meet a contingency or condition required for the vesting of such shares, (iv) any shares issued pursuant to such stock award that are withheld or reacquired by us to satisfy the exercise, strike or purchase price; or (v) any shares issued pursuant to such stock award that are withheld or reacquired by us to satisfy a tax withholding obligation. No further grants will be made under the Prior Plans. </w:t>
            </w:r>
          </w:p>
        </w:tc>
      </w:tr>
      <w:tr>
        <w:trPr/>
        <w:tc>
          <w:tcPr>
            <w:tcW w:w="203" w:type="dxa"/>
            <w:tcBorders/>
            <w:shd w:fill="auto" w:val="clear"/>
            <w:vAlign w:val="center"/>
          </w:tcPr>
          <w:p>
            <w:pPr>
              <w:pStyle w:val="TableContents"/>
              <w:spacing w:before="0" w:after="283"/>
              <w:rPr>
                <w:sz w:val="20"/>
              </w:rPr>
            </w:pPr>
            <w:r>
              <w:rPr>
                <w:sz w:val="20"/>
              </w:rPr>
              <w:t>(3)</w:t>
            </w:r>
          </w:p>
        </w:tc>
        <w:tc>
          <w:tcPr>
            <w:tcW w:w="10002" w:type="dxa"/>
            <w:tcBorders/>
            <w:shd w:fill="auto" w:val="clear"/>
            <w:vAlign w:val="center"/>
          </w:tcPr>
          <w:p>
            <w:pPr>
              <w:pStyle w:val="TableContents"/>
              <w:spacing w:before="0" w:after="283"/>
              <w:jc w:val="both"/>
              <w:rPr>
                <w:sz w:val="20"/>
              </w:rPr>
            </w:pPr>
            <w:r>
              <w:rPr>
                <w:sz w:val="20"/>
              </w:rPr>
              <w:t>This estimate is made solely for the purpose of calculating the amount of the registration fee pursuant to Rule 457(h)(1) and Rule 457(c) of the Securities Act. The price per share and aggregate offering price are based upon the average of the high and low prices of Registrant’s Common Stock on June 8, 2020, as reported on The Nasdaq Global Market.</w:t>
            </w:r>
          </w:p>
        </w:tc>
      </w:tr>
    </w:tbl>
    <w:p>
      <w:pPr>
        <w:pStyle w:val="TextBody"/>
        <w:spacing w:before="0" w:after="0"/>
        <w:ind w:left="0" w:right="0" w:hanging="0"/>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SECTION 10(a) PROSPECTUS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1. Plan Information</w:t>
      </w:r>
      <w:r>
        <w:rPr>
          <w:rFonts w:ascii="Times New Roman;Times;Serif" w:hAnsi="Times New Roman;Times;Serif"/>
          <w:b w:val="false"/>
          <w:i w:val="false"/>
          <w:caps w:val="false"/>
          <w:smallCaps w:val="false"/>
          <w:sz w:val="20"/>
        </w:rPr>
        <w:t>.</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 to be filed with this registration statement.</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2. Registrant Information and Employee Plan Annual Information.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 to be filed with this registration statement.</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3. Incorporation of Documents by Reference.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filed by the Registrant with the Securities and Exchange Commission (“SEC”) are incorporated by reference into this registration statement (other than information furnished under Item 2.02 or Item 7.01 of Form 8-K or other portions of documents filed with the SEC which are furnished, but not filed, pursuant to applicable rules promulgated by the SEC):</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18"/>
        <w:gridCol w:w="9950"/>
      </w:tblGrid>
      <w:tr>
        <w:trPr/>
        <w:tc>
          <w:tcPr>
            <w:tcW w:w="3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pPr>
            <w:r>
              <w:rPr/>
              <w:t>(a)</w:t>
            </w:r>
          </w:p>
        </w:tc>
        <w:tc>
          <w:tcPr>
            <w:tcW w:w="9950" w:type="dxa"/>
            <w:tcBorders/>
            <w:shd w:fill="auto" w:val="clear"/>
            <w:vAlign w:val="center"/>
          </w:tcPr>
          <w:p>
            <w:pPr>
              <w:pStyle w:val="TableContents"/>
              <w:spacing w:before="0" w:after="283"/>
              <w:rPr/>
            </w:pPr>
            <w:r>
              <w:rPr/>
              <w:t xml:space="preserve">The Registrant’s Annual Report on Form 10-K for the fiscal year ended December 31, 2019, filed with the SEC on </w:t>
            </w:r>
            <w:hyperlink r:id="rId2">
              <w:r>
                <w:rPr>
                  <w:rStyle w:val="InternetLink"/>
                </w:rPr>
                <w:t>March 12, 2020</w:t>
              </w:r>
            </w:hyperlink>
            <w:r>
              <w:rPr/>
              <w:t xml:space="preserve"> and the information specifically incorporated by reference into the Registrant’s Annual Report on Form 10-K for the year ended December 31, 2019, from the Registrant’s Definitive Proxy Statement on Schedule 14A, filed with the SEC on </w:t>
            </w:r>
            <w:hyperlink r:id="rId3">
              <w:r>
                <w:rPr>
                  <w:rStyle w:val="InternetLink"/>
                </w:rPr>
                <w:t>April 17, 2020</w:t>
              </w:r>
            </w:hyperlink>
            <w:r>
              <w:rPr/>
              <w:t>;</w:t>
            </w:r>
          </w:p>
        </w:tc>
      </w:tr>
    </w:tbl>
    <w:p>
      <w:pPr>
        <w:pStyle w:val="TextBody"/>
        <w:spacing w:before="0" w:after="0"/>
        <w:ind w:left="72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75"/>
        <w:gridCol w:w="9893"/>
      </w:tblGrid>
      <w:tr>
        <w:trPr/>
        <w:tc>
          <w:tcPr>
            <w:tcW w:w="37"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pPr>
            <w:r>
              <w:rPr/>
              <w:t>(b)</w:t>
            </w:r>
          </w:p>
        </w:tc>
        <w:tc>
          <w:tcPr>
            <w:tcW w:w="9893" w:type="dxa"/>
            <w:tcBorders/>
            <w:shd w:fill="auto" w:val="clear"/>
            <w:vAlign w:val="center"/>
          </w:tcPr>
          <w:p>
            <w:pPr>
              <w:pStyle w:val="TableContents"/>
              <w:spacing w:before="0" w:after="283"/>
              <w:rPr/>
            </w:pPr>
            <w:r>
              <w:rPr/>
              <w:t xml:space="preserve">The Registrant’s Quarterly Report on Form 10-Q for the quarter ended March 31, 2020, filed with the SEC on </w:t>
            </w:r>
            <w:hyperlink r:id="rId4">
              <w:r>
                <w:rPr>
                  <w:rStyle w:val="InternetLink"/>
                </w:rPr>
                <w:t>May 11, 2020</w:t>
              </w:r>
            </w:hyperlink>
            <w:r>
              <w:rPr/>
              <w:t>;</w:t>
            </w:r>
          </w:p>
        </w:tc>
      </w:tr>
    </w:tbl>
    <w:p>
      <w:pPr>
        <w:pStyle w:val="TextBody"/>
        <w:spacing w:before="0" w:after="0"/>
        <w:ind w:left="108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36"/>
        <w:gridCol w:w="9932"/>
      </w:tblGrid>
      <w:tr>
        <w:trPr/>
        <w:tc>
          <w:tcPr>
            <w:tcW w:w="37"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pPr>
            <w:r>
              <w:rPr/>
              <w:t>(c)</w:t>
            </w:r>
          </w:p>
        </w:tc>
        <w:tc>
          <w:tcPr>
            <w:tcW w:w="9932" w:type="dxa"/>
            <w:tcBorders/>
            <w:shd w:fill="auto" w:val="clear"/>
            <w:vAlign w:val="center"/>
          </w:tcPr>
          <w:p>
            <w:pPr>
              <w:pStyle w:val="TableContents"/>
              <w:spacing w:before="0" w:after="283"/>
              <w:rPr/>
            </w:pPr>
            <w:r>
              <w:rPr/>
              <w:t xml:space="preserve">The Registrant’s Current Reports on Form 8-K filed with the SEC on </w:t>
            </w:r>
            <w:hyperlink r:id="rId5">
              <w:r>
                <w:rPr>
                  <w:rStyle w:val="InternetLink"/>
                </w:rPr>
                <w:t>February 11, 2020</w:t>
              </w:r>
            </w:hyperlink>
            <w:r>
              <w:rPr/>
              <w:t xml:space="preserve">, </w:t>
            </w:r>
            <w:hyperlink r:id="rId6">
              <w:r>
                <w:rPr>
                  <w:rStyle w:val="InternetLink"/>
                </w:rPr>
                <w:t>March 2, 2020</w:t>
              </w:r>
            </w:hyperlink>
            <w:r>
              <w:rPr/>
              <w:t xml:space="preserve"> (with respect to Items 1.01 and 9.01 only), </w:t>
            </w:r>
            <w:hyperlink r:id="rId7">
              <w:r>
                <w:rPr>
                  <w:rStyle w:val="InternetLink"/>
                </w:rPr>
                <w:t>April 29, 2020</w:t>
              </w:r>
            </w:hyperlink>
            <w:r>
              <w:rPr/>
              <w:t xml:space="preserve">, </w:t>
            </w:r>
            <w:hyperlink r:id="rId8">
              <w:r>
                <w:rPr>
                  <w:rStyle w:val="InternetLink"/>
                </w:rPr>
                <w:t>May 21, 2020</w:t>
              </w:r>
            </w:hyperlink>
            <w:r>
              <w:rPr/>
              <w:t xml:space="preserve"> and </w:t>
            </w:r>
            <w:hyperlink r:id="rId9">
              <w:r>
                <w:rPr>
                  <w:rStyle w:val="InternetLink"/>
                </w:rPr>
                <w:t>May 29, 2020</w:t>
              </w:r>
            </w:hyperlink>
            <w:r>
              <w:rPr/>
              <w:t>; and</w:t>
            </w:r>
          </w:p>
        </w:tc>
      </w:tr>
    </w:tbl>
    <w:p>
      <w:pPr>
        <w:pStyle w:val="TextBody"/>
        <w:spacing w:before="0" w:after="0"/>
        <w:ind w:left="108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42"/>
        <w:gridCol w:w="9926"/>
      </w:tblGrid>
      <w:tr>
        <w:trPr/>
        <w:tc>
          <w:tcPr>
            <w:tcW w:w="37"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pPr>
            <w:r>
              <w:rPr/>
              <w:t>(d)</w:t>
            </w:r>
          </w:p>
        </w:tc>
        <w:tc>
          <w:tcPr>
            <w:tcW w:w="9926" w:type="dxa"/>
            <w:tcBorders/>
            <w:shd w:fill="auto" w:val="clear"/>
            <w:vAlign w:val="center"/>
          </w:tcPr>
          <w:p>
            <w:pPr>
              <w:pStyle w:val="TableContents"/>
              <w:spacing w:before="0" w:after="283"/>
              <w:rPr/>
            </w:pPr>
            <w:r>
              <w:rPr/>
              <w:t xml:space="preserve">the description of the Registrant’s Common Stock contained in the Registrant’s registration statement on Form 8-A (File No. 001-37939), filed with the SEC on </w:t>
            </w:r>
            <w:hyperlink r:id="rId10">
              <w:r>
                <w:rPr>
                  <w:rStyle w:val="InternetLink"/>
                </w:rPr>
                <w:t>November 3, 2016</w:t>
              </w:r>
            </w:hyperlink>
            <w:r>
              <w:rPr/>
              <w:t>, including any amendment or report filed for the purpose of updating such description.</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reports and other documents subsequently filed by the Registrant pursuant to Sections 13(a), 13(c), 14 and 15(d) of the Securities Exchange Act of 1934, as amended (the “Exchange Act”), prior to the filing of a post-effective amendment which indicates that all securities offered have been sold or which deregisters all securities then remaining unsold shall be deemed to be incorporated by reference in this registration statement and to be a part hereof from the date of the filing of such reports and documents; provided, however, that documents, reports and definitive proxy or information statements, or portions thereof, which are furnished and not filed in accordance with the rules of the SEC shall not be deemed incorporated by reference into this registration statement. Any statement contained in a document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4. Description of Securities.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5. Interests of Named Experts and Counsel</w:t>
      </w:r>
      <w:r>
        <w:rPr>
          <w:rFonts w:ascii="Times New Roman;Times;Serif" w:hAnsi="Times New Roman;Times;Serif"/>
          <w:b w:val="false"/>
          <w:i w:val="false"/>
          <w:caps w:val="false"/>
          <w:smallCaps w:val="false"/>
          <w:sz w:val="20"/>
        </w:rPr>
        <w:t>.</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6. Indemnification of Directors and Officers</w:t>
      </w:r>
      <w:r>
        <w:rPr>
          <w:rFonts w:ascii="Times New Roman;Times;Serif" w:hAnsi="Times New Roman;Times;Serif"/>
          <w:b w:val="false"/>
          <w:i w:val="false"/>
          <w:caps w:val="false"/>
          <w:smallCaps w:val="false"/>
          <w:sz w:val="20"/>
        </w:rPr>
        <w:t>.</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is incorporated under the laws of the State of Delaware. Section 145 of the Delaware General Corporation Law provides that a Delaware corporation may indemnify any persons who were, are, or are threatened to be made, parties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an officer, director, employee or agent of another corporation or enterprise. The indemnity may include expenses (including attorneys’ fees), judgments, fines and amounts paid in settlement actually and reasonably incurred by such person in connection with such action, suit or proceeding, provided that such person acted in good faith and in a manner he or she reasonably believed to be in or not opposed to the corporation’s best interests and, with respect to any criminal action or proceeding, had no reasonable cause to believe that his or her conduct was illegal. A Delaware corporation may indemnify any persons who were, are, or are threatened to be made, a party to any threatened, pending or completed action or suit by or in the right of the corporation by reason of the fact that such person is or was a director, officer, employee or agent of such corporation, or is or was serving at the request of such corporation 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except that no indemnification is permitted without judicial approval if the officer or director is adjudged to be liable to the corporation. Where an officer or director is successful on the merits or otherwise in the defense of any action referred to above, the corporation must indemnify him or her against the expenses (including attorneys’ fees) actually and reasonably incurred.</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Amended and Restated Certificate of Incorporation and Amended and Restated Bylaws provide for indemnification of the Registrant’s directors and officers to the fullest extent permitted by law. Insofar as indemnification for liabilities under the Securities Act may be permitted to directors, officers or controlling persons of the Registrant pursuant to the Registrant’s Amended and Restated Certificate of Incorporation, Amended and Restated Bylaws and the Delaware General Corporation Law (the “DGCL”), the Registrant has been informed that in the opinion of the SEC such indemnification is against public policy as expressed in the Securities Act and is, therefore, unenforceable.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102(b)(7) of the DGCL provides that a certificate of incorporation may include a provision which eliminates or limits the personal liability of a director to the corporation or its stockholders for monetary damages for breach of fiduciary duty as a director, except for liability (i) for any breach of the director’s duty of loyalty to the company or its stockholders, (ii) for acts or omissions not in good faith or which involve intentional misconduct or a knowing violation of law, (iii) under Section 174 of the DGCL, relating to prohibited dividends or distributions or the repurchase or redemption of stock or (iv) for any transaction from which the director derives an improper personal benefit. The Registrant’s Amended and Restated Certificate of Incorporation includes such a provision. As a result of this provision, the Registrant and its stockholders may be unable to obtain monetary damages from a director for breach of his or her duty of care.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under the DGCL, the Registrant has entered into indemnification agreements with each of its directors and certain of its executive officers that require the Registrant to indemnify such persons against any and all expenses (including attorneys’, witness or other professional fees), and, unless in connection with a proceeding by or in the right of the Registrant, any and all judgments, fines and amounts paid in settlement, actually and reasonably incurred by such persons or on such persons’ behalf in connection with any proceeding, whether actual or threatened, to which any such person may be involved as a party or otherwise by reason of the fact that such person is or was a director or an executive officer of the Registrant or is or was serving at the request of the Registrant as a director, officer, employee, agent or fiduciary of another enterprise, provided such person acted in good faith and in a manner such person reasonably believed to be in or not opposed to the best interests of the Registrant and, with respect to any criminal proceeding, had no reasonable cause to believe such person’s conduct was unlawful. Under these agreements, the Registrant is not required to provide indemnification for certain matters, including:</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9"/>
        <w:gridCol w:w="229"/>
        <w:gridCol w:w="9907"/>
      </w:tblGrid>
      <w:tr>
        <w:trPr/>
        <w:tc>
          <w:tcPr>
            <w:tcW w:w="6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rFonts w:ascii="Symbol" w:hAnsi="Symbol"/>
              </w:rPr>
            </w:pPr>
            <w:r>
              <w:rPr>
                <w:rFonts w:ascii="Symbol" w:hAnsi="Symbol"/>
              </w:rPr>
              <w:t>·</w:t>
            </w:r>
          </w:p>
        </w:tc>
        <w:tc>
          <w:tcPr>
            <w:tcW w:w="9907" w:type="dxa"/>
            <w:tcBorders/>
            <w:shd w:fill="auto" w:val="clear"/>
            <w:vAlign w:val="center"/>
          </w:tcPr>
          <w:p>
            <w:pPr>
              <w:pStyle w:val="TableContents"/>
              <w:spacing w:before="0" w:after="283"/>
              <w:rPr/>
            </w:pPr>
            <w:r>
              <w:rPr/>
              <w:t>indemnification beyond that permitted by applicable law;</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except as provided in the indemnification agreements, an accounting of profits made from the purchase and sale (or sale and purchase) by such director or executive officer of securities of the Registrant within the meaning of Section 16(b) of the Exchange Act or similar provisions of state statutory law or common law;</w:t>
            </w:r>
          </w:p>
        </w:tc>
      </w:tr>
    </w:tbl>
    <w:p>
      <w:pPr>
        <w:pStyle w:val="TextBody"/>
        <w:spacing w:before="0" w:after="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except as provided in the indemnification agreements, any reimbursement of the Registrant by such director or executive officer of any bonus or other incentive-based or equity-based compensation or of any profits realized by such director or executive officer from the sale of securities of the Registrant, as required in each case under the Exchange Act; or</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except as provided in the indemnification agreements, in connection with any proceeding initiated by such director or executive officer, unless (i) the Registrant’s Board of Directors authorized the proceeding prior to its initiation or (ii) the Registrant provides the indemnification, in its sole discretion, pursuant to the powers vested in the Registrant under applicable law.</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indemnification agreements also set forth certain procedures, presumptions and remedies that will apply in the event of a claim for indemnification thereunder.</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7. Exemption From Registration Claimed.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8. Exhibits.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95"/>
        <w:gridCol w:w="5517"/>
        <w:gridCol w:w="618"/>
        <w:gridCol w:w="899"/>
        <w:gridCol w:w="770"/>
        <w:gridCol w:w="768"/>
        <w:gridCol w:w="938"/>
      </w:tblGrid>
      <w:tr>
        <w:trPr/>
        <w:tc>
          <w:tcPr>
            <w:tcW w:w="695" w:type="dxa"/>
            <w:tcBorders/>
            <w:shd w:fill="auto" w:val="clear"/>
            <w:vAlign w:val="center"/>
          </w:tcPr>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5517" w:type="dxa"/>
            <w:tcBorders/>
            <w:shd w:fill="auto" w:val="clear"/>
            <w:vAlign w:val="center"/>
          </w:tcPr>
          <w:p>
            <w:pPr>
              <w:pStyle w:val="TableContents"/>
              <w:spacing w:before="0" w:after="283"/>
              <w:jc w:val="center"/>
              <w:rPr>
                <w:b/>
              </w:rPr>
            </w:pPr>
            <w:r>
              <w:rPr>
                <w:b/>
              </w:rPr>
              <w:t>Exhibit description</w:t>
            </w:r>
          </w:p>
        </w:tc>
        <w:tc>
          <w:tcPr>
            <w:tcW w:w="618" w:type="dxa"/>
            <w:tcBorders/>
            <w:shd w:fill="auto" w:val="clear"/>
            <w:vAlign w:val="center"/>
          </w:tcPr>
          <w:p>
            <w:pPr>
              <w:pStyle w:val="TableContents"/>
              <w:spacing w:before="0" w:after="283"/>
              <w:jc w:val="center"/>
              <w:rPr>
                <w:b/>
              </w:rPr>
            </w:pPr>
            <w:r>
              <w:rPr>
                <w:b/>
              </w:rPr>
              <w:t>Form</w:t>
            </w:r>
          </w:p>
        </w:tc>
        <w:tc>
          <w:tcPr>
            <w:tcW w:w="899" w:type="dxa"/>
            <w:tcBorders/>
            <w:shd w:fill="auto" w:val="clear"/>
            <w:vAlign w:val="center"/>
          </w:tcPr>
          <w:p>
            <w:pPr>
              <w:pStyle w:val="TableContents"/>
              <w:spacing w:before="0" w:after="283"/>
              <w:jc w:val="center"/>
              <w:rPr>
                <w:b/>
              </w:rPr>
            </w:pPr>
            <w:r>
              <w:rPr>
                <w:b/>
              </w:rPr>
              <w:t>File no.</w:t>
            </w:r>
          </w:p>
        </w:tc>
        <w:tc>
          <w:tcPr>
            <w:tcW w:w="770" w:type="dxa"/>
            <w:tcBorders/>
            <w:shd w:fill="auto" w:val="clear"/>
            <w:vAlign w:val="center"/>
          </w:tcPr>
          <w:p>
            <w:pPr>
              <w:pStyle w:val="TableContents"/>
              <w:spacing w:before="0" w:after="283"/>
              <w:jc w:val="center"/>
              <w:rPr>
                <w:b/>
              </w:rPr>
            </w:pPr>
            <w:r>
              <w:rPr>
                <w:b/>
              </w:rPr>
              <w:t>Exhibit</w:t>
            </w:r>
          </w:p>
        </w:tc>
        <w:tc>
          <w:tcPr>
            <w:tcW w:w="768" w:type="dxa"/>
            <w:tcBorders/>
            <w:shd w:fill="auto" w:val="clear"/>
            <w:vAlign w:val="center"/>
          </w:tcPr>
          <w:p>
            <w:pPr>
              <w:pStyle w:val="TableContents"/>
              <w:spacing w:before="0" w:after="283"/>
              <w:jc w:val="center"/>
              <w:rPr>
                <w:b/>
              </w:rPr>
            </w:pPr>
            <w:r>
              <w:rPr>
                <w:b/>
              </w:rPr>
              <w:t>Filing</w:t>
              <w:br/>
              <w:t>date</w:t>
            </w:r>
          </w:p>
        </w:tc>
        <w:tc>
          <w:tcPr>
            <w:tcW w:w="938" w:type="dxa"/>
            <w:tcBorders/>
            <w:shd w:fill="auto" w:val="clear"/>
            <w:vAlign w:val="center"/>
          </w:tcPr>
          <w:p>
            <w:pPr>
              <w:pStyle w:val="TableContents"/>
              <w:spacing w:before="0" w:after="283"/>
              <w:jc w:val="center"/>
              <w:rPr>
                <w:b/>
              </w:rPr>
            </w:pPr>
            <w:r>
              <w:rPr>
                <w:b/>
              </w:rPr>
              <w:t>Filed</w:t>
              <w:br/>
              <w:t>herewith</w:t>
            </w:r>
          </w:p>
        </w:tc>
      </w:tr>
      <w:tr>
        <w:trPr/>
        <w:tc>
          <w:tcPr>
            <w:tcW w:w="695" w:type="dxa"/>
            <w:tcBorders/>
            <w:shd w:fill="auto" w:val="clear"/>
            <w:vAlign w:val="center"/>
          </w:tcPr>
          <w:p>
            <w:pPr>
              <w:pStyle w:val="TableContents"/>
              <w:spacing w:before="0" w:after="283"/>
              <w:rPr/>
            </w:pPr>
            <w:r>
              <w:rPr/>
              <w:t> </w:t>
            </w:r>
          </w:p>
        </w:tc>
        <w:tc>
          <w:tcPr>
            <w:tcW w:w="5517" w:type="dxa"/>
            <w:tcBorders/>
            <w:shd w:fill="auto" w:val="clear"/>
            <w:vAlign w:val="center"/>
          </w:tcPr>
          <w:p>
            <w:pPr>
              <w:pStyle w:val="TableContents"/>
              <w:spacing w:before="0" w:after="283"/>
              <w:rPr/>
            </w:pPr>
            <w:r>
              <w:rPr/>
              <w:t> </w:t>
            </w:r>
          </w:p>
        </w:tc>
        <w:tc>
          <w:tcPr>
            <w:tcW w:w="618" w:type="dxa"/>
            <w:tcBorders/>
            <w:shd w:fill="auto" w:val="clear"/>
            <w:vAlign w:val="center"/>
          </w:tcPr>
          <w:p>
            <w:pPr>
              <w:pStyle w:val="TableContents"/>
              <w:spacing w:before="0" w:after="283"/>
              <w:rPr/>
            </w:pPr>
            <w:r>
              <w:rPr/>
              <w:t> </w:t>
            </w:r>
          </w:p>
        </w:tc>
        <w:tc>
          <w:tcPr>
            <w:tcW w:w="899"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rPr/>
            </w:pPr>
            <w:r>
              <w:rPr/>
              <w:t> </w:t>
            </w:r>
          </w:p>
        </w:tc>
        <w:tc>
          <w:tcPr>
            <w:tcW w:w="768" w:type="dxa"/>
            <w:tcBorders/>
            <w:shd w:fill="auto" w:val="clear"/>
            <w:vAlign w:val="center"/>
          </w:tcPr>
          <w:p>
            <w:pPr>
              <w:pStyle w:val="TableContents"/>
              <w:spacing w:before="0" w:after="283"/>
              <w:rPr/>
            </w:pPr>
            <w:r>
              <w:rPr/>
              <w:t> </w:t>
            </w:r>
          </w:p>
        </w:tc>
        <w:tc>
          <w:tcPr>
            <w:tcW w:w="938" w:type="dxa"/>
            <w:tcBorders/>
            <w:shd w:fill="auto"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jc w:val="center"/>
              <w:rPr/>
            </w:pPr>
            <w:hyperlink r:id="rId11">
              <w:r>
                <w:rPr>
                  <w:rStyle w:val="InternetLink"/>
                </w:rPr>
                <w:t>4.0</w:t>
              </w:r>
            </w:hyperlink>
          </w:p>
        </w:tc>
        <w:tc>
          <w:tcPr>
            <w:tcW w:w="5517" w:type="dxa"/>
            <w:tcBorders/>
            <w:shd w:fill="auto" w:val="clear"/>
            <w:vAlign w:val="center"/>
          </w:tcPr>
          <w:p>
            <w:pPr>
              <w:pStyle w:val="TableContents"/>
              <w:spacing w:before="0" w:after="283"/>
              <w:rPr/>
            </w:pPr>
            <w:hyperlink r:id="rId12">
              <w:r>
                <w:rPr>
                  <w:rStyle w:val="InternetLink"/>
                </w:rPr>
                <w:t>Form of Common Stock Certificate of Marker Therapeutics, Inc.</w:t>
              </w:r>
            </w:hyperlink>
          </w:p>
        </w:tc>
        <w:tc>
          <w:tcPr>
            <w:tcW w:w="618" w:type="dxa"/>
            <w:tcBorders/>
            <w:shd w:fill="auto" w:val="clear"/>
            <w:vAlign w:val="center"/>
          </w:tcPr>
          <w:p>
            <w:pPr>
              <w:pStyle w:val="TableContents"/>
              <w:spacing w:before="0" w:after="283"/>
              <w:jc w:val="center"/>
              <w:rPr/>
            </w:pPr>
            <w:hyperlink r:id="rId13">
              <w:r>
                <w:rPr>
                  <w:rStyle w:val="InternetLink"/>
                </w:rPr>
                <w:t>8-A/A</w:t>
              </w:r>
            </w:hyperlink>
          </w:p>
        </w:tc>
        <w:tc>
          <w:tcPr>
            <w:tcW w:w="899" w:type="dxa"/>
            <w:tcBorders/>
            <w:shd w:fill="auto" w:val="clear"/>
            <w:vAlign w:val="center"/>
          </w:tcPr>
          <w:p>
            <w:pPr>
              <w:pStyle w:val="TableContents"/>
              <w:spacing w:before="0" w:after="283"/>
              <w:jc w:val="center"/>
              <w:rPr/>
            </w:pPr>
            <w:hyperlink r:id="rId14">
              <w:r>
                <w:rPr>
                  <w:rStyle w:val="InternetLink"/>
                </w:rPr>
                <w:t>000-37939</w:t>
              </w:r>
            </w:hyperlink>
          </w:p>
        </w:tc>
        <w:tc>
          <w:tcPr>
            <w:tcW w:w="770" w:type="dxa"/>
            <w:tcBorders/>
            <w:shd w:fill="auto" w:val="clear"/>
            <w:vAlign w:val="center"/>
          </w:tcPr>
          <w:p>
            <w:pPr>
              <w:pStyle w:val="TableContents"/>
              <w:spacing w:before="0" w:after="283"/>
              <w:jc w:val="center"/>
              <w:rPr/>
            </w:pPr>
            <w:hyperlink r:id="rId15">
              <w:r>
                <w:rPr>
                  <w:rStyle w:val="InternetLink"/>
                </w:rPr>
                <w:t>4.1</w:t>
              </w:r>
            </w:hyperlink>
          </w:p>
        </w:tc>
        <w:tc>
          <w:tcPr>
            <w:tcW w:w="768" w:type="dxa"/>
            <w:tcBorders/>
            <w:shd w:fill="auto" w:val="clear"/>
            <w:vAlign w:val="center"/>
          </w:tcPr>
          <w:p>
            <w:pPr>
              <w:pStyle w:val="TableContents"/>
              <w:spacing w:before="0" w:after="283"/>
              <w:jc w:val="center"/>
              <w:rPr/>
            </w:pPr>
            <w:hyperlink r:id="rId16">
              <w:r>
                <w:rPr>
                  <w:rStyle w:val="InternetLink"/>
                </w:rPr>
                <w:t>10/17/18</w:t>
              </w:r>
            </w:hyperlink>
          </w:p>
        </w:tc>
        <w:tc>
          <w:tcPr>
            <w:tcW w:w="938" w:type="dxa"/>
            <w:tcBorders/>
            <w:shd w:fill="auto"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jc w:val="center"/>
              <w:rPr/>
            </w:pPr>
            <w:hyperlink r:id="rId17">
              <w:r>
                <w:rPr>
                  <w:rStyle w:val="InternetLink"/>
                </w:rPr>
                <w:t>4.1</w:t>
              </w:r>
            </w:hyperlink>
          </w:p>
        </w:tc>
        <w:tc>
          <w:tcPr>
            <w:tcW w:w="5517" w:type="dxa"/>
            <w:tcBorders/>
            <w:shd w:fill="auto" w:val="clear"/>
            <w:vAlign w:val="center"/>
          </w:tcPr>
          <w:p>
            <w:pPr>
              <w:pStyle w:val="TableContents"/>
              <w:spacing w:before="0" w:after="283"/>
              <w:rPr/>
            </w:pPr>
            <w:hyperlink r:id="rId18">
              <w:r>
                <w:rPr>
                  <w:rStyle w:val="InternetLink"/>
                </w:rPr>
                <w:t>Form of Common Stock Purchase Warrant</w:t>
              </w:r>
            </w:hyperlink>
          </w:p>
        </w:tc>
        <w:tc>
          <w:tcPr>
            <w:tcW w:w="618" w:type="dxa"/>
            <w:tcBorders/>
            <w:shd w:fill="auto" w:val="clear"/>
            <w:vAlign w:val="center"/>
          </w:tcPr>
          <w:p>
            <w:pPr>
              <w:pStyle w:val="TableContents"/>
              <w:spacing w:before="0" w:after="283"/>
              <w:jc w:val="center"/>
              <w:rPr/>
            </w:pPr>
            <w:hyperlink r:id="rId19">
              <w:r>
                <w:rPr>
                  <w:rStyle w:val="InternetLink"/>
                </w:rPr>
                <w:t>8-K</w:t>
              </w:r>
            </w:hyperlink>
          </w:p>
        </w:tc>
        <w:tc>
          <w:tcPr>
            <w:tcW w:w="899" w:type="dxa"/>
            <w:tcBorders/>
            <w:shd w:fill="auto" w:val="clear"/>
            <w:vAlign w:val="center"/>
          </w:tcPr>
          <w:p>
            <w:pPr>
              <w:pStyle w:val="TableContents"/>
              <w:spacing w:before="0" w:after="283"/>
              <w:jc w:val="center"/>
              <w:rPr/>
            </w:pPr>
            <w:hyperlink r:id="rId20">
              <w:r>
                <w:rPr>
                  <w:rStyle w:val="InternetLink"/>
                </w:rPr>
                <w:t>000-27239</w:t>
              </w:r>
            </w:hyperlink>
          </w:p>
        </w:tc>
        <w:tc>
          <w:tcPr>
            <w:tcW w:w="770" w:type="dxa"/>
            <w:tcBorders/>
            <w:shd w:fill="auto" w:val="clear"/>
            <w:vAlign w:val="center"/>
          </w:tcPr>
          <w:p>
            <w:pPr>
              <w:pStyle w:val="TableContents"/>
              <w:spacing w:before="0" w:after="283"/>
              <w:jc w:val="center"/>
              <w:rPr/>
            </w:pPr>
            <w:hyperlink r:id="rId21">
              <w:r>
                <w:rPr>
                  <w:rStyle w:val="InternetLink"/>
                </w:rPr>
                <w:t>4.1</w:t>
              </w:r>
            </w:hyperlink>
          </w:p>
        </w:tc>
        <w:tc>
          <w:tcPr>
            <w:tcW w:w="768" w:type="dxa"/>
            <w:tcBorders/>
            <w:shd w:fill="auto" w:val="clear"/>
            <w:vAlign w:val="center"/>
          </w:tcPr>
          <w:p>
            <w:pPr>
              <w:pStyle w:val="TableContents"/>
              <w:spacing w:before="0" w:after="283"/>
              <w:jc w:val="center"/>
              <w:rPr/>
            </w:pPr>
            <w:hyperlink r:id="rId22">
              <w:r>
                <w:rPr>
                  <w:rStyle w:val="InternetLink"/>
                </w:rPr>
                <w:t>8/14/14</w:t>
              </w:r>
            </w:hyperlink>
          </w:p>
        </w:tc>
        <w:tc>
          <w:tcPr>
            <w:tcW w:w="938" w:type="dxa"/>
            <w:tcBorders/>
            <w:shd w:fill="auto"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jc w:val="center"/>
              <w:rPr/>
            </w:pPr>
            <w:hyperlink r:id="rId23">
              <w:r>
                <w:rPr>
                  <w:rStyle w:val="InternetLink"/>
                </w:rPr>
                <w:t>4.2</w:t>
              </w:r>
            </w:hyperlink>
          </w:p>
        </w:tc>
        <w:tc>
          <w:tcPr>
            <w:tcW w:w="5517" w:type="dxa"/>
            <w:tcBorders/>
            <w:shd w:fill="auto" w:val="clear"/>
            <w:vAlign w:val="center"/>
          </w:tcPr>
          <w:p>
            <w:pPr>
              <w:pStyle w:val="TableContents"/>
              <w:spacing w:before="0" w:after="283"/>
              <w:rPr/>
            </w:pPr>
            <w:hyperlink r:id="rId24">
              <w:r>
                <w:rPr>
                  <w:rStyle w:val="InternetLink"/>
                </w:rPr>
                <w:t>Form of Placement Agent Warrant Common Stock Purchase Warrants-Series A</w:t>
              </w:r>
            </w:hyperlink>
          </w:p>
        </w:tc>
        <w:tc>
          <w:tcPr>
            <w:tcW w:w="618" w:type="dxa"/>
            <w:tcBorders/>
            <w:shd w:fill="auto" w:val="clear"/>
            <w:vAlign w:val="center"/>
          </w:tcPr>
          <w:p>
            <w:pPr>
              <w:pStyle w:val="TableContents"/>
              <w:spacing w:before="0" w:after="283"/>
              <w:jc w:val="center"/>
              <w:rPr/>
            </w:pPr>
            <w:hyperlink r:id="rId25">
              <w:r>
                <w:rPr>
                  <w:rStyle w:val="InternetLink"/>
                </w:rPr>
                <w:t>8-K</w:t>
              </w:r>
            </w:hyperlink>
          </w:p>
        </w:tc>
        <w:tc>
          <w:tcPr>
            <w:tcW w:w="899" w:type="dxa"/>
            <w:tcBorders/>
            <w:shd w:fill="auto" w:val="clear"/>
            <w:vAlign w:val="center"/>
          </w:tcPr>
          <w:p>
            <w:pPr>
              <w:pStyle w:val="TableContents"/>
              <w:spacing w:before="0" w:after="283"/>
              <w:jc w:val="center"/>
              <w:rPr/>
            </w:pPr>
            <w:hyperlink r:id="rId26">
              <w:r>
                <w:rPr>
                  <w:rStyle w:val="InternetLink"/>
                </w:rPr>
                <w:t>000-27239</w:t>
              </w:r>
            </w:hyperlink>
          </w:p>
        </w:tc>
        <w:tc>
          <w:tcPr>
            <w:tcW w:w="770" w:type="dxa"/>
            <w:tcBorders/>
            <w:shd w:fill="auto" w:val="clear"/>
            <w:vAlign w:val="center"/>
          </w:tcPr>
          <w:p>
            <w:pPr>
              <w:pStyle w:val="TableContents"/>
              <w:spacing w:before="0" w:after="283"/>
              <w:jc w:val="center"/>
              <w:rPr/>
            </w:pPr>
            <w:hyperlink r:id="rId27">
              <w:r>
                <w:rPr>
                  <w:rStyle w:val="InternetLink"/>
                </w:rPr>
                <w:t>4.6</w:t>
              </w:r>
            </w:hyperlink>
          </w:p>
        </w:tc>
        <w:tc>
          <w:tcPr>
            <w:tcW w:w="768" w:type="dxa"/>
            <w:tcBorders/>
            <w:shd w:fill="auto" w:val="clear"/>
            <w:vAlign w:val="center"/>
          </w:tcPr>
          <w:p>
            <w:pPr>
              <w:pStyle w:val="TableContents"/>
              <w:spacing w:before="0" w:after="283"/>
              <w:jc w:val="center"/>
              <w:rPr/>
            </w:pPr>
            <w:hyperlink r:id="rId28">
              <w:r>
                <w:rPr>
                  <w:rStyle w:val="InternetLink"/>
                </w:rPr>
                <w:t>1/12/15</w:t>
              </w:r>
            </w:hyperlink>
          </w:p>
        </w:tc>
        <w:tc>
          <w:tcPr>
            <w:tcW w:w="938" w:type="dxa"/>
            <w:tcBorders/>
            <w:shd w:fill="auto"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jc w:val="center"/>
              <w:rPr/>
            </w:pPr>
            <w:hyperlink r:id="rId29">
              <w:r>
                <w:rPr>
                  <w:rStyle w:val="InternetLink"/>
                </w:rPr>
                <w:t>4.3</w:t>
              </w:r>
            </w:hyperlink>
          </w:p>
        </w:tc>
        <w:tc>
          <w:tcPr>
            <w:tcW w:w="5517" w:type="dxa"/>
            <w:tcBorders/>
            <w:shd w:fill="auto" w:val="clear"/>
            <w:vAlign w:val="center"/>
          </w:tcPr>
          <w:p>
            <w:pPr>
              <w:pStyle w:val="TableContents"/>
              <w:spacing w:before="0" w:after="283"/>
              <w:rPr/>
            </w:pPr>
            <w:hyperlink r:id="rId30">
              <w:r>
                <w:rPr>
                  <w:rStyle w:val="InternetLink"/>
                </w:rPr>
                <w:t>Form of Placement Agent Warrant Common Stock Purchase Warrants-Series C</w:t>
              </w:r>
            </w:hyperlink>
          </w:p>
        </w:tc>
        <w:tc>
          <w:tcPr>
            <w:tcW w:w="618" w:type="dxa"/>
            <w:tcBorders/>
            <w:shd w:fill="auto" w:val="clear"/>
            <w:vAlign w:val="center"/>
          </w:tcPr>
          <w:p>
            <w:pPr>
              <w:pStyle w:val="TableContents"/>
              <w:spacing w:before="0" w:after="283"/>
              <w:jc w:val="center"/>
              <w:rPr/>
            </w:pPr>
            <w:hyperlink r:id="rId31">
              <w:r>
                <w:rPr>
                  <w:rStyle w:val="InternetLink"/>
                </w:rPr>
                <w:t>8-K</w:t>
              </w:r>
            </w:hyperlink>
          </w:p>
        </w:tc>
        <w:tc>
          <w:tcPr>
            <w:tcW w:w="899" w:type="dxa"/>
            <w:tcBorders/>
            <w:shd w:fill="auto" w:val="clear"/>
            <w:vAlign w:val="center"/>
          </w:tcPr>
          <w:p>
            <w:pPr>
              <w:pStyle w:val="TableContents"/>
              <w:spacing w:before="0" w:after="283"/>
              <w:jc w:val="center"/>
              <w:rPr/>
            </w:pPr>
            <w:hyperlink r:id="rId32">
              <w:r>
                <w:rPr>
                  <w:rStyle w:val="InternetLink"/>
                </w:rPr>
                <w:t>000-27239</w:t>
              </w:r>
            </w:hyperlink>
          </w:p>
        </w:tc>
        <w:tc>
          <w:tcPr>
            <w:tcW w:w="770" w:type="dxa"/>
            <w:tcBorders/>
            <w:shd w:fill="auto" w:val="clear"/>
            <w:vAlign w:val="center"/>
          </w:tcPr>
          <w:p>
            <w:pPr>
              <w:pStyle w:val="TableContents"/>
              <w:spacing w:before="0" w:after="283"/>
              <w:jc w:val="center"/>
              <w:rPr/>
            </w:pPr>
            <w:hyperlink r:id="rId33">
              <w:r>
                <w:rPr>
                  <w:rStyle w:val="InternetLink"/>
                </w:rPr>
                <w:t>4.8</w:t>
              </w:r>
            </w:hyperlink>
          </w:p>
        </w:tc>
        <w:tc>
          <w:tcPr>
            <w:tcW w:w="768" w:type="dxa"/>
            <w:tcBorders/>
            <w:shd w:fill="auto" w:val="clear"/>
            <w:vAlign w:val="center"/>
          </w:tcPr>
          <w:p>
            <w:pPr>
              <w:pStyle w:val="TableContents"/>
              <w:spacing w:before="0" w:after="283"/>
              <w:jc w:val="center"/>
              <w:rPr/>
            </w:pPr>
            <w:hyperlink r:id="rId34">
              <w:r>
                <w:rPr>
                  <w:rStyle w:val="InternetLink"/>
                </w:rPr>
                <w:t>1/12/15</w:t>
              </w:r>
            </w:hyperlink>
          </w:p>
        </w:tc>
        <w:tc>
          <w:tcPr>
            <w:tcW w:w="938" w:type="dxa"/>
            <w:tcBorders/>
            <w:shd w:fill="auto"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jc w:val="center"/>
              <w:rPr/>
            </w:pPr>
            <w:hyperlink r:id="rId35">
              <w:r>
                <w:rPr>
                  <w:rStyle w:val="InternetLink"/>
                </w:rPr>
                <w:t>4.4</w:t>
              </w:r>
            </w:hyperlink>
          </w:p>
        </w:tc>
        <w:tc>
          <w:tcPr>
            <w:tcW w:w="5517" w:type="dxa"/>
            <w:tcBorders/>
            <w:shd w:fill="auto" w:val="clear"/>
            <w:vAlign w:val="center"/>
          </w:tcPr>
          <w:p>
            <w:pPr>
              <w:pStyle w:val="TableContents"/>
              <w:spacing w:before="0" w:after="283"/>
              <w:rPr/>
            </w:pPr>
            <w:hyperlink r:id="rId36">
              <w:r>
                <w:rPr>
                  <w:rStyle w:val="InternetLink"/>
                </w:rPr>
                <w:t>Form of Placement Agent Warrant Common Stock Purchase Warrants-Series D</w:t>
              </w:r>
            </w:hyperlink>
          </w:p>
        </w:tc>
        <w:tc>
          <w:tcPr>
            <w:tcW w:w="618" w:type="dxa"/>
            <w:tcBorders/>
            <w:shd w:fill="auto" w:val="clear"/>
            <w:vAlign w:val="center"/>
          </w:tcPr>
          <w:p>
            <w:pPr>
              <w:pStyle w:val="TableContents"/>
              <w:spacing w:before="0" w:after="283"/>
              <w:jc w:val="center"/>
              <w:rPr/>
            </w:pPr>
            <w:hyperlink r:id="rId37">
              <w:r>
                <w:rPr>
                  <w:rStyle w:val="InternetLink"/>
                </w:rPr>
                <w:t>8-K</w:t>
              </w:r>
            </w:hyperlink>
          </w:p>
        </w:tc>
        <w:tc>
          <w:tcPr>
            <w:tcW w:w="899" w:type="dxa"/>
            <w:tcBorders/>
            <w:shd w:fill="auto" w:val="clear"/>
            <w:vAlign w:val="center"/>
          </w:tcPr>
          <w:p>
            <w:pPr>
              <w:pStyle w:val="TableContents"/>
              <w:spacing w:before="0" w:after="283"/>
              <w:jc w:val="center"/>
              <w:rPr/>
            </w:pPr>
            <w:hyperlink r:id="rId38">
              <w:r>
                <w:rPr>
                  <w:rStyle w:val="InternetLink"/>
                </w:rPr>
                <w:t>000-27239</w:t>
              </w:r>
            </w:hyperlink>
          </w:p>
        </w:tc>
        <w:tc>
          <w:tcPr>
            <w:tcW w:w="770" w:type="dxa"/>
            <w:tcBorders/>
            <w:shd w:fill="auto" w:val="clear"/>
            <w:vAlign w:val="center"/>
          </w:tcPr>
          <w:p>
            <w:pPr>
              <w:pStyle w:val="TableContents"/>
              <w:spacing w:before="0" w:after="283"/>
              <w:jc w:val="center"/>
              <w:rPr/>
            </w:pPr>
            <w:hyperlink r:id="rId39">
              <w:r>
                <w:rPr>
                  <w:rStyle w:val="InternetLink"/>
                </w:rPr>
                <w:t>4.9</w:t>
              </w:r>
            </w:hyperlink>
          </w:p>
        </w:tc>
        <w:tc>
          <w:tcPr>
            <w:tcW w:w="768" w:type="dxa"/>
            <w:tcBorders/>
            <w:shd w:fill="auto" w:val="clear"/>
            <w:vAlign w:val="center"/>
          </w:tcPr>
          <w:p>
            <w:pPr>
              <w:pStyle w:val="TableContents"/>
              <w:spacing w:before="0" w:after="283"/>
              <w:jc w:val="center"/>
              <w:rPr/>
            </w:pPr>
            <w:hyperlink r:id="rId40">
              <w:r>
                <w:rPr>
                  <w:rStyle w:val="InternetLink"/>
                </w:rPr>
                <w:t>1/12/15</w:t>
              </w:r>
            </w:hyperlink>
          </w:p>
        </w:tc>
        <w:tc>
          <w:tcPr>
            <w:tcW w:w="938" w:type="dxa"/>
            <w:tcBorders/>
            <w:shd w:fill="auto"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jc w:val="center"/>
              <w:rPr/>
            </w:pPr>
            <w:hyperlink r:id="rId41">
              <w:r>
                <w:rPr>
                  <w:rStyle w:val="InternetLink"/>
                </w:rPr>
                <w:t>4.5</w:t>
              </w:r>
            </w:hyperlink>
          </w:p>
        </w:tc>
        <w:tc>
          <w:tcPr>
            <w:tcW w:w="5517" w:type="dxa"/>
            <w:tcBorders/>
            <w:shd w:fill="auto" w:val="clear"/>
            <w:vAlign w:val="center"/>
          </w:tcPr>
          <w:p>
            <w:pPr>
              <w:pStyle w:val="TableContents"/>
              <w:spacing w:before="0" w:after="283"/>
              <w:rPr/>
            </w:pPr>
            <w:hyperlink r:id="rId42">
              <w:r>
                <w:rPr>
                  <w:rStyle w:val="InternetLink"/>
                </w:rPr>
                <w:t>Form of Placement Agent Warrant Common Stock Purchase Warrants-Series E</w:t>
              </w:r>
            </w:hyperlink>
          </w:p>
        </w:tc>
        <w:tc>
          <w:tcPr>
            <w:tcW w:w="618" w:type="dxa"/>
            <w:tcBorders/>
            <w:shd w:fill="auto" w:val="clear"/>
            <w:vAlign w:val="center"/>
          </w:tcPr>
          <w:p>
            <w:pPr>
              <w:pStyle w:val="TableContents"/>
              <w:spacing w:before="0" w:after="283"/>
              <w:jc w:val="center"/>
              <w:rPr/>
            </w:pPr>
            <w:hyperlink r:id="rId43">
              <w:r>
                <w:rPr>
                  <w:rStyle w:val="InternetLink"/>
                </w:rPr>
                <w:t>8-K</w:t>
              </w:r>
            </w:hyperlink>
          </w:p>
        </w:tc>
        <w:tc>
          <w:tcPr>
            <w:tcW w:w="899" w:type="dxa"/>
            <w:tcBorders/>
            <w:shd w:fill="auto" w:val="clear"/>
            <w:vAlign w:val="center"/>
          </w:tcPr>
          <w:p>
            <w:pPr>
              <w:pStyle w:val="TableContents"/>
              <w:spacing w:before="0" w:after="283"/>
              <w:jc w:val="center"/>
              <w:rPr/>
            </w:pPr>
            <w:hyperlink r:id="rId44">
              <w:r>
                <w:rPr>
                  <w:rStyle w:val="InternetLink"/>
                </w:rPr>
                <w:t>000-27239</w:t>
              </w:r>
            </w:hyperlink>
          </w:p>
        </w:tc>
        <w:tc>
          <w:tcPr>
            <w:tcW w:w="770" w:type="dxa"/>
            <w:tcBorders/>
            <w:shd w:fill="auto" w:val="clear"/>
            <w:vAlign w:val="center"/>
          </w:tcPr>
          <w:p>
            <w:pPr>
              <w:pStyle w:val="TableContents"/>
              <w:spacing w:before="0" w:after="283"/>
              <w:jc w:val="center"/>
              <w:rPr/>
            </w:pPr>
            <w:hyperlink r:id="rId45">
              <w:r>
                <w:rPr>
                  <w:rStyle w:val="InternetLink"/>
                </w:rPr>
                <w:t>4.10</w:t>
              </w:r>
            </w:hyperlink>
          </w:p>
        </w:tc>
        <w:tc>
          <w:tcPr>
            <w:tcW w:w="768" w:type="dxa"/>
            <w:tcBorders/>
            <w:shd w:fill="auto" w:val="clear"/>
            <w:vAlign w:val="center"/>
          </w:tcPr>
          <w:p>
            <w:pPr>
              <w:pStyle w:val="TableContents"/>
              <w:spacing w:before="0" w:after="283"/>
              <w:jc w:val="center"/>
              <w:rPr/>
            </w:pPr>
            <w:hyperlink r:id="rId46">
              <w:r>
                <w:rPr>
                  <w:rStyle w:val="InternetLink"/>
                </w:rPr>
                <w:t>1/12/15</w:t>
              </w:r>
            </w:hyperlink>
          </w:p>
        </w:tc>
        <w:tc>
          <w:tcPr>
            <w:tcW w:w="938" w:type="dxa"/>
            <w:tcBorders/>
            <w:shd w:fill="auto"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jc w:val="center"/>
              <w:rPr/>
            </w:pPr>
            <w:hyperlink r:id="rId47">
              <w:r>
                <w:rPr>
                  <w:rStyle w:val="InternetLink"/>
                </w:rPr>
                <w:t>4.6</w:t>
              </w:r>
            </w:hyperlink>
          </w:p>
        </w:tc>
        <w:tc>
          <w:tcPr>
            <w:tcW w:w="5517" w:type="dxa"/>
            <w:tcBorders/>
            <w:shd w:fill="auto" w:val="clear"/>
            <w:vAlign w:val="center"/>
          </w:tcPr>
          <w:p>
            <w:pPr>
              <w:pStyle w:val="TableContents"/>
              <w:spacing w:before="0" w:after="283"/>
              <w:rPr/>
            </w:pPr>
            <w:hyperlink r:id="rId48">
              <w:r>
                <w:rPr>
                  <w:rStyle w:val="InternetLink"/>
                </w:rPr>
                <w:t>Form of Placement Agent Warrant Common Stock Purchase Warrants-Series A-1</w:t>
              </w:r>
            </w:hyperlink>
          </w:p>
        </w:tc>
        <w:tc>
          <w:tcPr>
            <w:tcW w:w="618" w:type="dxa"/>
            <w:tcBorders/>
            <w:shd w:fill="auto" w:val="clear"/>
            <w:vAlign w:val="center"/>
          </w:tcPr>
          <w:p>
            <w:pPr>
              <w:pStyle w:val="TableContents"/>
              <w:spacing w:before="0" w:after="283"/>
              <w:jc w:val="center"/>
              <w:rPr/>
            </w:pPr>
            <w:hyperlink r:id="rId49">
              <w:r>
                <w:rPr>
                  <w:rStyle w:val="InternetLink"/>
                </w:rPr>
                <w:t>8-K</w:t>
              </w:r>
            </w:hyperlink>
          </w:p>
        </w:tc>
        <w:tc>
          <w:tcPr>
            <w:tcW w:w="899" w:type="dxa"/>
            <w:tcBorders/>
            <w:shd w:fill="auto" w:val="clear"/>
            <w:vAlign w:val="center"/>
          </w:tcPr>
          <w:p>
            <w:pPr>
              <w:pStyle w:val="TableContents"/>
              <w:spacing w:before="0" w:after="283"/>
              <w:jc w:val="center"/>
              <w:rPr/>
            </w:pPr>
            <w:hyperlink r:id="rId50">
              <w:r>
                <w:rPr>
                  <w:rStyle w:val="InternetLink"/>
                </w:rPr>
                <w:t>000-27239</w:t>
              </w:r>
            </w:hyperlink>
          </w:p>
        </w:tc>
        <w:tc>
          <w:tcPr>
            <w:tcW w:w="770" w:type="dxa"/>
            <w:tcBorders/>
            <w:shd w:fill="auto" w:val="clear"/>
            <w:vAlign w:val="center"/>
          </w:tcPr>
          <w:p>
            <w:pPr>
              <w:pStyle w:val="TableContents"/>
              <w:spacing w:before="0" w:after="283"/>
              <w:jc w:val="center"/>
              <w:rPr/>
            </w:pPr>
            <w:hyperlink r:id="rId51">
              <w:r>
                <w:rPr>
                  <w:rStyle w:val="InternetLink"/>
                </w:rPr>
                <w:t>4.6</w:t>
              </w:r>
            </w:hyperlink>
          </w:p>
        </w:tc>
        <w:tc>
          <w:tcPr>
            <w:tcW w:w="768" w:type="dxa"/>
            <w:tcBorders/>
            <w:shd w:fill="auto" w:val="clear"/>
            <w:vAlign w:val="center"/>
          </w:tcPr>
          <w:p>
            <w:pPr>
              <w:pStyle w:val="TableContents"/>
              <w:spacing w:before="0" w:after="283"/>
              <w:jc w:val="center"/>
              <w:rPr/>
            </w:pPr>
            <w:hyperlink r:id="rId52">
              <w:r>
                <w:rPr>
                  <w:rStyle w:val="InternetLink"/>
                </w:rPr>
                <w:t>3/10/15</w:t>
              </w:r>
            </w:hyperlink>
          </w:p>
        </w:tc>
        <w:tc>
          <w:tcPr>
            <w:tcW w:w="938" w:type="dxa"/>
            <w:tcBorders/>
            <w:shd w:fill="auto"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jc w:val="center"/>
              <w:rPr/>
            </w:pPr>
            <w:hyperlink r:id="rId53">
              <w:r>
                <w:rPr>
                  <w:rStyle w:val="InternetLink"/>
                </w:rPr>
                <w:t>4.7</w:t>
              </w:r>
            </w:hyperlink>
          </w:p>
        </w:tc>
        <w:tc>
          <w:tcPr>
            <w:tcW w:w="5517" w:type="dxa"/>
            <w:tcBorders/>
            <w:shd w:fill="auto" w:val="clear"/>
            <w:vAlign w:val="center"/>
          </w:tcPr>
          <w:p>
            <w:pPr>
              <w:pStyle w:val="TableContents"/>
              <w:spacing w:before="0" w:after="283"/>
              <w:rPr/>
            </w:pPr>
            <w:hyperlink r:id="rId54">
              <w:r>
                <w:rPr>
                  <w:rStyle w:val="InternetLink"/>
                </w:rPr>
                <w:t>Form of Placement Agent Warrant Common Stock Purchase Warrants-Series E-1</w:t>
              </w:r>
            </w:hyperlink>
          </w:p>
        </w:tc>
        <w:tc>
          <w:tcPr>
            <w:tcW w:w="618" w:type="dxa"/>
            <w:tcBorders/>
            <w:shd w:fill="auto" w:val="clear"/>
            <w:vAlign w:val="center"/>
          </w:tcPr>
          <w:p>
            <w:pPr>
              <w:pStyle w:val="TableContents"/>
              <w:spacing w:before="0" w:after="283"/>
              <w:jc w:val="center"/>
              <w:rPr/>
            </w:pPr>
            <w:hyperlink r:id="rId55">
              <w:r>
                <w:rPr>
                  <w:rStyle w:val="InternetLink"/>
                </w:rPr>
                <w:t>8-K</w:t>
              </w:r>
            </w:hyperlink>
          </w:p>
        </w:tc>
        <w:tc>
          <w:tcPr>
            <w:tcW w:w="899" w:type="dxa"/>
            <w:tcBorders/>
            <w:shd w:fill="auto" w:val="clear"/>
            <w:vAlign w:val="center"/>
          </w:tcPr>
          <w:p>
            <w:pPr>
              <w:pStyle w:val="TableContents"/>
              <w:spacing w:before="0" w:after="283"/>
              <w:jc w:val="center"/>
              <w:rPr/>
            </w:pPr>
            <w:hyperlink r:id="rId56">
              <w:r>
                <w:rPr>
                  <w:rStyle w:val="InternetLink"/>
                </w:rPr>
                <w:t>000-27239</w:t>
              </w:r>
            </w:hyperlink>
          </w:p>
        </w:tc>
        <w:tc>
          <w:tcPr>
            <w:tcW w:w="770" w:type="dxa"/>
            <w:tcBorders/>
            <w:shd w:fill="auto" w:val="clear"/>
            <w:vAlign w:val="center"/>
          </w:tcPr>
          <w:p>
            <w:pPr>
              <w:pStyle w:val="TableContents"/>
              <w:spacing w:before="0" w:after="283"/>
              <w:jc w:val="center"/>
              <w:rPr/>
            </w:pPr>
            <w:hyperlink r:id="rId57">
              <w:r>
                <w:rPr>
                  <w:rStyle w:val="InternetLink"/>
                </w:rPr>
                <w:t>4.10</w:t>
              </w:r>
            </w:hyperlink>
          </w:p>
        </w:tc>
        <w:tc>
          <w:tcPr>
            <w:tcW w:w="768" w:type="dxa"/>
            <w:tcBorders/>
            <w:shd w:fill="auto" w:val="clear"/>
            <w:vAlign w:val="center"/>
          </w:tcPr>
          <w:p>
            <w:pPr>
              <w:pStyle w:val="TableContents"/>
              <w:spacing w:before="0" w:after="283"/>
              <w:jc w:val="center"/>
              <w:rPr/>
            </w:pPr>
            <w:hyperlink r:id="rId58">
              <w:r>
                <w:rPr>
                  <w:rStyle w:val="InternetLink"/>
                </w:rPr>
                <w:t>3/10/15</w:t>
              </w:r>
            </w:hyperlink>
          </w:p>
        </w:tc>
        <w:tc>
          <w:tcPr>
            <w:tcW w:w="938" w:type="dxa"/>
            <w:tcBorders/>
            <w:shd w:fill="auto"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jc w:val="center"/>
              <w:rPr/>
            </w:pPr>
            <w:hyperlink r:id="rId59">
              <w:r>
                <w:rPr>
                  <w:rStyle w:val="InternetLink"/>
                </w:rPr>
                <w:t>4.8</w:t>
              </w:r>
            </w:hyperlink>
          </w:p>
        </w:tc>
        <w:tc>
          <w:tcPr>
            <w:tcW w:w="5517" w:type="dxa"/>
            <w:tcBorders/>
            <w:shd w:fill="auto" w:val="clear"/>
            <w:vAlign w:val="center"/>
          </w:tcPr>
          <w:p>
            <w:pPr>
              <w:pStyle w:val="TableContents"/>
              <w:spacing w:before="0" w:after="283"/>
              <w:rPr/>
            </w:pPr>
            <w:hyperlink r:id="rId60">
              <w:r>
                <w:rPr>
                  <w:rStyle w:val="InternetLink"/>
                </w:rPr>
                <w:t>Form of Amended Series A Warrant</w:t>
              </w:r>
            </w:hyperlink>
          </w:p>
        </w:tc>
        <w:tc>
          <w:tcPr>
            <w:tcW w:w="618" w:type="dxa"/>
            <w:tcBorders/>
            <w:shd w:fill="auto" w:val="clear"/>
            <w:vAlign w:val="center"/>
          </w:tcPr>
          <w:p>
            <w:pPr>
              <w:pStyle w:val="TableContents"/>
              <w:spacing w:before="0" w:after="283"/>
              <w:jc w:val="center"/>
              <w:rPr/>
            </w:pPr>
            <w:hyperlink r:id="rId61">
              <w:r>
                <w:rPr>
                  <w:rStyle w:val="InternetLink"/>
                </w:rPr>
                <w:t>8-K</w:t>
              </w:r>
            </w:hyperlink>
          </w:p>
        </w:tc>
        <w:tc>
          <w:tcPr>
            <w:tcW w:w="899" w:type="dxa"/>
            <w:tcBorders/>
            <w:shd w:fill="auto" w:val="clear"/>
            <w:vAlign w:val="center"/>
          </w:tcPr>
          <w:p>
            <w:pPr>
              <w:pStyle w:val="TableContents"/>
              <w:spacing w:before="0" w:after="283"/>
              <w:jc w:val="center"/>
              <w:rPr/>
            </w:pPr>
            <w:hyperlink r:id="rId62">
              <w:r>
                <w:rPr>
                  <w:rStyle w:val="InternetLink"/>
                </w:rPr>
                <w:t>000-27239</w:t>
              </w:r>
            </w:hyperlink>
          </w:p>
        </w:tc>
        <w:tc>
          <w:tcPr>
            <w:tcW w:w="770" w:type="dxa"/>
            <w:tcBorders/>
            <w:shd w:fill="auto" w:val="clear"/>
            <w:vAlign w:val="center"/>
          </w:tcPr>
          <w:p>
            <w:pPr>
              <w:pStyle w:val="TableContents"/>
              <w:spacing w:before="0" w:after="283"/>
              <w:jc w:val="center"/>
              <w:rPr/>
            </w:pPr>
            <w:hyperlink r:id="rId63">
              <w:r>
                <w:rPr>
                  <w:rStyle w:val="InternetLink"/>
                </w:rPr>
                <w:t>4.2</w:t>
              </w:r>
            </w:hyperlink>
          </w:p>
        </w:tc>
        <w:tc>
          <w:tcPr>
            <w:tcW w:w="768" w:type="dxa"/>
            <w:tcBorders/>
            <w:shd w:fill="auto" w:val="clear"/>
            <w:vAlign w:val="center"/>
          </w:tcPr>
          <w:p>
            <w:pPr>
              <w:pStyle w:val="TableContents"/>
              <w:spacing w:before="0" w:after="283"/>
              <w:jc w:val="center"/>
              <w:rPr/>
            </w:pPr>
            <w:hyperlink r:id="rId64">
              <w:r>
                <w:rPr>
                  <w:rStyle w:val="InternetLink"/>
                </w:rPr>
                <w:t>8/11/16</w:t>
              </w:r>
            </w:hyperlink>
          </w:p>
        </w:tc>
        <w:tc>
          <w:tcPr>
            <w:tcW w:w="938" w:type="dxa"/>
            <w:tcBorders/>
            <w:shd w:fill="auto"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jc w:val="center"/>
              <w:rPr/>
            </w:pPr>
            <w:hyperlink r:id="rId65">
              <w:r>
                <w:rPr>
                  <w:rStyle w:val="InternetLink"/>
                </w:rPr>
                <w:t>4.9</w:t>
              </w:r>
            </w:hyperlink>
          </w:p>
        </w:tc>
        <w:tc>
          <w:tcPr>
            <w:tcW w:w="5517" w:type="dxa"/>
            <w:tcBorders/>
            <w:shd w:fill="auto" w:val="clear"/>
            <w:vAlign w:val="center"/>
          </w:tcPr>
          <w:p>
            <w:pPr>
              <w:pStyle w:val="TableContents"/>
              <w:spacing w:before="0" w:after="283"/>
              <w:rPr/>
            </w:pPr>
            <w:hyperlink r:id="rId66">
              <w:r>
                <w:rPr>
                  <w:rStyle w:val="InternetLink"/>
                </w:rPr>
                <w:t>Form of Amended Series C Warrant</w:t>
              </w:r>
            </w:hyperlink>
          </w:p>
        </w:tc>
        <w:tc>
          <w:tcPr>
            <w:tcW w:w="618" w:type="dxa"/>
            <w:tcBorders/>
            <w:shd w:fill="auto" w:val="clear"/>
            <w:vAlign w:val="center"/>
          </w:tcPr>
          <w:p>
            <w:pPr>
              <w:pStyle w:val="TableContents"/>
              <w:spacing w:before="0" w:after="283"/>
              <w:jc w:val="center"/>
              <w:rPr/>
            </w:pPr>
            <w:hyperlink r:id="rId67">
              <w:r>
                <w:rPr>
                  <w:rStyle w:val="InternetLink"/>
                </w:rPr>
                <w:t>8-K</w:t>
              </w:r>
            </w:hyperlink>
          </w:p>
        </w:tc>
        <w:tc>
          <w:tcPr>
            <w:tcW w:w="899" w:type="dxa"/>
            <w:tcBorders/>
            <w:shd w:fill="auto" w:val="clear"/>
            <w:vAlign w:val="center"/>
          </w:tcPr>
          <w:p>
            <w:pPr>
              <w:pStyle w:val="TableContents"/>
              <w:spacing w:before="0" w:after="283"/>
              <w:jc w:val="center"/>
              <w:rPr/>
            </w:pPr>
            <w:hyperlink r:id="rId68">
              <w:r>
                <w:rPr>
                  <w:rStyle w:val="InternetLink"/>
                </w:rPr>
                <w:t>000-27239</w:t>
              </w:r>
            </w:hyperlink>
          </w:p>
        </w:tc>
        <w:tc>
          <w:tcPr>
            <w:tcW w:w="770" w:type="dxa"/>
            <w:tcBorders/>
            <w:shd w:fill="auto" w:val="clear"/>
            <w:vAlign w:val="center"/>
          </w:tcPr>
          <w:p>
            <w:pPr>
              <w:pStyle w:val="TableContents"/>
              <w:spacing w:before="0" w:after="283"/>
              <w:jc w:val="center"/>
              <w:rPr/>
            </w:pPr>
            <w:hyperlink r:id="rId69">
              <w:r>
                <w:rPr>
                  <w:rStyle w:val="InternetLink"/>
                </w:rPr>
                <w:t>4.3</w:t>
              </w:r>
            </w:hyperlink>
          </w:p>
        </w:tc>
        <w:tc>
          <w:tcPr>
            <w:tcW w:w="768" w:type="dxa"/>
            <w:tcBorders/>
            <w:shd w:fill="auto" w:val="clear"/>
            <w:vAlign w:val="center"/>
          </w:tcPr>
          <w:p>
            <w:pPr>
              <w:pStyle w:val="TableContents"/>
              <w:spacing w:before="0" w:after="283"/>
              <w:jc w:val="center"/>
              <w:rPr/>
            </w:pPr>
            <w:hyperlink r:id="rId70">
              <w:r>
                <w:rPr>
                  <w:rStyle w:val="InternetLink"/>
                </w:rPr>
                <w:t>8/11/16</w:t>
              </w:r>
            </w:hyperlink>
          </w:p>
        </w:tc>
        <w:tc>
          <w:tcPr>
            <w:tcW w:w="938" w:type="dxa"/>
            <w:tcBorders/>
            <w:shd w:fill="auto"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jc w:val="center"/>
              <w:rPr/>
            </w:pPr>
            <w:hyperlink r:id="rId71">
              <w:r>
                <w:rPr>
                  <w:rStyle w:val="InternetLink"/>
                </w:rPr>
                <w:t>4.10</w:t>
              </w:r>
            </w:hyperlink>
          </w:p>
        </w:tc>
        <w:tc>
          <w:tcPr>
            <w:tcW w:w="5517" w:type="dxa"/>
            <w:tcBorders/>
            <w:shd w:fill="auto" w:val="clear"/>
            <w:vAlign w:val="center"/>
          </w:tcPr>
          <w:p>
            <w:pPr>
              <w:pStyle w:val="TableContents"/>
              <w:spacing w:before="0" w:after="283"/>
              <w:rPr/>
            </w:pPr>
            <w:hyperlink r:id="rId72">
              <w:r>
                <w:rPr>
                  <w:rStyle w:val="InternetLink"/>
                </w:rPr>
                <w:t>Form of Amended Series D Warrant</w:t>
              </w:r>
            </w:hyperlink>
          </w:p>
        </w:tc>
        <w:tc>
          <w:tcPr>
            <w:tcW w:w="618" w:type="dxa"/>
            <w:tcBorders/>
            <w:shd w:fill="auto" w:val="clear"/>
            <w:vAlign w:val="center"/>
          </w:tcPr>
          <w:p>
            <w:pPr>
              <w:pStyle w:val="TableContents"/>
              <w:spacing w:before="0" w:after="283"/>
              <w:jc w:val="center"/>
              <w:rPr/>
            </w:pPr>
            <w:hyperlink r:id="rId73">
              <w:r>
                <w:rPr>
                  <w:rStyle w:val="InternetLink"/>
                </w:rPr>
                <w:t>8-K</w:t>
              </w:r>
            </w:hyperlink>
          </w:p>
        </w:tc>
        <w:tc>
          <w:tcPr>
            <w:tcW w:w="899" w:type="dxa"/>
            <w:tcBorders/>
            <w:shd w:fill="auto" w:val="clear"/>
            <w:vAlign w:val="center"/>
          </w:tcPr>
          <w:p>
            <w:pPr>
              <w:pStyle w:val="TableContents"/>
              <w:spacing w:before="0" w:after="283"/>
              <w:jc w:val="center"/>
              <w:rPr/>
            </w:pPr>
            <w:hyperlink r:id="rId74">
              <w:r>
                <w:rPr>
                  <w:rStyle w:val="InternetLink"/>
                </w:rPr>
                <w:t>000-27239</w:t>
              </w:r>
            </w:hyperlink>
          </w:p>
        </w:tc>
        <w:tc>
          <w:tcPr>
            <w:tcW w:w="770" w:type="dxa"/>
            <w:tcBorders/>
            <w:shd w:fill="auto" w:val="clear"/>
            <w:vAlign w:val="center"/>
          </w:tcPr>
          <w:p>
            <w:pPr>
              <w:pStyle w:val="TableContents"/>
              <w:spacing w:before="0" w:after="283"/>
              <w:jc w:val="center"/>
              <w:rPr/>
            </w:pPr>
            <w:hyperlink r:id="rId75">
              <w:r>
                <w:rPr>
                  <w:rStyle w:val="InternetLink"/>
                </w:rPr>
                <w:t>4.4</w:t>
              </w:r>
            </w:hyperlink>
          </w:p>
        </w:tc>
        <w:tc>
          <w:tcPr>
            <w:tcW w:w="768" w:type="dxa"/>
            <w:tcBorders/>
            <w:shd w:fill="auto" w:val="clear"/>
            <w:vAlign w:val="center"/>
          </w:tcPr>
          <w:p>
            <w:pPr>
              <w:pStyle w:val="TableContents"/>
              <w:spacing w:before="0" w:after="283"/>
              <w:jc w:val="center"/>
              <w:rPr/>
            </w:pPr>
            <w:hyperlink r:id="rId76">
              <w:r>
                <w:rPr>
                  <w:rStyle w:val="InternetLink"/>
                </w:rPr>
                <w:t>8/11/16</w:t>
              </w:r>
            </w:hyperlink>
          </w:p>
        </w:tc>
        <w:tc>
          <w:tcPr>
            <w:tcW w:w="938" w:type="dxa"/>
            <w:tcBorders/>
            <w:shd w:fill="auto"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jc w:val="center"/>
              <w:rPr/>
            </w:pPr>
            <w:hyperlink r:id="rId77">
              <w:r>
                <w:rPr>
                  <w:rStyle w:val="InternetLink"/>
                </w:rPr>
                <w:t>4.11</w:t>
              </w:r>
            </w:hyperlink>
          </w:p>
        </w:tc>
        <w:tc>
          <w:tcPr>
            <w:tcW w:w="5517" w:type="dxa"/>
            <w:tcBorders/>
            <w:shd w:fill="auto" w:val="clear"/>
            <w:vAlign w:val="center"/>
          </w:tcPr>
          <w:p>
            <w:pPr>
              <w:pStyle w:val="TableContents"/>
              <w:spacing w:before="0" w:after="283"/>
              <w:rPr/>
            </w:pPr>
            <w:hyperlink r:id="rId78">
              <w:r>
                <w:rPr>
                  <w:rStyle w:val="InternetLink"/>
                </w:rPr>
                <w:t>Form of Amended Series E Warrant</w:t>
              </w:r>
            </w:hyperlink>
          </w:p>
        </w:tc>
        <w:tc>
          <w:tcPr>
            <w:tcW w:w="618" w:type="dxa"/>
            <w:tcBorders/>
            <w:shd w:fill="auto" w:val="clear"/>
            <w:vAlign w:val="center"/>
          </w:tcPr>
          <w:p>
            <w:pPr>
              <w:pStyle w:val="TableContents"/>
              <w:spacing w:before="0" w:after="283"/>
              <w:jc w:val="center"/>
              <w:rPr/>
            </w:pPr>
            <w:hyperlink r:id="rId79">
              <w:r>
                <w:rPr>
                  <w:rStyle w:val="InternetLink"/>
                </w:rPr>
                <w:t>8-K</w:t>
              </w:r>
            </w:hyperlink>
          </w:p>
        </w:tc>
        <w:tc>
          <w:tcPr>
            <w:tcW w:w="899" w:type="dxa"/>
            <w:tcBorders/>
            <w:shd w:fill="auto" w:val="clear"/>
            <w:vAlign w:val="center"/>
          </w:tcPr>
          <w:p>
            <w:pPr>
              <w:pStyle w:val="TableContents"/>
              <w:spacing w:before="0" w:after="283"/>
              <w:jc w:val="center"/>
              <w:rPr/>
            </w:pPr>
            <w:hyperlink r:id="rId80">
              <w:r>
                <w:rPr>
                  <w:rStyle w:val="InternetLink"/>
                </w:rPr>
                <w:t>000-27239</w:t>
              </w:r>
            </w:hyperlink>
          </w:p>
        </w:tc>
        <w:tc>
          <w:tcPr>
            <w:tcW w:w="770" w:type="dxa"/>
            <w:tcBorders/>
            <w:shd w:fill="auto" w:val="clear"/>
            <w:vAlign w:val="center"/>
          </w:tcPr>
          <w:p>
            <w:pPr>
              <w:pStyle w:val="TableContents"/>
              <w:spacing w:before="0" w:after="283"/>
              <w:jc w:val="center"/>
              <w:rPr/>
            </w:pPr>
            <w:hyperlink r:id="rId81">
              <w:r>
                <w:rPr>
                  <w:rStyle w:val="InternetLink"/>
                </w:rPr>
                <w:t>4.5</w:t>
              </w:r>
            </w:hyperlink>
          </w:p>
        </w:tc>
        <w:tc>
          <w:tcPr>
            <w:tcW w:w="768" w:type="dxa"/>
            <w:tcBorders/>
            <w:shd w:fill="auto" w:val="clear"/>
            <w:vAlign w:val="center"/>
          </w:tcPr>
          <w:p>
            <w:pPr>
              <w:pStyle w:val="TableContents"/>
              <w:spacing w:before="0" w:after="283"/>
              <w:jc w:val="center"/>
              <w:rPr/>
            </w:pPr>
            <w:hyperlink r:id="rId82">
              <w:r>
                <w:rPr>
                  <w:rStyle w:val="InternetLink"/>
                </w:rPr>
                <w:t>8/11/16</w:t>
              </w:r>
            </w:hyperlink>
          </w:p>
        </w:tc>
        <w:tc>
          <w:tcPr>
            <w:tcW w:w="938" w:type="dxa"/>
            <w:tcBorders/>
            <w:shd w:fill="auto"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jc w:val="center"/>
              <w:rPr/>
            </w:pPr>
            <w:hyperlink r:id="rId83">
              <w:r>
                <w:rPr>
                  <w:rStyle w:val="InternetLink"/>
                </w:rPr>
                <w:t>4.12</w:t>
              </w:r>
            </w:hyperlink>
          </w:p>
        </w:tc>
        <w:tc>
          <w:tcPr>
            <w:tcW w:w="5517" w:type="dxa"/>
            <w:tcBorders/>
            <w:shd w:fill="auto" w:val="clear"/>
            <w:vAlign w:val="center"/>
          </w:tcPr>
          <w:p>
            <w:pPr>
              <w:pStyle w:val="TableContents"/>
              <w:spacing w:before="0" w:after="283"/>
              <w:rPr/>
            </w:pPr>
            <w:hyperlink r:id="rId84">
              <w:r>
                <w:rPr>
                  <w:rStyle w:val="InternetLink"/>
                </w:rPr>
                <w:t>Form of Amended Series A-1 Warrant</w:t>
              </w:r>
            </w:hyperlink>
          </w:p>
        </w:tc>
        <w:tc>
          <w:tcPr>
            <w:tcW w:w="618" w:type="dxa"/>
            <w:tcBorders/>
            <w:shd w:fill="auto" w:val="clear"/>
            <w:vAlign w:val="center"/>
          </w:tcPr>
          <w:p>
            <w:pPr>
              <w:pStyle w:val="TableContents"/>
              <w:spacing w:before="0" w:after="283"/>
              <w:jc w:val="center"/>
              <w:rPr/>
            </w:pPr>
            <w:hyperlink r:id="rId85">
              <w:r>
                <w:rPr>
                  <w:rStyle w:val="InternetLink"/>
                </w:rPr>
                <w:t>8-K</w:t>
              </w:r>
            </w:hyperlink>
          </w:p>
        </w:tc>
        <w:tc>
          <w:tcPr>
            <w:tcW w:w="899" w:type="dxa"/>
            <w:tcBorders/>
            <w:shd w:fill="auto" w:val="clear"/>
            <w:vAlign w:val="center"/>
          </w:tcPr>
          <w:p>
            <w:pPr>
              <w:pStyle w:val="TableContents"/>
              <w:spacing w:before="0" w:after="283"/>
              <w:jc w:val="center"/>
              <w:rPr/>
            </w:pPr>
            <w:hyperlink r:id="rId86">
              <w:r>
                <w:rPr>
                  <w:rStyle w:val="InternetLink"/>
                </w:rPr>
                <w:t>000-27239</w:t>
              </w:r>
            </w:hyperlink>
          </w:p>
        </w:tc>
        <w:tc>
          <w:tcPr>
            <w:tcW w:w="770" w:type="dxa"/>
            <w:tcBorders/>
            <w:shd w:fill="auto" w:val="clear"/>
            <w:vAlign w:val="center"/>
          </w:tcPr>
          <w:p>
            <w:pPr>
              <w:pStyle w:val="TableContents"/>
              <w:spacing w:before="0" w:after="283"/>
              <w:jc w:val="center"/>
              <w:rPr/>
            </w:pPr>
            <w:hyperlink r:id="rId87">
              <w:r>
                <w:rPr>
                  <w:rStyle w:val="InternetLink"/>
                </w:rPr>
                <w:t>4.6</w:t>
              </w:r>
            </w:hyperlink>
          </w:p>
        </w:tc>
        <w:tc>
          <w:tcPr>
            <w:tcW w:w="768" w:type="dxa"/>
            <w:tcBorders/>
            <w:shd w:fill="auto" w:val="clear"/>
            <w:vAlign w:val="center"/>
          </w:tcPr>
          <w:p>
            <w:pPr>
              <w:pStyle w:val="TableContents"/>
              <w:spacing w:before="0" w:after="283"/>
              <w:jc w:val="center"/>
              <w:rPr/>
            </w:pPr>
            <w:hyperlink r:id="rId88">
              <w:r>
                <w:rPr>
                  <w:rStyle w:val="InternetLink"/>
                </w:rPr>
                <w:t>8/11/16</w:t>
              </w:r>
            </w:hyperlink>
          </w:p>
        </w:tc>
        <w:tc>
          <w:tcPr>
            <w:tcW w:w="938" w:type="dxa"/>
            <w:tcBorders/>
            <w:shd w:fill="auto"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jc w:val="center"/>
              <w:rPr/>
            </w:pPr>
            <w:hyperlink r:id="rId89">
              <w:r>
                <w:rPr>
                  <w:rStyle w:val="InternetLink"/>
                </w:rPr>
                <w:t>4.13</w:t>
              </w:r>
            </w:hyperlink>
          </w:p>
        </w:tc>
        <w:tc>
          <w:tcPr>
            <w:tcW w:w="5517" w:type="dxa"/>
            <w:tcBorders/>
            <w:shd w:fill="auto" w:val="clear"/>
            <w:vAlign w:val="center"/>
          </w:tcPr>
          <w:p>
            <w:pPr>
              <w:pStyle w:val="TableContents"/>
              <w:spacing w:before="0" w:after="283"/>
              <w:rPr/>
            </w:pPr>
            <w:hyperlink r:id="rId90">
              <w:r>
                <w:rPr>
                  <w:rStyle w:val="InternetLink"/>
                </w:rPr>
                <w:t>Form of Amended Series D-1 Warrant</w:t>
              </w:r>
            </w:hyperlink>
          </w:p>
        </w:tc>
        <w:tc>
          <w:tcPr>
            <w:tcW w:w="618" w:type="dxa"/>
            <w:tcBorders/>
            <w:shd w:fill="auto" w:val="clear"/>
            <w:vAlign w:val="center"/>
          </w:tcPr>
          <w:p>
            <w:pPr>
              <w:pStyle w:val="TableContents"/>
              <w:spacing w:before="0" w:after="283"/>
              <w:jc w:val="center"/>
              <w:rPr/>
            </w:pPr>
            <w:hyperlink r:id="rId91">
              <w:r>
                <w:rPr>
                  <w:rStyle w:val="InternetLink"/>
                </w:rPr>
                <w:t>8-K</w:t>
              </w:r>
            </w:hyperlink>
          </w:p>
        </w:tc>
        <w:tc>
          <w:tcPr>
            <w:tcW w:w="899" w:type="dxa"/>
            <w:tcBorders/>
            <w:shd w:fill="auto" w:val="clear"/>
            <w:vAlign w:val="center"/>
          </w:tcPr>
          <w:p>
            <w:pPr>
              <w:pStyle w:val="TableContents"/>
              <w:spacing w:before="0" w:after="283"/>
              <w:jc w:val="center"/>
              <w:rPr/>
            </w:pPr>
            <w:hyperlink r:id="rId92">
              <w:r>
                <w:rPr>
                  <w:rStyle w:val="InternetLink"/>
                </w:rPr>
                <w:t>000-27239</w:t>
              </w:r>
            </w:hyperlink>
          </w:p>
        </w:tc>
        <w:tc>
          <w:tcPr>
            <w:tcW w:w="770" w:type="dxa"/>
            <w:tcBorders/>
            <w:shd w:fill="auto" w:val="clear"/>
            <w:vAlign w:val="center"/>
          </w:tcPr>
          <w:p>
            <w:pPr>
              <w:pStyle w:val="TableContents"/>
              <w:spacing w:before="0" w:after="283"/>
              <w:jc w:val="center"/>
              <w:rPr/>
            </w:pPr>
            <w:hyperlink r:id="rId93">
              <w:r>
                <w:rPr>
                  <w:rStyle w:val="InternetLink"/>
                </w:rPr>
                <w:t>4.7</w:t>
              </w:r>
            </w:hyperlink>
          </w:p>
        </w:tc>
        <w:tc>
          <w:tcPr>
            <w:tcW w:w="768" w:type="dxa"/>
            <w:tcBorders/>
            <w:shd w:fill="auto" w:val="clear"/>
            <w:vAlign w:val="center"/>
          </w:tcPr>
          <w:p>
            <w:pPr>
              <w:pStyle w:val="TableContents"/>
              <w:spacing w:before="0" w:after="283"/>
              <w:jc w:val="center"/>
              <w:rPr/>
            </w:pPr>
            <w:hyperlink r:id="rId94">
              <w:r>
                <w:rPr>
                  <w:rStyle w:val="InternetLink"/>
                </w:rPr>
                <w:t>8/11/16</w:t>
              </w:r>
            </w:hyperlink>
          </w:p>
        </w:tc>
        <w:tc>
          <w:tcPr>
            <w:tcW w:w="938" w:type="dxa"/>
            <w:tcBorders/>
            <w:shd w:fill="auto"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jc w:val="center"/>
              <w:rPr/>
            </w:pPr>
            <w:hyperlink r:id="rId95">
              <w:r>
                <w:rPr>
                  <w:rStyle w:val="InternetLink"/>
                </w:rPr>
                <w:t>4.14</w:t>
              </w:r>
            </w:hyperlink>
          </w:p>
        </w:tc>
        <w:tc>
          <w:tcPr>
            <w:tcW w:w="5517" w:type="dxa"/>
            <w:tcBorders/>
            <w:shd w:fill="auto" w:val="clear"/>
            <w:vAlign w:val="center"/>
          </w:tcPr>
          <w:p>
            <w:pPr>
              <w:pStyle w:val="TableContents"/>
              <w:spacing w:before="0" w:after="283"/>
              <w:rPr/>
            </w:pPr>
            <w:hyperlink r:id="rId96">
              <w:r>
                <w:rPr>
                  <w:rStyle w:val="InternetLink"/>
                </w:rPr>
                <w:t>Form of Series F Warrant</w:t>
              </w:r>
            </w:hyperlink>
          </w:p>
        </w:tc>
        <w:tc>
          <w:tcPr>
            <w:tcW w:w="618" w:type="dxa"/>
            <w:tcBorders/>
            <w:shd w:fill="auto" w:val="clear"/>
            <w:vAlign w:val="center"/>
          </w:tcPr>
          <w:p>
            <w:pPr>
              <w:pStyle w:val="TableContents"/>
              <w:spacing w:before="0" w:after="283"/>
              <w:jc w:val="center"/>
              <w:rPr/>
            </w:pPr>
            <w:hyperlink r:id="rId97">
              <w:r>
                <w:rPr>
                  <w:rStyle w:val="InternetLink"/>
                </w:rPr>
                <w:t>8-K</w:t>
              </w:r>
            </w:hyperlink>
          </w:p>
        </w:tc>
        <w:tc>
          <w:tcPr>
            <w:tcW w:w="899" w:type="dxa"/>
            <w:tcBorders/>
            <w:shd w:fill="auto" w:val="clear"/>
            <w:vAlign w:val="center"/>
          </w:tcPr>
          <w:p>
            <w:pPr>
              <w:pStyle w:val="TableContents"/>
              <w:spacing w:before="0" w:after="283"/>
              <w:jc w:val="center"/>
              <w:rPr/>
            </w:pPr>
            <w:hyperlink r:id="rId98">
              <w:r>
                <w:rPr>
                  <w:rStyle w:val="InternetLink"/>
                </w:rPr>
                <w:t>000-27239</w:t>
              </w:r>
            </w:hyperlink>
          </w:p>
        </w:tc>
        <w:tc>
          <w:tcPr>
            <w:tcW w:w="770" w:type="dxa"/>
            <w:tcBorders/>
            <w:shd w:fill="auto" w:val="clear"/>
            <w:vAlign w:val="center"/>
          </w:tcPr>
          <w:p>
            <w:pPr>
              <w:pStyle w:val="TableContents"/>
              <w:spacing w:before="0" w:after="283"/>
              <w:jc w:val="center"/>
              <w:rPr/>
            </w:pPr>
            <w:hyperlink r:id="rId99">
              <w:r>
                <w:rPr>
                  <w:rStyle w:val="InternetLink"/>
                </w:rPr>
                <w:t>4.9</w:t>
              </w:r>
            </w:hyperlink>
          </w:p>
        </w:tc>
        <w:tc>
          <w:tcPr>
            <w:tcW w:w="768" w:type="dxa"/>
            <w:tcBorders/>
            <w:shd w:fill="auto" w:val="clear"/>
            <w:vAlign w:val="center"/>
          </w:tcPr>
          <w:p>
            <w:pPr>
              <w:pStyle w:val="TableContents"/>
              <w:spacing w:before="0" w:after="283"/>
              <w:jc w:val="center"/>
              <w:rPr/>
            </w:pPr>
            <w:hyperlink r:id="rId100">
              <w:r>
                <w:rPr>
                  <w:rStyle w:val="InternetLink"/>
                </w:rPr>
                <w:t>8/11/16</w:t>
              </w:r>
            </w:hyperlink>
          </w:p>
        </w:tc>
        <w:tc>
          <w:tcPr>
            <w:tcW w:w="938" w:type="dxa"/>
            <w:tcBorders/>
            <w:shd w:fill="auto" w:val="clear"/>
            <w:vAlign w:val="center"/>
          </w:tcPr>
          <w:p>
            <w:pPr>
              <w:pStyle w:val="TableContents"/>
              <w:spacing w:before="0" w:after="283"/>
              <w:jc w:val="center"/>
              <w:rPr/>
            </w:pPr>
            <w:r>
              <w:rPr/>
              <w:t> </w:t>
            </w:r>
          </w:p>
        </w:tc>
      </w:tr>
      <w:tr>
        <w:trPr/>
        <w:tc>
          <w:tcPr>
            <w:tcW w:w="695" w:type="dxa"/>
            <w:tcBorders/>
            <w:shd w:fill="auto" w:val="clear"/>
            <w:vAlign w:val="center"/>
          </w:tcPr>
          <w:p>
            <w:pPr>
              <w:pStyle w:val="TableContents"/>
              <w:spacing w:before="0" w:after="283"/>
              <w:jc w:val="center"/>
              <w:rPr/>
            </w:pPr>
            <w:hyperlink r:id="rId101">
              <w:r>
                <w:rPr>
                  <w:rStyle w:val="InternetLink"/>
                </w:rPr>
                <w:t>4.15</w:t>
              </w:r>
            </w:hyperlink>
          </w:p>
        </w:tc>
        <w:tc>
          <w:tcPr>
            <w:tcW w:w="5517" w:type="dxa"/>
            <w:tcBorders/>
            <w:shd w:fill="auto" w:val="clear"/>
            <w:vAlign w:val="center"/>
          </w:tcPr>
          <w:p>
            <w:pPr>
              <w:pStyle w:val="TableContents"/>
              <w:spacing w:before="0" w:after="283"/>
              <w:rPr/>
            </w:pPr>
            <w:hyperlink r:id="rId102">
              <w:r>
                <w:rPr>
                  <w:rStyle w:val="InternetLink"/>
                </w:rPr>
                <w:t>Form of Series F-1 Warrant</w:t>
              </w:r>
            </w:hyperlink>
          </w:p>
        </w:tc>
        <w:tc>
          <w:tcPr>
            <w:tcW w:w="618" w:type="dxa"/>
            <w:tcBorders/>
            <w:shd w:fill="auto" w:val="clear"/>
            <w:vAlign w:val="center"/>
          </w:tcPr>
          <w:p>
            <w:pPr>
              <w:pStyle w:val="TableContents"/>
              <w:spacing w:before="0" w:after="283"/>
              <w:jc w:val="center"/>
              <w:rPr/>
            </w:pPr>
            <w:hyperlink r:id="rId103">
              <w:r>
                <w:rPr>
                  <w:rStyle w:val="InternetLink"/>
                </w:rPr>
                <w:t>8-K</w:t>
              </w:r>
            </w:hyperlink>
          </w:p>
        </w:tc>
        <w:tc>
          <w:tcPr>
            <w:tcW w:w="899" w:type="dxa"/>
            <w:tcBorders/>
            <w:shd w:fill="auto" w:val="clear"/>
            <w:vAlign w:val="center"/>
          </w:tcPr>
          <w:p>
            <w:pPr>
              <w:pStyle w:val="TableContents"/>
              <w:spacing w:before="0" w:after="283"/>
              <w:jc w:val="center"/>
              <w:rPr/>
            </w:pPr>
            <w:hyperlink r:id="rId104">
              <w:r>
                <w:rPr>
                  <w:rStyle w:val="InternetLink"/>
                </w:rPr>
                <w:t>000-27239</w:t>
              </w:r>
            </w:hyperlink>
          </w:p>
        </w:tc>
        <w:tc>
          <w:tcPr>
            <w:tcW w:w="770" w:type="dxa"/>
            <w:tcBorders/>
            <w:shd w:fill="auto" w:val="clear"/>
            <w:vAlign w:val="center"/>
          </w:tcPr>
          <w:p>
            <w:pPr>
              <w:pStyle w:val="TableContents"/>
              <w:spacing w:before="0" w:after="283"/>
              <w:jc w:val="center"/>
              <w:rPr/>
            </w:pPr>
            <w:hyperlink r:id="rId105">
              <w:r>
                <w:rPr>
                  <w:rStyle w:val="InternetLink"/>
                </w:rPr>
                <w:t>4.10</w:t>
              </w:r>
            </w:hyperlink>
          </w:p>
        </w:tc>
        <w:tc>
          <w:tcPr>
            <w:tcW w:w="768" w:type="dxa"/>
            <w:tcBorders/>
            <w:shd w:fill="auto" w:val="clear"/>
            <w:vAlign w:val="center"/>
          </w:tcPr>
          <w:p>
            <w:pPr>
              <w:pStyle w:val="TableContents"/>
              <w:spacing w:before="0" w:after="283"/>
              <w:jc w:val="center"/>
              <w:rPr/>
            </w:pPr>
            <w:hyperlink r:id="rId106">
              <w:r>
                <w:rPr>
                  <w:rStyle w:val="InternetLink"/>
                </w:rPr>
                <w:t>8/11/16</w:t>
              </w:r>
            </w:hyperlink>
          </w:p>
        </w:tc>
        <w:tc>
          <w:tcPr>
            <w:tcW w:w="938" w:type="dxa"/>
            <w:tcBorders/>
            <w:shd w:fill="auto" w:val="clear"/>
            <w:vAlign w:val="center"/>
          </w:tcPr>
          <w:p>
            <w:pPr>
              <w:pStyle w:val="TableContents"/>
              <w:spacing w:before="0" w:after="283"/>
              <w:jc w:val="center"/>
              <w:rPr/>
            </w:pPr>
            <w:r>
              <w:rPr/>
              <w:t> </w:t>
            </w:r>
          </w:p>
        </w:tc>
      </w:tr>
      <w:tr>
        <w:trPr/>
        <w:tc>
          <w:tcPr>
            <w:tcW w:w="695" w:type="dxa"/>
            <w:tcBorders/>
            <w:shd w:fill="auto" w:val="clear"/>
            <w:vAlign w:val="center"/>
          </w:tcPr>
          <w:p>
            <w:pPr>
              <w:pStyle w:val="TableContents"/>
              <w:spacing w:before="0" w:after="283"/>
              <w:jc w:val="center"/>
              <w:rPr/>
            </w:pPr>
            <w:hyperlink r:id="rId107">
              <w:r>
                <w:rPr>
                  <w:rStyle w:val="InternetLink"/>
                </w:rPr>
                <w:t>4.16</w:t>
              </w:r>
            </w:hyperlink>
          </w:p>
        </w:tc>
        <w:tc>
          <w:tcPr>
            <w:tcW w:w="5517" w:type="dxa"/>
            <w:tcBorders/>
            <w:shd w:fill="auto" w:val="clear"/>
            <w:vAlign w:val="center"/>
          </w:tcPr>
          <w:p>
            <w:pPr>
              <w:pStyle w:val="TableContents"/>
              <w:spacing w:before="0" w:after="283"/>
              <w:rPr/>
            </w:pPr>
            <w:hyperlink r:id="rId108">
              <w:r>
                <w:rPr>
                  <w:rStyle w:val="InternetLink"/>
                </w:rPr>
                <w:t>Form of August 2016 Private Placement Warrant</w:t>
              </w:r>
            </w:hyperlink>
          </w:p>
        </w:tc>
        <w:tc>
          <w:tcPr>
            <w:tcW w:w="618" w:type="dxa"/>
            <w:tcBorders/>
            <w:shd w:fill="auto" w:val="clear"/>
            <w:vAlign w:val="center"/>
          </w:tcPr>
          <w:p>
            <w:pPr>
              <w:pStyle w:val="TableContents"/>
              <w:spacing w:before="0" w:after="283"/>
              <w:jc w:val="center"/>
              <w:rPr/>
            </w:pPr>
            <w:hyperlink r:id="rId109">
              <w:r>
                <w:rPr>
                  <w:rStyle w:val="InternetLink"/>
                </w:rPr>
                <w:t>8-K</w:t>
              </w:r>
            </w:hyperlink>
          </w:p>
        </w:tc>
        <w:tc>
          <w:tcPr>
            <w:tcW w:w="899" w:type="dxa"/>
            <w:tcBorders/>
            <w:shd w:fill="auto" w:val="clear"/>
            <w:vAlign w:val="center"/>
          </w:tcPr>
          <w:p>
            <w:pPr>
              <w:pStyle w:val="TableContents"/>
              <w:spacing w:before="0" w:after="283"/>
              <w:jc w:val="center"/>
              <w:rPr/>
            </w:pPr>
            <w:hyperlink r:id="rId110">
              <w:r>
                <w:rPr>
                  <w:rStyle w:val="InternetLink"/>
                </w:rPr>
                <w:t>000-27239</w:t>
              </w:r>
            </w:hyperlink>
          </w:p>
        </w:tc>
        <w:tc>
          <w:tcPr>
            <w:tcW w:w="770" w:type="dxa"/>
            <w:tcBorders/>
            <w:shd w:fill="auto" w:val="clear"/>
            <w:vAlign w:val="center"/>
          </w:tcPr>
          <w:p>
            <w:pPr>
              <w:pStyle w:val="TableContents"/>
              <w:spacing w:before="0" w:after="283"/>
              <w:jc w:val="center"/>
              <w:rPr/>
            </w:pPr>
            <w:hyperlink r:id="rId111">
              <w:r>
                <w:rPr>
                  <w:rStyle w:val="InternetLink"/>
                </w:rPr>
                <w:t>4.1</w:t>
              </w:r>
            </w:hyperlink>
          </w:p>
        </w:tc>
        <w:tc>
          <w:tcPr>
            <w:tcW w:w="768" w:type="dxa"/>
            <w:tcBorders/>
            <w:shd w:fill="auto" w:val="clear"/>
            <w:vAlign w:val="center"/>
          </w:tcPr>
          <w:p>
            <w:pPr>
              <w:pStyle w:val="TableContents"/>
              <w:spacing w:before="0" w:after="283"/>
              <w:jc w:val="center"/>
              <w:rPr/>
            </w:pPr>
            <w:hyperlink r:id="rId112">
              <w:r>
                <w:rPr>
                  <w:rStyle w:val="InternetLink"/>
                </w:rPr>
                <w:t>8/11/16</w:t>
              </w:r>
            </w:hyperlink>
          </w:p>
        </w:tc>
        <w:tc>
          <w:tcPr>
            <w:tcW w:w="938" w:type="dxa"/>
            <w:tcBorders/>
            <w:shd w:fill="auto"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jc w:val="center"/>
              <w:rPr/>
            </w:pPr>
            <w:hyperlink r:id="rId113">
              <w:r>
                <w:rPr>
                  <w:rStyle w:val="InternetLink"/>
                </w:rPr>
                <w:t>4.17</w:t>
              </w:r>
            </w:hyperlink>
          </w:p>
        </w:tc>
        <w:tc>
          <w:tcPr>
            <w:tcW w:w="5517" w:type="dxa"/>
            <w:tcBorders/>
            <w:shd w:fill="auto" w:val="clear"/>
            <w:vAlign w:val="center"/>
          </w:tcPr>
          <w:p>
            <w:pPr>
              <w:pStyle w:val="TableContents"/>
              <w:spacing w:before="0" w:after="283"/>
              <w:rPr/>
            </w:pPr>
            <w:hyperlink r:id="rId114">
              <w:r>
                <w:rPr>
                  <w:rStyle w:val="InternetLink"/>
                </w:rPr>
                <w:t>Form of 2016 Private Placement Agent Warrant</w:t>
              </w:r>
            </w:hyperlink>
          </w:p>
        </w:tc>
        <w:tc>
          <w:tcPr>
            <w:tcW w:w="618" w:type="dxa"/>
            <w:tcBorders/>
            <w:shd w:fill="auto" w:val="clear"/>
            <w:vAlign w:val="center"/>
          </w:tcPr>
          <w:p>
            <w:pPr>
              <w:pStyle w:val="TableContents"/>
              <w:spacing w:before="0" w:after="283"/>
              <w:jc w:val="center"/>
              <w:rPr/>
            </w:pPr>
            <w:hyperlink r:id="rId115">
              <w:r>
                <w:rPr>
                  <w:rStyle w:val="InternetLink"/>
                </w:rPr>
                <w:t>8-K</w:t>
              </w:r>
            </w:hyperlink>
          </w:p>
        </w:tc>
        <w:tc>
          <w:tcPr>
            <w:tcW w:w="899" w:type="dxa"/>
            <w:tcBorders/>
            <w:shd w:fill="auto" w:val="clear"/>
            <w:vAlign w:val="center"/>
          </w:tcPr>
          <w:p>
            <w:pPr>
              <w:pStyle w:val="TableContents"/>
              <w:spacing w:before="0" w:after="283"/>
              <w:jc w:val="center"/>
              <w:rPr/>
            </w:pPr>
            <w:hyperlink r:id="rId116">
              <w:r>
                <w:rPr>
                  <w:rStyle w:val="InternetLink"/>
                </w:rPr>
                <w:t>000-27239</w:t>
              </w:r>
            </w:hyperlink>
          </w:p>
        </w:tc>
        <w:tc>
          <w:tcPr>
            <w:tcW w:w="770" w:type="dxa"/>
            <w:tcBorders/>
            <w:shd w:fill="auto" w:val="clear"/>
            <w:vAlign w:val="center"/>
          </w:tcPr>
          <w:p>
            <w:pPr>
              <w:pStyle w:val="TableContents"/>
              <w:spacing w:before="0" w:after="283"/>
              <w:jc w:val="center"/>
              <w:rPr/>
            </w:pPr>
            <w:hyperlink r:id="rId117">
              <w:r>
                <w:rPr>
                  <w:rStyle w:val="InternetLink"/>
                </w:rPr>
                <w:t>4.11</w:t>
              </w:r>
            </w:hyperlink>
          </w:p>
        </w:tc>
        <w:tc>
          <w:tcPr>
            <w:tcW w:w="768" w:type="dxa"/>
            <w:tcBorders/>
            <w:shd w:fill="auto" w:val="clear"/>
            <w:vAlign w:val="center"/>
          </w:tcPr>
          <w:p>
            <w:pPr>
              <w:pStyle w:val="TableContents"/>
              <w:spacing w:before="0" w:after="283"/>
              <w:jc w:val="center"/>
              <w:rPr/>
            </w:pPr>
            <w:hyperlink r:id="rId118">
              <w:r>
                <w:rPr>
                  <w:rStyle w:val="InternetLink"/>
                </w:rPr>
                <w:t>8/11/16</w:t>
              </w:r>
            </w:hyperlink>
          </w:p>
        </w:tc>
        <w:tc>
          <w:tcPr>
            <w:tcW w:w="938" w:type="dxa"/>
            <w:tcBorders/>
            <w:shd w:fill="auto" w:val="clear"/>
            <w:vAlign w:val="center"/>
          </w:tcPr>
          <w:p>
            <w:pPr>
              <w:pStyle w:val="TableContents"/>
              <w:spacing w:before="0" w:after="283"/>
              <w:jc w:val="center"/>
              <w:rPr/>
            </w:pPr>
            <w:r>
              <w:rPr/>
              <w:t> </w:t>
            </w:r>
          </w:p>
        </w:tc>
      </w:tr>
      <w:tr>
        <w:trPr/>
        <w:tc>
          <w:tcPr>
            <w:tcW w:w="695" w:type="dxa"/>
            <w:tcBorders/>
            <w:shd w:fill="auto" w:val="clear"/>
            <w:vAlign w:val="center"/>
          </w:tcPr>
          <w:p>
            <w:pPr>
              <w:pStyle w:val="TableContents"/>
              <w:spacing w:before="0" w:after="283"/>
              <w:jc w:val="center"/>
              <w:rPr/>
            </w:pPr>
            <w:hyperlink r:id="rId119">
              <w:r>
                <w:rPr>
                  <w:rStyle w:val="InternetLink"/>
                </w:rPr>
                <w:t>4.18</w:t>
              </w:r>
            </w:hyperlink>
          </w:p>
        </w:tc>
        <w:tc>
          <w:tcPr>
            <w:tcW w:w="5517" w:type="dxa"/>
            <w:tcBorders/>
            <w:shd w:fill="auto" w:val="clear"/>
            <w:vAlign w:val="center"/>
          </w:tcPr>
          <w:p>
            <w:pPr>
              <w:pStyle w:val="TableContents"/>
              <w:spacing w:before="0" w:after="283"/>
              <w:rPr/>
            </w:pPr>
            <w:hyperlink r:id="rId120">
              <w:r>
                <w:rPr>
                  <w:rStyle w:val="InternetLink"/>
                </w:rPr>
                <w:t>Form of June 2017 Private Placement Warrant</w:t>
              </w:r>
            </w:hyperlink>
          </w:p>
        </w:tc>
        <w:tc>
          <w:tcPr>
            <w:tcW w:w="618" w:type="dxa"/>
            <w:tcBorders/>
            <w:shd w:fill="auto" w:val="clear"/>
            <w:vAlign w:val="center"/>
          </w:tcPr>
          <w:p>
            <w:pPr>
              <w:pStyle w:val="TableContents"/>
              <w:spacing w:before="0" w:after="283"/>
              <w:jc w:val="center"/>
              <w:rPr/>
            </w:pPr>
            <w:hyperlink r:id="rId121">
              <w:r>
                <w:rPr>
                  <w:rStyle w:val="InternetLink"/>
                </w:rPr>
                <w:t>8-K</w:t>
              </w:r>
            </w:hyperlink>
          </w:p>
        </w:tc>
        <w:tc>
          <w:tcPr>
            <w:tcW w:w="899" w:type="dxa"/>
            <w:tcBorders/>
            <w:shd w:fill="auto" w:val="clear"/>
            <w:vAlign w:val="center"/>
          </w:tcPr>
          <w:p>
            <w:pPr>
              <w:pStyle w:val="TableContents"/>
              <w:spacing w:before="0" w:after="283"/>
              <w:jc w:val="center"/>
              <w:rPr/>
            </w:pPr>
            <w:hyperlink r:id="rId122">
              <w:r>
                <w:rPr>
                  <w:rStyle w:val="InternetLink"/>
                </w:rPr>
                <w:t>001-37939</w:t>
              </w:r>
            </w:hyperlink>
          </w:p>
        </w:tc>
        <w:tc>
          <w:tcPr>
            <w:tcW w:w="770" w:type="dxa"/>
            <w:tcBorders/>
            <w:shd w:fill="auto" w:val="clear"/>
            <w:vAlign w:val="center"/>
          </w:tcPr>
          <w:p>
            <w:pPr>
              <w:pStyle w:val="TableContents"/>
              <w:spacing w:before="0" w:after="283"/>
              <w:jc w:val="center"/>
              <w:rPr/>
            </w:pPr>
            <w:hyperlink r:id="rId123">
              <w:r>
                <w:rPr>
                  <w:rStyle w:val="InternetLink"/>
                </w:rPr>
                <w:t>4.1</w:t>
              </w:r>
            </w:hyperlink>
          </w:p>
        </w:tc>
        <w:tc>
          <w:tcPr>
            <w:tcW w:w="768" w:type="dxa"/>
            <w:tcBorders/>
            <w:shd w:fill="auto" w:val="clear"/>
            <w:vAlign w:val="center"/>
          </w:tcPr>
          <w:p>
            <w:pPr>
              <w:pStyle w:val="TableContents"/>
              <w:spacing w:before="0" w:after="283"/>
              <w:jc w:val="center"/>
              <w:rPr/>
            </w:pPr>
            <w:hyperlink r:id="rId124">
              <w:r>
                <w:rPr>
                  <w:rStyle w:val="InternetLink"/>
                </w:rPr>
                <w:t>6/22/17</w:t>
              </w:r>
            </w:hyperlink>
          </w:p>
        </w:tc>
        <w:tc>
          <w:tcPr>
            <w:tcW w:w="938" w:type="dxa"/>
            <w:tcBorders/>
            <w:shd w:fill="auto" w:val="clear"/>
            <w:vAlign w:val="center"/>
          </w:tcPr>
          <w:p>
            <w:pPr>
              <w:pStyle w:val="TableContents"/>
              <w:spacing w:before="0" w:after="283"/>
              <w:jc w:val="center"/>
              <w:rPr/>
            </w:pPr>
            <w:r>
              <w:rPr/>
              <w:t> </w:t>
            </w:r>
          </w:p>
        </w:tc>
      </w:tr>
    </w:tbl>
    <w:p>
      <w:pPr>
        <w:pStyle w:val="TextBody"/>
        <w:rPr/>
      </w:pPr>
      <w:r>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t> </w:t>
      </w:r>
    </w:p>
    <w:tbl>
      <w:tblPr>
        <w:tblW w:w="10205" w:type="dxa"/>
        <w:jc w:val="left"/>
        <w:tblInd w:w="0" w:type="dxa"/>
        <w:tblCellMar>
          <w:top w:w="0" w:type="dxa"/>
          <w:left w:w="0" w:type="dxa"/>
          <w:bottom w:w="0" w:type="dxa"/>
          <w:right w:w="0" w:type="dxa"/>
        </w:tblCellMar>
      </w:tblPr>
      <w:tblGrid>
        <w:gridCol w:w="455"/>
        <w:gridCol w:w="7320"/>
        <w:gridCol w:w="387"/>
        <w:gridCol w:w="747"/>
        <w:gridCol w:w="440"/>
        <w:gridCol w:w="640"/>
        <w:gridCol w:w="216"/>
      </w:tblGrid>
      <w:tr>
        <w:trPr/>
        <w:tc>
          <w:tcPr>
            <w:tcW w:w="455" w:type="dxa"/>
            <w:tcBorders/>
            <w:shd w:fill="auto" w:val="clear"/>
            <w:vAlign w:val="center"/>
          </w:tcPr>
          <w:p>
            <w:pPr>
              <w:pStyle w:val="TableContents"/>
              <w:spacing w:before="0" w:after="283"/>
              <w:jc w:val="center"/>
              <w:rPr/>
            </w:pPr>
            <w:hyperlink r:id="rId125">
              <w:r>
                <w:rPr>
                  <w:rStyle w:val="InternetLink"/>
                </w:rPr>
                <w:t>4.19</w:t>
              </w:r>
            </w:hyperlink>
          </w:p>
        </w:tc>
        <w:tc>
          <w:tcPr>
            <w:tcW w:w="7320" w:type="dxa"/>
            <w:tcBorders/>
            <w:shd w:fill="auto" w:val="clear"/>
            <w:vAlign w:val="center"/>
          </w:tcPr>
          <w:p>
            <w:pPr>
              <w:pStyle w:val="TableContents"/>
              <w:spacing w:before="0" w:after="283"/>
              <w:rPr/>
            </w:pPr>
            <w:hyperlink r:id="rId126">
              <w:r>
                <w:rPr>
                  <w:rStyle w:val="InternetLink"/>
                </w:rPr>
                <w:t>Form of 2017 Private Placement Agent Warrant</w:t>
              </w:r>
            </w:hyperlink>
          </w:p>
        </w:tc>
        <w:tc>
          <w:tcPr>
            <w:tcW w:w="387" w:type="dxa"/>
            <w:tcBorders/>
            <w:shd w:fill="auto" w:val="clear"/>
            <w:vAlign w:val="center"/>
          </w:tcPr>
          <w:p>
            <w:pPr>
              <w:pStyle w:val="TableContents"/>
              <w:spacing w:before="0" w:after="283"/>
              <w:jc w:val="center"/>
              <w:rPr/>
            </w:pPr>
            <w:hyperlink r:id="rId127">
              <w:r>
                <w:rPr>
                  <w:rStyle w:val="InternetLink"/>
                </w:rPr>
                <w:t>8-K</w:t>
              </w:r>
            </w:hyperlink>
          </w:p>
        </w:tc>
        <w:tc>
          <w:tcPr>
            <w:tcW w:w="747" w:type="dxa"/>
            <w:tcBorders/>
            <w:shd w:fill="auto" w:val="clear"/>
            <w:vAlign w:val="center"/>
          </w:tcPr>
          <w:p>
            <w:pPr>
              <w:pStyle w:val="TableContents"/>
              <w:spacing w:before="0" w:after="283"/>
              <w:jc w:val="center"/>
              <w:rPr/>
            </w:pPr>
            <w:hyperlink r:id="rId128">
              <w:r>
                <w:rPr>
                  <w:rStyle w:val="InternetLink"/>
                </w:rPr>
                <w:t>001-37939</w:t>
              </w:r>
            </w:hyperlink>
          </w:p>
        </w:tc>
        <w:tc>
          <w:tcPr>
            <w:tcW w:w="440" w:type="dxa"/>
            <w:tcBorders/>
            <w:shd w:fill="auto" w:val="clear"/>
            <w:vAlign w:val="center"/>
          </w:tcPr>
          <w:p>
            <w:pPr>
              <w:pStyle w:val="TableContents"/>
              <w:spacing w:before="0" w:after="283"/>
              <w:jc w:val="center"/>
              <w:rPr/>
            </w:pPr>
            <w:hyperlink r:id="rId129">
              <w:r>
                <w:rPr>
                  <w:rStyle w:val="InternetLink"/>
                </w:rPr>
                <w:t>4.2</w:t>
              </w:r>
            </w:hyperlink>
          </w:p>
        </w:tc>
        <w:tc>
          <w:tcPr>
            <w:tcW w:w="640" w:type="dxa"/>
            <w:tcBorders/>
            <w:shd w:fill="auto" w:val="clear"/>
            <w:vAlign w:val="center"/>
          </w:tcPr>
          <w:p>
            <w:pPr>
              <w:pStyle w:val="TableContents"/>
              <w:spacing w:before="0" w:after="283"/>
              <w:jc w:val="center"/>
              <w:rPr/>
            </w:pPr>
            <w:hyperlink r:id="rId130">
              <w:r>
                <w:rPr>
                  <w:rStyle w:val="InternetLink"/>
                </w:rPr>
                <w:t>6/22/17</w:t>
              </w:r>
            </w:hyperlink>
          </w:p>
        </w:tc>
        <w:tc>
          <w:tcPr>
            <w:tcW w:w="216" w:type="dxa"/>
            <w:tcBorders/>
            <w:shd w:fill="auto" w:val="clear"/>
            <w:vAlign w:val="center"/>
          </w:tcPr>
          <w:p>
            <w:pPr>
              <w:pStyle w:val="TableContents"/>
              <w:spacing w:before="0" w:after="283"/>
              <w:jc w:val="center"/>
              <w:rPr/>
            </w:pPr>
            <w:r>
              <w:rPr/>
              <w:t> </w:t>
            </w:r>
          </w:p>
        </w:tc>
      </w:tr>
      <w:tr>
        <w:trPr/>
        <w:tc>
          <w:tcPr>
            <w:tcW w:w="455" w:type="dxa"/>
            <w:tcBorders/>
            <w:shd w:fill="auto" w:val="clear"/>
            <w:vAlign w:val="center"/>
          </w:tcPr>
          <w:p>
            <w:pPr>
              <w:pStyle w:val="TableContents"/>
              <w:spacing w:before="0" w:after="283"/>
              <w:jc w:val="center"/>
              <w:rPr/>
            </w:pPr>
            <w:hyperlink r:id="rId131">
              <w:r>
                <w:rPr>
                  <w:rStyle w:val="InternetLink"/>
                </w:rPr>
                <w:t>4.20</w:t>
              </w:r>
            </w:hyperlink>
          </w:p>
        </w:tc>
        <w:tc>
          <w:tcPr>
            <w:tcW w:w="7320" w:type="dxa"/>
            <w:tcBorders/>
            <w:shd w:fill="auto" w:val="clear"/>
            <w:vAlign w:val="center"/>
          </w:tcPr>
          <w:p>
            <w:pPr>
              <w:pStyle w:val="TableContents"/>
              <w:spacing w:before="0" w:after="283"/>
              <w:rPr/>
            </w:pPr>
            <w:hyperlink r:id="rId132">
              <w:r>
                <w:rPr>
                  <w:rStyle w:val="InternetLink"/>
                </w:rPr>
                <w:t>Form of Warrant Amendment Agreement August 2016 Private Placement</w:t>
              </w:r>
            </w:hyperlink>
          </w:p>
        </w:tc>
        <w:tc>
          <w:tcPr>
            <w:tcW w:w="387" w:type="dxa"/>
            <w:tcBorders/>
            <w:shd w:fill="auto" w:val="clear"/>
            <w:vAlign w:val="center"/>
          </w:tcPr>
          <w:p>
            <w:pPr>
              <w:pStyle w:val="TableContents"/>
              <w:spacing w:before="0" w:after="283"/>
              <w:jc w:val="center"/>
              <w:rPr/>
            </w:pPr>
            <w:hyperlink r:id="rId133">
              <w:r>
                <w:rPr>
                  <w:rStyle w:val="InternetLink"/>
                </w:rPr>
                <w:t>8-K</w:t>
              </w:r>
            </w:hyperlink>
          </w:p>
        </w:tc>
        <w:tc>
          <w:tcPr>
            <w:tcW w:w="747" w:type="dxa"/>
            <w:tcBorders/>
            <w:shd w:fill="auto" w:val="clear"/>
            <w:vAlign w:val="center"/>
          </w:tcPr>
          <w:p>
            <w:pPr>
              <w:pStyle w:val="TableContents"/>
              <w:spacing w:before="0" w:after="283"/>
              <w:jc w:val="center"/>
              <w:rPr/>
            </w:pPr>
            <w:hyperlink r:id="rId134">
              <w:r>
                <w:rPr>
                  <w:rStyle w:val="InternetLink"/>
                </w:rPr>
                <w:t>000-27239</w:t>
              </w:r>
            </w:hyperlink>
          </w:p>
        </w:tc>
        <w:tc>
          <w:tcPr>
            <w:tcW w:w="440" w:type="dxa"/>
            <w:tcBorders/>
            <w:shd w:fill="auto" w:val="clear"/>
            <w:vAlign w:val="center"/>
          </w:tcPr>
          <w:p>
            <w:pPr>
              <w:pStyle w:val="TableContents"/>
              <w:spacing w:before="0" w:after="283"/>
              <w:jc w:val="center"/>
              <w:rPr/>
            </w:pPr>
            <w:hyperlink r:id="rId135">
              <w:r>
                <w:rPr>
                  <w:rStyle w:val="InternetLink"/>
                </w:rPr>
                <w:t>10.3</w:t>
              </w:r>
            </w:hyperlink>
          </w:p>
        </w:tc>
        <w:tc>
          <w:tcPr>
            <w:tcW w:w="640" w:type="dxa"/>
            <w:tcBorders/>
            <w:shd w:fill="auto" w:val="clear"/>
            <w:vAlign w:val="center"/>
          </w:tcPr>
          <w:p>
            <w:pPr>
              <w:pStyle w:val="TableContents"/>
              <w:spacing w:before="0" w:after="283"/>
              <w:jc w:val="center"/>
              <w:rPr/>
            </w:pPr>
            <w:hyperlink r:id="rId136">
              <w:r>
                <w:rPr>
                  <w:rStyle w:val="InternetLink"/>
                </w:rPr>
                <w:t>8/11/16</w:t>
              </w:r>
            </w:hyperlink>
          </w:p>
        </w:tc>
        <w:tc>
          <w:tcPr>
            <w:tcW w:w="216" w:type="dxa"/>
            <w:tcBorders/>
            <w:shd w:fill="auto" w:val="clear"/>
            <w:vAlign w:val="center"/>
          </w:tcPr>
          <w:p>
            <w:pPr>
              <w:pStyle w:val="TableContents"/>
              <w:spacing w:before="0" w:after="283"/>
              <w:jc w:val="center"/>
              <w:rPr/>
            </w:pPr>
            <w:r>
              <w:rPr/>
              <w:t> </w:t>
            </w:r>
          </w:p>
        </w:tc>
      </w:tr>
      <w:tr>
        <w:trPr/>
        <w:tc>
          <w:tcPr>
            <w:tcW w:w="455" w:type="dxa"/>
            <w:tcBorders/>
            <w:shd w:fill="auto" w:val="clear"/>
            <w:vAlign w:val="center"/>
          </w:tcPr>
          <w:p>
            <w:pPr>
              <w:pStyle w:val="TableContents"/>
              <w:spacing w:before="0" w:after="283"/>
              <w:jc w:val="center"/>
              <w:rPr/>
            </w:pPr>
            <w:hyperlink r:id="rId137">
              <w:r>
                <w:rPr>
                  <w:rStyle w:val="InternetLink"/>
                </w:rPr>
                <w:t>4.21</w:t>
              </w:r>
            </w:hyperlink>
          </w:p>
        </w:tc>
        <w:tc>
          <w:tcPr>
            <w:tcW w:w="7320" w:type="dxa"/>
            <w:tcBorders/>
            <w:shd w:fill="auto" w:val="clear"/>
            <w:vAlign w:val="center"/>
          </w:tcPr>
          <w:p>
            <w:pPr>
              <w:pStyle w:val="TableContents"/>
              <w:spacing w:before="0" w:after="283"/>
              <w:rPr/>
            </w:pPr>
            <w:hyperlink r:id="rId138">
              <w:r>
                <w:rPr>
                  <w:rStyle w:val="InternetLink"/>
                </w:rPr>
                <w:t>Form of Warrant Exercise Agreement</w:t>
              </w:r>
            </w:hyperlink>
          </w:p>
        </w:tc>
        <w:tc>
          <w:tcPr>
            <w:tcW w:w="387" w:type="dxa"/>
            <w:tcBorders/>
            <w:shd w:fill="auto" w:val="clear"/>
            <w:vAlign w:val="center"/>
          </w:tcPr>
          <w:p>
            <w:pPr>
              <w:pStyle w:val="TableContents"/>
              <w:spacing w:before="0" w:after="283"/>
              <w:jc w:val="center"/>
              <w:rPr/>
            </w:pPr>
            <w:hyperlink r:id="rId139">
              <w:r>
                <w:rPr>
                  <w:rStyle w:val="InternetLink"/>
                </w:rPr>
                <w:t>8-K</w:t>
              </w:r>
            </w:hyperlink>
          </w:p>
        </w:tc>
        <w:tc>
          <w:tcPr>
            <w:tcW w:w="747" w:type="dxa"/>
            <w:tcBorders/>
            <w:shd w:fill="auto" w:val="clear"/>
            <w:vAlign w:val="center"/>
          </w:tcPr>
          <w:p>
            <w:pPr>
              <w:pStyle w:val="TableContents"/>
              <w:spacing w:before="0" w:after="283"/>
              <w:jc w:val="center"/>
              <w:rPr/>
            </w:pPr>
            <w:hyperlink r:id="rId140">
              <w:r>
                <w:rPr>
                  <w:rStyle w:val="InternetLink"/>
                </w:rPr>
                <w:t>001-37939</w:t>
              </w:r>
            </w:hyperlink>
          </w:p>
        </w:tc>
        <w:tc>
          <w:tcPr>
            <w:tcW w:w="440" w:type="dxa"/>
            <w:tcBorders/>
            <w:shd w:fill="auto" w:val="clear"/>
            <w:vAlign w:val="center"/>
          </w:tcPr>
          <w:p>
            <w:pPr>
              <w:pStyle w:val="TableContents"/>
              <w:spacing w:before="0" w:after="283"/>
              <w:jc w:val="center"/>
              <w:rPr/>
            </w:pPr>
            <w:hyperlink r:id="rId141">
              <w:r>
                <w:rPr>
                  <w:rStyle w:val="InternetLink"/>
                </w:rPr>
                <w:t>10.3</w:t>
              </w:r>
            </w:hyperlink>
          </w:p>
        </w:tc>
        <w:tc>
          <w:tcPr>
            <w:tcW w:w="640" w:type="dxa"/>
            <w:tcBorders/>
            <w:shd w:fill="auto" w:val="clear"/>
            <w:vAlign w:val="center"/>
          </w:tcPr>
          <w:p>
            <w:pPr>
              <w:pStyle w:val="TableContents"/>
              <w:spacing w:before="0" w:after="283"/>
              <w:jc w:val="center"/>
              <w:rPr/>
            </w:pPr>
            <w:hyperlink r:id="rId142">
              <w:r>
                <w:rPr>
                  <w:rStyle w:val="InternetLink"/>
                </w:rPr>
                <w:t>6/22/17</w:t>
              </w:r>
            </w:hyperlink>
          </w:p>
        </w:tc>
        <w:tc>
          <w:tcPr>
            <w:tcW w:w="216" w:type="dxa"/>
            <w:tcBorders/>
            <w:shd w:fill="auto" w:val="clear"/>
            <w:vAlign w:val="center"/>
          </w:tcPr>
          <w:p>
            <w:pPr>
              <w:pStyle w:val="TableContents"/>
              <w:spacing w:before="0" w:after="283"/>
              <w:jc w:val="center"/>
              <w:rPr/>
            </w:pPr>
            <w:r>
              <w:rPr/>
              <w:t> </w:t>
            </w:r>
          </w:p>
        </w:tc>
      </w:tr>
      <w:tr>
        <w:trPr/>
        <w:tc>
          <w:tcPr>
            <w:tcW w:w="455" w:type="dxa"/>
            <w:tcBorders/>
            <w:shd w:fill="auto" w:val="clear"/>
            <w:vAlign w:val="center"/>
          </w:tcPr>
          <w:p>
            <w:pPr>
              <w:pStyle w:val="TableContents"/>
              <w:spacing w:before="0" w:after="283"/>
              <w:jc w:val="center"/>
              <w:rPr/>
            </w:pPr>
            <w:hyperlink r:id="rId143">
              <w:r>
                <w:rPr>
                  <w:rStyle w:val="InternetLink"/>
                </w:rPr>
                <w:t>4.22</w:t>
              </w:r>
            </w:hyperlink>
          </w:p>
        </w:tc>
        <w:tc>
          <w:tcPr>
            <w:tcW w:w="7320" w:type="dxa"/>
            <w:tcBorders/>
            <w:shd w:fill="auto" w:val="clear"/>
            <w:vAlign w:val="center"/>
          </w:tcPr>
          <w:p>
            <w:pPr>
              <w:pStyle w:val="TableContents"/>
              <w:spacing w:before="0" w:after="283"/>
              <w:rPr/>
            </w:pPr>
            <w:hyperlink r:id="rId144">
              <w:r>
                <w:rPr>
                  <w:rStyle w:val="InternetLink"/>
                </w:rPr>
                <w:t>Form of Private Placement Warrant</w:t>
              </w:r>
            </w:hyperlink>
          </w:p>
        </w:tc>
        <w:tc>
          <w:tcPr>
            <w:tcW w:w="387" w:type="dxa"/>
            <w:tcBorders/>
            <w:shd w:fill="auto" w:val="clear"/>
            <w:vAlign w:val="center"/>
          </w:tcPr>
          <w:p>
            <w:pPr>
              <w:pStyle w:val="TableContents"/>
              <w:spacing w:before="0" w:after="283"/>
              <w:jc w:val="center"/>
              <w:rPr/>
            </w:pPr>
            <w:hyperlink r:id="rId145">
              <w:r>
                <w:rPr>
                  <w:rStyle w:val="InternetLink"/>
                </w:rPr>
                <w:t>8-K</w:t>
              </w:r>
            </w:hyperlink>
          </w:p>
        </w:tc>
        <w:tc>
          <w:tcPr>
            <w:tcW w:w="747" w:type="dxa"/>
            <w:tcBorders/>
            <w:shd w:fill="auto" w:val="clear"/>
            <w:vAlign w:val="center"/>
          </w:tcPr>
          <w:p>
            <w:pPr>
              <w:pStyle w:val="TableContents"/>
              <w:spacing w:before="0" w:after="283"/>
              <w:jc w:val="center"/>
              <w:rPr/>
            </w:pPr>
            <w:hyperlink r:id="rId146">
              <w:r>
                <w:rPr>
                  <w:rStyle w:val="InternetLink"/>
                </w:rPr>
                <w:t>001-37939</w:t>
              </w:r>
            </w:hyperlink>
          </w:p>
        </w:tc>
        <w:tc>
          <w:tcPr>
            <w:tcW w:w="440" w:type="dxa"/>
            <w:tcBorders/>
            <w:shd w:fill="auto" w:val="clear"/>
            <w:vAlign w:val="center"/>
          </w:tcPr>
          <w:p>
            <w:pPr>
              <w:pStyle w:val="TableContents"/>
              <w:spacing w:before="0" w:after="283"/>
              <w:jc w:val="center"/>
              <w:rPr/>
            </w:pPr>
            <w:hyperlink r:id="rId147">
              <w:r>
                <w:rPr>
                  <w:rStyle w:val="InternetLink"/>
                </w:rPr>
                <w:t>4.1</w:t>
              </w:r>
            </w:hyperlink>
          </w:p>
        </w:tc>
        <w:tc>
          <w:tcPr>
            <w:tcW w:w="640" w:type="dxa"/>
            <w:tcBorders/>
            <w:shd w:fill="auto" w:val="clear"/>
            <w:vAlign w:val="center"/>
          </w:tcPr>
          <w:p>
            <w:pPr>
              <w:pStyle w:val="TableContents"/>
              <w:spacing w:before="0" w:after="283"/>
              <w:jc w:val="center"/>
              <w:rPr/>
            </w:pPr>
            <w:hyperlink r:id="rId148">
              <w:r>
                <w:rPr>
                  <w:rStyle w:val="InternetLink"/>
                </w:rPr>
                <w:t>6/8/18</w:t>
              </w:r>
            </w:hyperlink>
          </w:p>
        </w:tc>
        <w:tc>
          <w:tcPr>
            <w:tcW w:w="216" w:type="dxa"/>
            <w:tcBorders/>
            <w:shd w:fill="auto" w:val="clear"/>
            <w:vAlign w:val="center"/>
          </w:tcPr>
          <w:p>
            <w:pPr>
              <w:pStyle w:val="TableContents"/>
              <w:spacing w:before="0" w:after="283"/>
              <w:jc w:val="center"/>
              <w:rPr/>
            </w:pPr>
            <w:r>
              <w:rPr/>
              <w:t> </w:t>
            </w:r>
          </w:p>
        </w:tc>
      </w:tr>
      <w:tr>
        <w:trPr/>
        <w:tc>
          <w:tcPr>
            <w:tcW w:w="455" w:type="dxa"/>
            <w:tcBorders/>
            <w:shd w:fill="auto" w:val="clear"/>
            <w:vAlign w:val="center"/>
          </w:tcPr>
          <w:p>
            <w:pPr>
              <w:pStyle w:val="TableContents"/>
              <w:spacing w:before="0" w:after="283"/>
              <w:jc w:val="center"/>
              <w:rPr/>
            </w:pPr>
            <w:hyperlink r:id="rId149">
              <w:r>
                <w:rPr>
                  <w:rStyle w:val="InternetLink"/>
                </w:rPr>
                <w:t>4.23</w:t>
              </w:r>
            </w:hyperlink>
          </w:p>
        </w:tc>
        <w:tc>
          <w:tcPr>
            <w:tcW w:w="7320" w:type="dxa"/>
            <w:tcBorders/>
            <w:shd w:fill="auto" w:val="clear"/>
            <w:vAlign w:val="center"/>
          </w:tcPr>
          <w:p>
            <w:pPr>
              <w:pStyle w:val="TableContents"/>
              <w:spacing w:before="0" w:after="283"/>
              <w:rPr/>
            </w:pPr>
            <w:hyperlink r:id="rId150">
              <w:r>
                <w:rPr>
                  <w:rStyle w:val="InternetLink"/>
                </w:rPr>
                <w:t>Form of Private Placement Warrant</w:t>
              </w:r>
            </w:hyperlink>
          </w:p>
        </w:tc>
        <w:tc>
          <w:tcPr>
            <w:tcW w:w="387" w:type="dxa"/>
            <w:tcBorders/>
            <w:shd w:fill="auto" w:val="clear"/>
            <w:vAlign w:val="center"/>
          </w:tcPr>
          <w:p>
            <w:pPr>
              <w:pStyle w:val="TableContents"/>
              <w:spacing w:before="0" w:after="283"/>
              <w:jc w:val="center"/>
              <w:rPr/>
            </w:pPr>
            <w:hyperlink r:id="rId151">
              <w:r>
                <w:rPr>
                  <w:rStyle w:val="InternetLink"/>
                </w:rPr>
                <w:t>8-K</w:t>
              </w:r>
            </w:hyperlink>
          </w:p>
        </w:tc>
        <w:tc>
          <w:tcPr>
            <w:tcW w:w="747" w:type="dxa"/>
            <w:tcBorders/>
            <w:shd w:fill="auto" w:val="clear"/>
            <w:vAlign w:val="center"/>
          </w:tcPr>
          <w:p>
            <w:pPr>
              <w:pStyle w:val="TableContents"/>
              <w:spacing w:before="0" w:after="283"/>
              <w:jc w:val="center"/>
              <w:rPr/>
            </w:pPr>
            <w:hyperlink r:id="rId152">
              <w:r>
                <w:rPr>
                  <w:rStyle w:val="InternetLink"/>
                </w:rPr>
                <w:t>001-37393</w:t>
              </w:r>
            </w:hyperlink>
          </w:p>
        </w:tc>
        <w:tc>
          <w:tcPr>
            <w:tcW w:w="440" w:type="dxa"/>
            <w:tcBorders/>
            <w:shd w:fill="auto" w:val="clear"/>
            <w:vAlign w:val="center"/>
          </w:tcPr>
          <w:p>
            <w:pPr>
              <w:pStyle w:val="TableContents"/>
              <w:spacing w:before="0" w:after="283"/>
              <w:jc w:val="center"/>
              <w:rPr/>
            </w:pPr>
            <w:hyperlink r:id="rId153">
              <w:r>
                <w:rPr>
                  <w:rStyle w:val="InternetLink"/>
                </w:rPr>
                <w:t>4.2</w:t>
              </w:r>
            </w:hyperlink>
          </w:p>
        </w:tc>
        <w:tc>
          <w:tcPr>
            <w:tcW w:w="640" w:type="dxa"/>
            <w:tcBorders/>
            <w:shd w:fill="auto" w:val="clear"/>
            <w:vAlign w:val="center"/>
          </w:tcPr>
          <w:p>
            <w:pPr>
              <w:pStyle w:val="TableContents"/>
              <w:spacing w:before="0" w:after="283"/>
              <w:jc w:val="center"/>
              <w:rPr/>
            </w:pPr>
            <w:hyperlink r:id="rId154">
              <w:r>
                <w:rPr>
                  <w:rStyle w:val="InternetLink"/>
                </w:rPr>
                <w:t>6/8/18</w:t>
              </w:r>
            </w:hyperlink>
          </w:p>
        </w:tc>
        <w:tc>
          <w:tcPr>
            <w:tcW w:w="216" w:type="dxa"/>
            <w:tcBorders/>
            <w:shd w:fill="auto" w:val="clear"/>
            <w:vAlign w:val="center"/>
          </w:tcPr>
          <w:p>
            <w:pPr>
              <w:pStyle w:val="TableContents"/>
              <w:spacing w:before="0" w:after="283"/>
              <w:jc w:val="center"/>
              <w:rPr/>
            </w:pPr>
            <w:r>
              <w:rPr/>
              <w:t> </w:t>
            </w:r>
          </w:p>
        </w:tc>
      </w:tr>
      <w:tr>
        <w:trPr/>
        <w:tc>
          <w:tcPr>
            <w:tcW w:w="455" w:type="dxa"/>
            <w:tcBorders/>
            <w:shd w:fill="auto" w:val="clear"/>
            <w:vAlign w:val="center"/>
          </w:tcPr>
          <w:p>
            <w:pPr>
              <w:pStyle w:val="TableContents"/>
              <w:spacing w:before="0" w:after="283"/>
              <w:jc w:val="center"/>
              <w:rPr/>
            </w:pPr>
            <w:hyperlink r:id="rId155">
              <w:r>
                <w:rPr>
                  <w:rStyle w:val="InternetLink"/>
                </w:rPr>
                <w:t>4.24</w:t>
              </w:r>
            </w:hyperlink>
          </w:p>
        </w:tc>
        <w:tc>
          <w:tcPr>
            <w:tcW w:w="7320" w:type="dxa"/>
            <w:tcBorders/>
            <w:shd w:fill="auto" w:val="clear"/>
            <w:vAlign w:val="center"/>
          </w:tcPr>
          <w:p>
            <w:pPr>
              <w:pStyle w:val="TableContents"/>
              <w:spacing w:before="0" w:after="283"/>
              <w:rPr/>
            </w:pPr>
            <w:hyperlink r:id="rId156">
              <w:r>
                <w:rPr>
                  <w:rStyle w:val="InternetLink"/>
                </w:rPr>
                <w:t>Form of Marker Warrant</w:t>
              </w:r>
            </w:hyperlink>
          </w:p>
        </w:tc>
        <w:tc>
          <w:tcPr>
            <w:tcW w:w="387" w:type="dxa"/>
            <w:tcBorders/>
            <w:shd w:fill="auto" w:val="clear"/>
            <w:vAlign w:val="center"/>
          </w:tcPr>
          <w:p>
            <w:pPr>
              <w:pStyle w:val="TableContents"/>
              <w:spacing w:before="0" w:after="283"/>
              <w:jc w:val="center"/>
              <w:rPr/>
            </w:pPr>
            <w:hyperlink r:id="rId157">
              <w:r>
                <w:rPr>
                  <w:rStyle w:val="InternetLink"/>
                </w:rPr>
                <w:t>8-K</w:t>
              </w:r>
            </w:hyperlink>
          </w:p>
        </w:tc>
        <w:tc>
          <w:tcPr>
            <w:tcW w:w="747" w:type="dxa"/>
            <w:tcBorders/>
            <w:shd w:fill="auto" w:val="clear"/>
            <w:vAlign w:val="center"/>
          </w:tcPr>
          <w:p>
            <w:pPr>
              <w:pStyle w:val="TableContents"/>
              <w:spacing w:before="0" w:after="283"/>
              <w:jc w:val="center"/>
              <w:rPr/>
            </w:pPr>
            <w:hyperlink r:id="rId158">
              <w:r>
                <w:rPr>
                  <w:rStyle w:val="InternetLink"/>
                </w:rPr>
                <w:t>001-37939</w:t>
              </w:r>
            </w:hyperlink>
          </w:p>
        </w:tc>
        <w:tc>
          <w:tcPr>
            <w:tcW w:w="440" w:type="dxa"/>
            <w:tcBorders/>
            <w:shd w:fill="auto" w:val="clear"/>
            <w:vAlign w:val="center"/>
          </w:tcPr>
          <w:p>
            <w:pPr>
              <w:pStyle w:val="TableContents"/>
              <w:spacing w:before="0" w:after="283"/>
              <w:jc w:val="center"/>
              <w:rPr/>
            </w:pPr>
            <w:hyperlink r:id="rId159">
              <w:r>
                <w:rPr>
                  <w:rStyle w:val="InternetLink"/>
                </w:rPr>
                <w:t>2.1</w:t>
              </w:r>
            </w:hyperlink>
          </w:p>
        </w:tc>
        <w:tc>
          <w:tcPr>
            <w:tcW w:w="640" w:type="dxa"/>
            <w:tcBorders/>
            <w:shd w:fill="auto" w:val="clear"/>
            <w:vAlign w:val="center"/>
          </w:tcPr>
          <w:p>
            <w:pPr>
              <w:pStyle w:val="TableContents"/>
              <w:spacing w:before="0" w:after="283"/>
              <w:jc w:val="center"/>
              <w:rPr/>
            </w:pPr>
            <w:hyperlink r:id="rId160">
              <w:r>
                <w:rPr>
                  <w:rStyle w:val="InternetLink"/>
                </w:rPr>
                <w:t>5/15/18</w:t>
              </w:r>
            </w:hyperlink>
          </w:p>
        </w:tc>
        <w:tc>
          <w:tcPr>
            <w:tcW w:w="216" w:type="dxa"/>
            <w:tcBorders/>
            <w:shd w:fill="auto" w:val="clear"/>
            <w:vAlign w:val="center"/>
          </w:tcPr>
          <w:p>
            <w:pPr>
              <w:pStyle w:val="TableContents"/>
              <w:spacing w:before="0" w:after="283"/>
              <w:jc w:val="center"/>
              <w:rPr/>
            </w:pPr>
            <w:r>
              <w:rPr/>
              <w:t> </w:t>
            </w:r>
          </w:p>
        </w:tc>
      </w:tr>
      <w:tr>
        <w:trPr/>
        <w:tc>
          <w:tcPr>
            <w:tcW w:w="455" w:type="dxa"/>
            <w:tcBorders/>
            <w:shd w:fill="auto" w:val="clear"/>
            <w:vAlign w:val="center"/>
          </w:tcPr>
          <w:p>
            <w:pPr>
              <w:pStyle w:val="TableContents"/>
              <w:spacing w:before="0" w:after="283"/>
              <w:jc w:val="center"/>
              <w:rPr/>
            </w:pPr>
            <w:hyperlink r:id="rId161">
              <w:r>
                <w:rPr>
                  <w:rStyle w:val="InternetLink"/>
                </w:rPr>
                <w:t>4.25</w:t>
              </w:r>
            </w:hyperlink>
          </w:p>
        </w:tc>
        <w:tc>
          <w:tcPr>
            <w:tcW w:w="7320" w:type="dxa"/>
            <w:tcBorders/>
            <w:shd w:fill="auto" w:val="clear"/>
            <w:vAlign w:val="center"/>
          </w:tcPr>
          <w:p>
            <w:pPr>
              <w:pStyle w:val="TableContents"/>
              <w:spacing w:before="0" w:after="283"/>
              <w:rPr/>
            </w:pPr>
            <w:hyperlink r:id="rId162">
              <w:r>
                <w:rPr>
                  <w:rStyle w:val="InternetLink"/>
                </w:rPr>
                <w:t>Description of Common Stock of Marker Therapeutics, Inc.</w:t>
              </w:r>
            </w:hyperlink>
          </w:p>
        </w:tc>
        <w:tc>
          <w:tcPr>
            <w:tcW w:w="387" w:type="dxa"/>
            <w:tcBorders/>
            <w:shd w:fill="auto" w:val="clear"/>
            <w:vAlign w:val="center"/>
          </w:tcPr>
          <w:p>
            <w:pPr>
              <w:pStyle w:val="TableContents"/>
              <w:spacing w:before="0" w:after="283"/>
              <w:jc w:val="center"/>
              <w:rPr/>
            </w:pPr>
            <w:hyperlink r:id="rId163">
              <w:r>
                <w:rPr>
                  <w:rStyle w:val="InternetLink"/>
                </w:rPr>
                <w:t>10-K</w:t>
              </w:r>
            </w:hyperlink>
          </w:p>
        </w:tc>
        <w:tc>
          <w:tcPr>
            <w:tcW w:w="747" w:type="dxa"/>
            <w:tcBorders/>
            <w:shd w:fill="auto" w:val="clear"/>
            <w:vAlign w:val="center"/>
          </w:tcPr>
          <w:p>
            <w:pPr>
              <w:pStyle w:val="TableContents"/>
              <w:spacing w:before="0" w:after="283"/>
              <w:jc w:val="center"/>
              <w:rPr/>
            </w:pPr>
            <w:hyperlink r:id="rId164">
              <w:r>
                <w:rPr>
                  <w:rStyle w:val="InternetLink"/>
                </w:rPr>
                <w:t>001-37939</w:t>
              </w:r>
            </w:hyperlink>
          </w:p>
        </w:tc>
        <w:tc>
          <w:tcPr>
            <w:tcW w:w="440" w:type="dxa"/>
            <w:tcBorders/>
            <w:shd w:fill="auto" w:val="clear"/>
            <w:vAlign w:val="center"/>
          </w:tcPr>
          <w:p>
            <w:pPr>
              <w:pStyle w:val="TableContents"/>
              <w:spacing w:before="0" w:after="283"/>
              <w:jc w:val="center"/>
              <w:rPr/>
            </w:pPr>
            <w:hyperlink r:id="rId165">
              <w:r>
                <w:rPr>
                  <w:rStyle w:val="InternetLink"/>
                </w:rPr>
                <w:t>4.25</w:t>
              </w:r>
            </w:hyperlink>
          </w:p>
        </w:tc>
        <w:tc>
          <w:tcPr>
            <w:tcW w:w="640" w:type="dxa"/>
            <w:tcBorders/>
            <w:shd w:fill="auto" w:val="clear"/>
            <w:vAlign w:val="center"/>
          </w:tcPr>
          <w:p>
            <w:pPr>
              <w:pStyle w:val="TableContents"/>
              <w:spacing w:before="0" w:after="283"/>
              <w:jc w:val="center"/>
              <w:rPr/>
            </w:pPr>
            <w:hyperlink r:id="rId166">
              <w:r>
                <w:rPr>
                  <w:rStyle w:val="InternetLink"/>
                </w:rPr>
                <w:t>3/12/2020</w:t>
              </w:r>
            </w:hyperlink>
          </w:p>
        </w:tc>
        <w:tc>
          <w:tcPr>
            <w:tcW w:w="216" w:type="dxa"/>
            <w:tcBorders/>
            <w:shd w:fill="auto" w:val="clear"/>
            <w:vAlign w:val="center"/>
          </w:tcPr>
          <w:p>
            <w:pPr>
              <w:pStyle w:val="TableContents"/>
              <w:spacing w:before="0" w:after="283"/>
              <w:jc w:val="center"/>
              <w:rPr/>
            </w:pPr>
            <w:r>
              <w:rPr/>
              <w:t> </w:t>
            </w:r>
          </w:p>
        </w:tc>
      </w:tr>
      <w:tr>
        <w:trPr/>
        <w:tc>
          <w:tcPr>
            <w:tcW w:w="455" w:type="dxa"/>
            <w:tcBorders/>
            <w:shd w:fill="auto" w:val="clear"/>
            <w:vAlign w:val="center"/>
          </w:tcPr>
          <w:p>
            <w:pPr>
              <w:pStyle w:val="TableContents"/>
              <w:spacing w:before="0" w:after="283"/>
              <w:jc w:val="center"/>
              <w:rPr/>
            </w:pPr>
            <w:hyperlink w:anchor="tm2022347d1_ex5-1.htm">
              <w:r>
                <w:rPr>
                  <w:rStyle w:val="InternetLink"/>
                </w:rPr>
                <w:t>5.1</w:t>
              </w:r>
            </w:hyperlink>
          </w:p>
        </w:tc>
        <w:tc>
          <w:tcPr>
            <w:tcW w:w="7320" w:type="dxa"/>
            <w:tcBorders/>
            <w:shd w:fill="auto" w:val="clear"/>
            <w:vAlign w:val="center"/>
          </w:tcPr>
          <w:p>
            <w:pPr>
              <w:pStyle w:val="TableContents"/>
              <w:spacing w:before="0" w:after="283"/>
              <w:rPr/>
            </w:pPr>
            <w:hyperlink w:anchor="tm2022347d1_ex5-1.htm">
              <w:r>
                <w:rPr>
                  <w:rStyle w:val="InternetLink"/>
                </w:rPr>
                <w:t>Opinion of Cooley LLP.</w:t>
              </w:r>
            </w:hyperlink>
          </w:p>
        </w:tc>
        <w:tc>
          <w:tcPr>
            <w:tcW w:w="387" w:type="dxa"/>
            <w:tcBorders/>
            <w:shd w:fill="auto" w:val="clear"/>
            <w:vAlign w:val="center"/>
          </w:tcPr>
          <w:p>
            <w:pPr>
              <w:pStyle w:val="TableContents"/>
              <w:spacing w:before="0" w:after="283"/>
              <w:jc w:val="center"/>
              <w:rPr/>
            </w:pPr>
            <w:r>
              <w:rPr/>
              <w:t> </w:t>
            </w:r>
          </w:p>
        </w:tc>
        <w:tc>
          <w:tcPr>
            <w:tcW w:w="747" w:type="dxa"/>
            <w:tcBorders/>
            <w:shd w:fill="auto" w:val="clear"/>
            <w:vAlign w:val="center"/>
          </w:tcPr>
          <w:p>
            <w:pPr>
              <w:pStyle w:val="TableContents"/>
              <w:spacing w:before="0" w:after="283"/>
              <w:jc w:val="center"/>
              <w:rPr/>
            </w:pPr>
            <w:r>
              <w:rPr/>
              <w:t> </w:t>
            </w:r>
          </w:p>
        </w:tc>
        <w:tc>
          <w:tcPr>
            <w:tcW w:w="440" w:type="dxa"/>
            <w:tcBorders/>
            <w:shd w:fill="auto" w:val="clear"/>
            <w:vAlign w:val="center"/>
          </w:tcPr>
          <w:p>
            <w:pPr>
              <w:pStyle w:val="TableContents"/>
              <w:spacing w:before="0" w:after="283"/>
              <w:jc w:val="center"/>
              <w:rPr/>
            </w:pPr>
            <w:r>
              <w:rPr/>
              <w:t> </w:t>
            </w:r>
          </w:p>
        </w:tc>
        <w:tc>
          <w:tcPr>
            <w:tcW w:w="640" w:type="dxa"/>
            <w:tcBorders/>
            <w:shd w:fill="auto" w:val="clear"/>
            <w:vAlign w:val="center"/>
          </w:tcPr>
          <w:p>
            <w:pPr>
              <w:pStyle w:val="TableContents"/>
              <w:spacing w:before="0" w:after="283"/>
              <w:jc w:val="center"/>
              <w:rPr/>
            </w:pPr>
            <w:r>
              <w:rPr/>
              <w:t> </w:t>
            </w:r>
          </w:p>
        </w:tc>
        <w:tc>
          <w:tcPr>
            <w:tcW w:w="216" w:type="dxa"/>
            <w:tcBorders/>
            <w:shd w:fill="auto" w:val="clear"/>
            <w:vAlign w:val="center"/>
          </w:tcPr>
          <w:p>
            <w:pPr>
              <w:pStyle w:val="TableContents"/>
              <w:spacing w:before="0" w:after="283"/>
              <w:jc w:val="center"/>
              <w:rPr/>
            </w:pPr>
            <w:hyperlink w:anchor="tm2022347d1_ex5-1.htm">
              <w:r>
                <w:rPr>
                  <w:rStyle w:val="InternetLink"/>
                </w:rPr>
                <w:t>X</w:t>
              </w:r>
            </w:hyperlink>
          </w:p>
        </w:tc>
      </w:tr>
      <w:tr>
        <w:trPr/>
        <w:tc>
          <w:tcPr>
            <w:tcW w:w="455" w:type="dxa"/>
            <w:tcBorders/>
            <w:shd w:fill="auto" w:val="clear"/>
            <w:vAlign w:val="center"/>
          </w:tcPr>
          <w:p>
            <w:pPr>
              <w:pStyle w:val="TableContents"/>
              <w:spacing w:before="0" w:after="283"/>
              <w:jc w:val="center"/>
              <w:rPr/>
            </w:pPr>
            <w:hyperlink w:anchor="tm2022347d1_ex23-1.htm">
              <w:r>
                <w:rPr>
                  <w:rStyle w:val="InternetLink"/>
                </w:rPr>
                <w:t>23.1</w:t>
              </w:r>
            </w:hyperlink>
          </w:p>
        </w:tc>
        <w:tc>
          <w:tcPr>
            <w:tcW w:w="7320" w:type="dxa"/>
            <w:tcBorders/>
            <w:shd w:fill="auto" w:val="clear"/>
            <w:vAlign w:val="center"/>
          </w:tcPr>
          <w:p>
            <w:pPr>
              <w:pStyle w:val="TableContents"/>
              <w:spacing w:before="0" w:after="283"/>
              <w:rPr/>
            </w:pPr>
            <w:hyperlink w:anchor="tm2022347d1_ex23-1.htm">
              <w:r>
                <w:rPr>
                  <w:rStyle w:val="InternetLink"/>
                </w:rPr>
                <w:t>Consent of Marcum LLP, an independent public accounting firm.</w:t>
              </w:r>
            </w:hyperlink>
          </w:p>
        </w:tc>
        <w:tc>
          <w:tcPr>
            <w:tcW w:w="387" w:type="dxa"/>
            <w:tcBorders/>
            <w:shd w:fill="auto" w:val="clear"/>
            <w:vAlign w:val="center"/>
          </w:tcPr>
          <w:p>
            <w:pPr>
              <w:pStyle w:val="TableContents"/>
              <w:spacing w:before="0" w:after="283"/>
              <w:jc w:val="center"/>
              <w:rPr/>
            </w:pPr>
            <w:r>
              <w:rPr/>
              <w:t> </w:t>
            </w:r>
          </w:p>
        </w:tc>
        <w:tc>
          <w:tcPr>
            <w:tcW w:w="747" w:type="dxa"/>
            <w:tcBorders/>
            <w:shd w:fill="auto" w:val="clear"/>
            <w:vAlign w:val="center"/>
          </w:tcPr>
          <w:p>
            <w:pPr>
              <w:pStyle w:val="TableContents"/>
              <w:spacing w:before="0" w:after="283"/>
              <w:jc w:val="center"/>
              <w:rPr/>
            </w:pPr>
            <w:r>
              <w:rPr/>
              <w:t> </w:t>
            </w:r>
          </w:p>
        </w:tc>
        <w:tc>
          <w:tcPr>
            <w:tcW w:w="440" w:type="dxa"/>
            <w:tcBorders/>
            <w:shd w:fill="auto" w:val="clear"/>
            <w:vAlign w:val="center"/>
          </w:tcPr>
          <w:p>
            <w:pPr>
              <w:pStyle w:val="TableContents"/>
              <w:spacing w:before="0" w:after="283"/>
              <w:jc w:val="center"/>
              <w:rPr/>
            </w:pPr>
            <w:r>
              <w:rPr/>
              <w:t> </w:t>
            </w:r>
          </w:p>
        </w:tc>
        <w:tc>
          <w:tcPr>
            <w:tcW w:w="640" w:type="dxa"/>
            <w:tcBorders/>
            <w:shd w:fill="auto" w:val="clear"/>
            <w:vAlign w:val="center"/>
          </w:tcPr>
          <w:p>
            <w:pPr>
              <w:pStyle w:val="TableContents"/>
              <w:spacing w:before="0" w:after="283"/>
              <w:jc w:val="center"/>
              <w:rPr/>
            </w:pPr>
            <w:r>
              <w:rPr/>
              <w:t> </w:t>
            </w:r>
          </w:p>
        </w:tc>
        <w:tc>
          <w:tcPr>
            <w:tcW w:w="216" w:type="dxa"/>
            <w:tcBorders/>
            <w:shd w:fill="auto" w:val="clear"/>
            <w:vAlign w:val="center"/>
          </w:tcPr>
          <w:p>
            <w:pPr>
              <w:pStyle w:val="TableContents"/>
              <w:spacing w:before="0" w:after="283"/>
              <w:jc w:val="center"/>
              <w:rPr/>
            </w:pPr>
            <w:hyperlink w:anchor="tm2022347d1_ex23-1.htm">
              <w:r>
                <w:rPr>
                  <w:rStyle w:val="InternetLink"/>
                </w:rPr>
                <w:t>X</w:t>
              </w:r>
            </w:hyperlink>
          </w:p>
        </w:tc>
      </w:tr>
      <w:tr>
        <w:trPr/>
        <w:tc>
          <w:tcPr>
            <w:tcW w:w="455" w:type="dxa"/>
            <w:tcBorders/>
            <w:shd w:fill="auto" w:val="clear"/>
            <w:vAlign w:val="center"/>
          </w:tcPr>
          <w:p>
            <w:pPr>
              <w:pStyle w:val="TableContents"/>
              <w:spacing w:before="0" w:after="283"/>
              <w:jc w:val="center"/>
              <w:rPr/>
            </w:pPr>
            <w:hyperlink w:anchor="tm2022347d1_ex5-1.htm">
              <w:r>
                <w:rPr>
                  <w:rStyle w:val="InternetLink"/>
                </w:rPr>
                <w:t>23.2</w:t>
              </w:r>
            </w:hyperlink>
          </w:p>
        </w:tc>
        <w:tc>
          <w:tcPr>
            <w:tcW w:w="7320" w:type="dxa"/>
            <w:tcBorders/>
            <w:shd w:fill="auto" w:val="clear"/>
            <w:vAlign w:val="center"/>
          </w:tcPr>
          <w:p>
            <w:pPr>
              <w:pStyle w:val="TableContents"/>
              <w:spacing w:before="0" w:after="283"/>
              <w:rPr/>
            </w:pPr>
            <w:hyperlink w:anchor="tm2022347d1_ex5-1.htm">
              <w:r>
                <w:rPr>
                  <w:rStyle w:val="InternetLink"/>
                </w:rPr>
                <w:t>Consent of Cooley LLP. Reference is made to Exhibit 5.1.</w:t>
              </w:r>
            </w:hyperlink>
          </w:p>
        </w:tc>
        <w:tc>
          <w:tcPr>
            <w:tcW w:w="387" w:type="dxa"/>
            <w:tcBorders/>
            <w:shd w:fill="auto" w:val="clear"/>
            <w:vAlign w:val="center"/>
          </w:tcPr>
          <w:p>
            <w:pPr>
              <w:pStyle w:val="TableContents"/>
              <w:spacing w:before="0" w:after="283"/>
              <w:jc w:val="center"/>
              <w:rPr/>
            </w:pPr>
            <w:r>
              <w:rPr/>
              <w:t> </w:t>
            </w:r>
          </w:p>
        </w:tc>
        <w:tc>
          <w:tcPr>
            <w:tcW w:w="747" w:type="dxa"/>
            <w:tcBorders/>
            <w:shd w:fill="auto" w:val="clear"/>
            <w:vAlign w:val="center"/>
          </w:tcPr>
          <w:p>
            <w:pPr>
              <w:pStyle w:val="TableContents"/>
              <w:spacing w:before="0" w:after="283"/>
              <w:jc w:val="center"/>
              <w:rPr/>
            </w:pPr>
            <w:r>
              <w:rPr/>
              <w:t> </w:t>
            </w:r>
          </w:p>
        </w:tc>
        <w:tc>
          <w:tcPr>
            <w:tcW w:w="440" w:type="dxa"/>
            <w:tcBorders/>
            <w:shd w:fill="auto" w:val="clear"/>
            <w:vAlign w:val="center"/>
          </w:tcPr>
          <w:p>
            <w:pPr>
              <w:pStyle w:val="TableContents"/>
              <w:spacing w:before="0" w:after="283"/>
              <w:jc w:val="center"/>
              <w:rPr/>
            </w:pPr>
            <w:r>
              <w:rPr/>
              <w:t> </w:t>
            </w:r>
          </w:p>
        </w:tc>
        <w:tc>
          <w:tcPr>
            <w:tcW w:w="640" w:type="dxa"/>
            <w:tcBorders/>
            <w:shd w:fill="auto" w:val="clear"/>
            <w:vAlign w:val="center"/>
          </w:tcPr>
          <w:p>
            <w:pPr>
              <w:pStyle w:val="TableContents"/>
              <w:spacing w:before="0" w:after="283"/>
              <w:jc w:val="center"/>
              <w:rPr/>
            </w:pPr>
            <w:r>
              <w:rPr/>
              <w:t> </w:t>
            </w:r>
          </w:p>
        </w:tc>
        <w:tc>
          <w:tcPr>
            <w:tcW w:w="216" w:type="dxa"/>
            <w:tcBorders/>
            <w:shd w:fill="auto" w:val="clear"/>
            <w:vAlign w:val="center"/>
          </w:tcPr>
          <w:p>
            <w:pPr>
              <w:pStyle w:val="TableContents"/>
              <w:spacing w:before="0" w:after="283"/>
              <w:jc w:val="center"/>
              <w:rPr/>
            </w:pPr>
            <w:hyperlink w:anchor="tm2022347d1_ex5-1.htm">
              <w:r>
                <w:rPr>
                  <w:rStyle w:val="InternetLink"/>
                </w:rPr>
                <w:t>X</w:t>
              </w:r>
            </w:hyperlink>
          </w:p>
        </w:tc>
      </w:tr>
      <w:tr>
        <w:trPr/>
        <w:tc>
          <w:tcPr>
            <w:tcW w:w="455" w:type="dxa"/>
            <w:tcBorders/>
            <w:shd w:fill="auto" w:val="clear"/>
            <w:vAlign w:val="center"/>
          </w:tcPr>
          <w:p>
            <w:pPr>
              <w:pStyle w:val="TableContents"/>
              <w:spacing w:before="0" w:after="283"/>
              <w:jc w:val="center"/>
              <w:rPr/>
            </w:pPr>
            <w:hyperlink w:anchor="poa">
              <w:r>
                <w:rPr>
                  <w:rStyle w:val="InternetLink"/>
                </w:rPr>
                <w:t>24.1</w:t>
              </w:r>
            </w:hyperlink>
          </w:p>
        </w:tc>
        <w:tc>
          <w:tcPr>
            <w:tcW w:w="7320" w:type="dxa"/>
            <w:tcBorders/>
            <w:shd w:fill="auto" w:val="clear"/>
            <w:vAlign w:val="center"/>
          </w:tcPr>
          <w:p>
            <w:pPr>
              <w:pStyle w:val="TableContents"/>
              <w:spacing w:before="0" w:after="283"/>
              <w:rPr/>
            </w:pPr>
            <w:hyperlink w:anchor="poa">
              <w:r>
                <w:rPr>
                  <w:rStyle w:val="InternetLink"/>
                </w:rPr>
                <w:t>Power of Attorney (included on signature page).</w:t>
              </w:r>
            </w:hyperlink>
          </w:p>
        </w:tc>
        <w:tc>
          <w:tcPr>
            <w:tcW w:w="387" w:type="dxa"/>
            <w:tcBorders/>
            <w:shd w:fill="auto" w:val="clear"/>
            <w:vAlign w:val="center"/>
          </w:tcPr>
          <w:p>
            <w:pPr>
              <w:pStyle w:val="TableContents"/>
              <w:spacing w:before="0" w:after="283"/>
              <w:rPr/>
            </w:pPr>
            <w:r>
              <w:rPr/>
              <w:t> </w:t>
            </w:r>
          </w:p>
        </w:tc>
        <w:tc>
          <w:tcPr>
            <w:tcW w:w="747"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rPr/>
            </w:pPr>
            <w:r>
              <w:rPr/>
              <w:t> </w:t>
            </w:r>
          </w:p>
        </w:tc>
        <w:tc>
          <w:tcPr>
            <w:tcW w:w="640"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jc w:val="center"/>
              <w:rPr/>
            </w:pPr>
            <w:hyperlink w:anchor="poa">
              <w:r>
                <w:rPr>
                  <w:rStyle w:val="InternetLink"/>
                </w:rPr>
                <w:t>X</w:t>
              </w:r>
            </w:hyperlink>
          </w:p>
        </w:tc>
      </w:tr>
      <w:tr>
        <w:trPr/>
        <w:tc>
          <w:tcPr>
            <w:tcW w:w="455" w:type="dxa"/>
            <w:tcBorders/>
            <w:shd w:fill="auto" w:val="clear"/>
            <w:vAlign w:val="center"/>
          </w:tcPr>
          <w:p>
            <w:pPr>
              <w:pStyle w:val="TableContents"/>
              <w:spacing w:before="0" w:after="283"/>
              <w:jc w:val="center"/>
              <w:rPr/>
            </w:pPr>
            <w:hyperlink w:anchor="tm2022347d1_ex99-1.htm">
              <w:r>
                <w:rPr>
                  <w:rStyle w:val="InternetLink"/>
                </w:rPr>
                <w:t>99.1</w:t>
              </w:r>
            </w:hyperlink>
          </w:p>
        </w:tc>
        <w:tc>
          <w:tcPr>
            <w:tcW w:w="7320" w:type="dxa"/>
            <w:tcBorders/>
            <w:shd w:fill="auto" w:val="clear"/>
            <w:vAlign w:val="center"/>
          </w:tcPr>
          <w:p>
            <w:pPr>
              <w:pStyle w:val="TableContents"/>
              <w:spacing w:before="0" w:after="283"/>
              <w:rPr/>
            </w:pPr>
            <w:hyperlink w:anchor="tm2022347d1_ex99-1.htm">
              <w:r>
                <w:rPr>
                  <w:rStyle w:val="InternetLink"/>
                </w:rPr>
                <w:t>Marker Therapeutics, Inc. 2020 Equity Incentive Plan and forms of stock option grant notice, stock option agreement and notice of exercise, and forms of restricted stock award notice and restricted stock award agreement thereunder.</w:t>
              </w:r>
            </w:hyperlink>
          </w:p>
        </w:tc>
        <w:tc>
          <w:tcPr>
            <w:tcW w:w="387" w:type="dxa"/>
            <w:tcBorders/>
            <w:shd w:fill="auto" w:val="clear"/>
            <w:vAlign w:val="center"/>
          </w:tcPr>
          <w:p>
            <w:pPr>
              <w:pStyle w:val="TableContents"/>
              <w:spacing w:before="0" w:after="283"/>
              <w:jc w:val="center"/>
              <w:rPr/>
            </w:pPr>
            <w:r>
              <w:rPr/>
              <w:t> </w:t>
            </w:r>
          </w:p>
        </w:tc>
        <w:tc>
          <w:tcPr>
            <w:tcW w:w="747" w:type="dxa"/>
            <w:tcBorders/>
            <w:shd w:fill="auto" w:val="clear"/>
            <w:vAlign w:val="center"/>
          </w:tcPr>
          <w:p>
            <w:pPr>
              <w:pStyle w:val="TableContents"/>
              <w:spacing w:before="0" w:after="283"/>
              <w:jc w:val="center"/>
              <w:rPr/>
            </w:pPr>
            <w:r>
              <w:rPr/>
              <w:t> </w:t>
            </w:r>
          </w:p>
        </w:tc>
        <w:tc>
          <w:tcPr>
            <w:tcW w:w="440" w:type="dxa"/>
            <w:tcBorders/>
            <w:shd w:fill="auto" w:val="clear"/>
            <w:vAlign w:val="center"/>
          </w:tcPr>
          <w:p>
            <w:pPr>
              <w:pStyle w:val="TableContents"/>
              <w:spacing w:before="0" w:after="283"/>
              <w:jc w:val="center"/>
              <w:rPr/>
            </w:pPr>
            <w:r>
              <w:rPr/>
              <w:t> </w:t>
            </w:r>
          </w:p>
        </w:tc>
        <w:tc>
          <w:tcPr>
            <w:tcW w:w="640" w:type="dxa"/>
            <w:tcBorders/>
            <w:shd w:fill="auto" w:val="clear"/>
            <w:vAlign w:val="center"/>
          </w:tcPr>
          <w:p>
            <w:pPr>
              <w:pStyle w:val="TableContents"/>
              <w:spacing w:before="0" w:after="283"/>
              <w:jc w:val="center"/>
              <w:rPr/>
            </w:pPr>
            <w:r>
              <w:rPr/>
              <w:t> </w:t>
            </w:r>
          </w:p>
        </w:tc>
        <w:tc>
          <w:tcPr>
            <w:tcW w:w="216" w:type="dxa"/>
            <w:tcBorders/>
            <w:shd w:fill="auto" w:val="clear"/>
            <w:vAlign w:val="center"/>
          </w:tcPr>
          <w:p>
            <w:pPr>
              <w:pStyle w:val="TableContents"/>
              <w:spacing w:before="0" w:after="283"/>
              <w:jc w:val="center"/>
              <w:rPr/>
            </w:pPr>
            <w:hyperlink w:anchor="tm2022347d1_ex99-1.htm">
              <w:r>
                <w:rPr>
                  <w:rStyle w:val="InternetLink"/>
                </w:rPr>
                <w:t>X</w:t>
              </w:r>
            </w:hyperlink>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 Undertakings. </w:t>
      </w:r>
    </w:p>
    <w:p>
      <w:pPr>
        <w:pStyle w:val="TextBody"/>
        <w:spacing w:before="0" w:after="0"/>
        <w:ind w:left="0" w:right="0" w:hanging="0"/>
        <w:rPr>
          <w:caps w:val="false"/>
          <w:smallCaps w:val="false"/>
        </w:rPr>
      </w:pPr>
      <w:r>
        <w:rPr>
          <w:caps w:val="false"/>
          <w:smallCaps w:val="false"/>
        </w:rPr>
        <w:t> </w:t>
      </w:r>
    </w:p>
    <w:tbl>
      <w:tblPr>
        <w:tblW w:w="4840" w:type="dxa"/>
        <w:jc w:val="left"/>
        <w:tblInd w:w="0" w:type="dxa"/>
        <w:tblCellMar>
          <w:top w:w="0" w:type="dxa"/>
          <w:left w:w="0" w:type="dxa"/>
          <w:bottom w:w="0" w:type="dxa"/>
          <w:right w:w="0" w:type="dxa"/>
        </w:tblCellMar>
      </w:tblPr>
      <w:tblGrid>
        <w:gridCol w:w="290"/>
        <w:gridCol w:w="4550"/>
      </w:tblGrid>
      <w:tr>
        <w:trPr/>
        <w:tc>
          <w:tcPr>
            <w:tcW w:w="290" w:type="dxa"/>
            <w:tcBorders/>
            <w:shd w:fill="auto" w:val="clear"/>
            <w:vAlign w:val="center"/>
          </w:tcPr>
          <w:p>
            <w:pPr>
              <w:pStyle w:val="TableContents"/>
              <w:spacing w:before="0" w:after="283"/>
              <w:rPr/>
            </w:pPr>
            <w:r>
              <w:rPr/>
              <w:t>(a)</w:t>
            </w:r>
          </w:p>
        </w:tc>
        <w:tc>
          <w:tcPr>
            <w:tcW w:w="4550" w:type="dxa"/>
            <w:tcBorders/>
            <w:shd w:fill="auto" w:val="clear"/>
            <w:vAlign w:val="center"/>
          </w:tcPr>
          <w:p>
            <w:pPr>
              <w:pStyle w:val="TableContents"/>
              <w:spacing w:before="0" w:after="283"/>
              <w:rPr/>
            </w:pPr>
            <w:r>
              <w:rPr/>
              <w:t xml:space="preserve">The undersigned Registrant hereby undertakes: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276"/>
        <w:gridCol w:w="9854"/>
      </w:tblGrid>
      <w:tr>
        <w:trPr/>
        <w:tc>
          <w:tcPr>
            <w:tcW w:w="75" w:type="dxa"/>
            <w:tcBorders/>
            <w:shd w:fill="auto" w:val="clear"/>
            <w:vAlign w:val="center"/>
          </w:tcPr>
          <w:p>
            <w:pPr>
              <w:pStyle w:val="TableContents"/>
              <w:spacing w:before="0" w:after="283"/>
              <w:rPr/>
            </w:pPr>
            <w:r>
              <w:rPr/>
              <w:t> </w:t>
            </w:r>
          </w:p>
        </w:tc>
        <w:tc>
          <w:tcPr>
            <w:tcW w:w="276" w:type="dxa"/>
            <w:tcBorders/>
            <w:shd w:fill="auto" w:val="clear"/>
            <w:vAlign w:val="center"/>
          </w:tcPr>
          <w:p>
            <w:pPr>
              <w:pStyle w:val="TableContents"/>
              <w:spacing w:before="0" w:after="283"/>
              <w:rPr/>
            </w:pPr>
            <w:r>
              <w:rPr/>
              <w:t>(1)</w:t>
            </w:r>
          </w:p>
        </w:tc>
        <w:tc>
          <w:tcPr>
            <w:tcW w:w="9854" w:type="dxa"/>
            <w:tcBorders/>
            <w:shd w:fill="auto" w:val="clear"/>
            <w:vAlign w:val="center"/>
          </w:tcPr>
          <w:p>
            <w:pPr>
              <w:pStyle w:val="TableContents"/>
              <w:spacing w:before="0" w:after="283"/>
              <w:rPr/>
            </w:pPr>
            <w:r>
              <w:rPr/>
              <w:t xml:space="preserve">To file, during any period in which offers or sales are being made, a post-effective amendment to this registration statement: </w:t>
            </w:r>
          </w:p>
        </w:tc>
      </w:tr>
    </w:tbl>
    <w:p>
      <w:pPr>
        <w:pStyle w:val="TextBody"/>
        <w:spacing w:before="0" w:after="0"/>
        <w:ind w:left="0" w:right="0" w:hanging="0"/>
        <w:rPr>
          <w:caps w:val="false"/>
          <w:smallCaps w:val="false"/>
        </w:rPr>
      </w:pPr>
      <w:r>
        <w:rPr>
          <w:caps w:val="false"/>
          <w:smallCaps w:val="false"/>
        </w:rPr>
        <w:t> </w:t>
      </w:r>
    </w:p>
    <w:tbl>
      <w:tblPr>
        <w:tblW w:w="7660" w:type="dxa"/>
        <w:jc w:val="left"/>
        <w:tblInd w:w="0" w:type="dxa"/>
        <w:tblCellMar>
          <w:top w:w="0" w:type="dxa"/>
          <w:left w:w="0" w:type="dxa"/>
          <w:bottom w:w="0" w:type="dxa"/>
          <w:right w:w="0" w:type="dxa"/>
        </w:tblCellMar>
      </w:tblPr>
      <w:tblGrid>
        <w:gridCol w:w="75"/>
        <w:gridCol w:w="230"/>
        <w:gridCol w:w="7355"/>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(i)</w:t>
            </w:r>
          </w:p>
        </w:tc>
        <w:tc>
          <w:tcPr>
            <w:tcW w:w="7355" w:type="dxa"/>
            <w:tcBorders/>
            <w:shd w:fill="auto" w:val="clear"/>
            <w:vAlign w:val="center"/>
          </w:tcPr>
          <w:p>
            <w:pPr>
              <w:pStyle w:val="TableContents"/>
              <w:spacing w:before="0" w:after="283"/>
              <w:rPr/>
            </w:pPr>
            <w:r>
              <w:rPr/>
              <w:t xml:space="preserve">To include any prospectus required by Section 10(a)(3) of the Securities Act;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222"/>
        <w:gridCol w:w="9908"/>
      </w:tblGrid>
      <w:tr>
        <w:trPr/>
        <w:tc>
          <w:tcPr>
            <w:tcW w:w="75" w:type="dxa"/>
            <w:tcBorders/>
            <w:shd w:fill="auto" w:val="clear"/>
            <w:vAlign w:val="center"/>
          </w:tcPr>
          <w:p>
            <w:pPr>
              <w:pStyle w:val="TableContents"/>
              <w:spacing w:before="0" w:after="283"/>
              <w:rPr/>
            </w:pPr>
            <w:r>
              <w:rPr/>
              <w:t> </w:t>
            </w:r>
          </w:p>
        </w:tc>
        <w:tc>
          <w:tcPr>
            <w:tcW w:w="222" w:type="dxa"/>
            <w:tcBorders/>
            <w:shd w:fill="auto" w:val="clear"/>
            <w:vAlign w:val="center"/>
          </w:tcPr>
          <w:p>
            <w:pPr>
              <w:pStyle w:val="TableContents"/>
              <w:spacing w:before="0" w:after="283"/>
              <w:rPr/>
            </w:pPr>
            <w:r>
              <w:rPr/>
              <w:t>(ii)</w:t>
            </w:r>
          </w:p>
        </w:tc>
        <w:tc>
          <w:tcPr>
            <w:tcW w:w="9908" w:type="dxa"/>
            <w:tcBorders/>
            <w:shd w:fill="auto" w:val="clear"/>
            <w:vAlign w:val="center"/>
          </w:tcPr>
          <w:p>
            <w:pPr>
              <w:pStyle w:val="TableContents"/>
              <w:spacing w:before="0" w:after="283"/>
              <w:rPr/>
            </w:pPr>
            <w:r>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311"/>
        <w:gridCol w:w="9819"/>
      </w:tblGrid>
      <w:tr>
        <w:trPr/>
        <w:tc>
          <w:tcPr>
            <w:tcW w:w="75" w:type="dxa"/>
            <w:tcBorders/>
            <w:shd w:fill="auto" w:val="clear"/>
            <w:vAlign w:val="center"/>
          </w:tcPr>
          <w:p>
            <w:pPr>
              <w:pStyle w:val="TableContents"/>
              <w:spacing w:before="0" w:after="283"/>
              <w:rPr/>
            </w:pPr>
            <w:r>
              <w:rPr/>
              <w:t> </w:t>
            </w:r>
          </w:p>
        </w:tc>
        <w:tc>
          <w:tcPr>
            <w:tcW w:w="311" w:type="dxa"/>
            <w:tcBorders/>
            <w:shd w:fill="auto" w:val="clear"/>
            <w:vAlign w:val="center"/>
          </w:tcPr>
          <w:p>
            <w:pPr>
              <w:pStyle w:val="TableContents"/>
              <w:spacing w:before="0" w:after="283"/>
              <w:rPr/>
            </w:pPr>
            <w:r>
              <w:rPr/>
              <w:t>(iii)</w:t>
            </w:r>
          </w:p>
        </w:tc>
        <w:tc>
          <w:tcPr>
            <w:tcW w:w="9819" w:type="dxa"/>
            <w:tcBorders/>
            <w:shd w:fill="auto" w:val="clear"/>
            <w:vAlign w:val="center"/>
          </w:tcPr>
          <w:p>
            <w:pPr>
              <w:pStyle w:val="TableContents"/>
              <w:spacing w:before="0" w:after="283"/>
              <w:rPr/>
            </w:pPr>
            <w:r>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spacing w:before="0" w:after="0"/>
        <w:ind w:left="0" w:right="0" w:hanging="0"/>
        <w:rPr>
          <w:caps w:val="false"/>
          <w:smallCaps w:val="false"/>
        </w:rPr>
      </w:pPr>
      <w:r>
        <w:rPr>
          <w:caps w:val="false"/>
          <w:smallCaps w:val="false"/>
        </w:rPr>
        <w:t> </w:t>
      </w:r>
    </w:p>
    <w:p>
      <w:pPr>
        <w:pStyle w:val="TextBody"/>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paragraphs (a)(1)(i) and (a)(1)(ii) do not apply if the registration statement is on Form S-8, and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and</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238"/>
        <w:gridCol w:w="9892"/>
      </w:tblGrid>
      <w:tr>
        <w:trPr/>
        <w:tc>
          <w:tcPr>
            <w:tcW w:w="75"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283"/>
              <w:rPr/>
            </w:pPr>
            <w:r>
              <w:rPr/>
              <w:t>(2)</w:t>
            </w:r>
          </w:p>
        </w:tc>
        <w:tc>
          <w:tcPr>
            <w:tcW w:w="9892" w:type="dxa"/>
            <w:tcBorders/>
            <w:shd w:fill="auto" w:val="clear"/>
            <w:vAlign w:val="center"/>
          </w:tcPr>
          <w:p>
            <w:pPr>
              <w:pStyle w:val="TableContents"/>
              <w:spacing w:before="0" w:after="283"/>
              <w:rPr/>
            </w:pPr>
            <w:r>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i/>
              </w:rPr>
              <w:t>bona fide</w:t>
            </w:r>
            <w:r>
              <w:rPr/>
              <w:t xml:space="preserve"> offering thereof.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260"/>
        <w:gridCol w:w="9870"/>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rPr/>
            </w:pPr>
            <w:r>
              <w:rPr/>
              <w:t>(3)</w:t>
            </w:r>
          </w:p>
        </w:tc>
        <w:tc>
          <w:tcPr>
            <w:tcW w:w="9870" w:type="dxa"/>
            <w:tcBorders/>
            <w:shd w:fill="auto" w:val="clear"/>
            <w:vAlign w:val="center"/>
          </w:tcPr>
          <w:p>
            <w:pPr>
              <w:pStyle w:val="TableContents"/>
              <w:spacing w:before="0" w:after="283"/>
              <w:rPr/>
            </w:pPr>
            <w:r>
              <w:rPr/>
              <w:t xml:space="preserve">To remove from registration by means of a post-effective amendment any of the securities being registered which remain unsold at the termination of the offering. </w:t>
            </w:r>
          </w:p>
        </w:tc>
      </w:tr>
    </w:tbl>
    <w:p>
      <w:pPr>
        <w:pStyle w:val="TextBody"/>
        <w:rPr/>
      </w:pPr>
      <w:r>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t>  </w:t>
      </w:r>
    </w:p>
    <w:tbl>
      <w:tblPr>
        <w:tblW w:w="10205" w:type="dxa"/>
        <w:jc w:val="left"/>
        <w:tblInd w:w="0" w:type="dxa"/>
        <w:tblCellMar>
          <w:top w:w="0" w:type="dxa"/>
          <w:left w:w="0" w:type="dxa"/>
          <w:bottom w:w="0" w:type="dxa"/>
          <w:right w:w="0" w:type="dxa"/>
        </w:tblCellMar>
      </w:tblPr>
      <w:tblGrid>
        <w:gridCol w:w="241"/>
        <w:gridCol w:w="9964"/>
      </w:tblGrid>
      <w:tr>
        <w:trPr/>
        <w:tc>
          <w:tcPr>
            <w:tcW w:w="241" w:type="dxa"/>
            <w:tcBorders/>
            <w:shd w:fill="auto" w:val="clear"/>
            <w:vAlign w:val="center"/>
          </w:tcPr>
          <w:p>
            <w:pPr>
              <w:pStyle w:val="TableContents"/>
              <w:spacing w:before="0" w:after="283"/>
              <w:rPr/>
            </w:pPr>
            <w:r>
              <w:rPr/>
              <w:t>(b)</w:t>
            </w:r>
          </w:p>
        </w:tc>
        <w:tc>
          <w:tcPr>
            <w:tcW w:w="9964" w:type="dxa"/>
            <w:tcBorders/>
            <w:shd w:fill="auto" w:val="clear"/>
            <w:vAlign w:val="center"/>
          </w:tcPr>
          <w:p>
            <w:pPr>
              <w:pStyle w:val="TableContents"/>
              <w:spacing w:before="0" w:after="283"/>
              <w:rPr/>
            </w:pPr>
            <w:r>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i/>
              </w:rPr>
              <w:t>bona fide</w:t>
            </w:r>
            <w:r>
              <w:rPr/>
              <w:t xml:space="preserve"> offering thereof.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21"/>
        <w:gridCol w:w="9984"/>
      </w:tblGrid>
      <w:tr>
        <w:trPr/>
        <w:tc>
          <w:tcPr>
            <w:tcW w:w="221" w:type="dxa"/>
            <w:tcBorders/>
            <w:shd w:fill="auto" w:val="clear"/>
            <w:vAlign w:val="center"/>
          </w:tcPr>
          <w:p>
            <w:pPr>
              <w:pStyle w:val="TableContents"/>
              <w:spacing w:before="0" w:after="283"/>
              <w:rPr/>
            </w:pPr>
            <w:r>
              <w:rPr/>
              <w:t>(c)</w:t>
            </w:r>
          </w:p>
        </w:tc>
        <w:tc>
          <w:tcPr>
            <w:tcW w:w="9984" w:type="dxa"/>
            <w:tcBorders/>
            <w:shd w:fill="auto" w:val="clear"/>
            <w:vAlign w:val="center"/>
          </w:tcPr>
          <w:p>
            <w:pPr>
              <w:pStyle w:val="TableContents"/>
              <w:spacing w:before="0" w:after="283"/>
              <w:rPr/>
            </w:pPr>
            <w:r>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46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Houston, State of Texas, on June 12, 2020.</w:t>
      </w:r>
    </w:p>
    <w:p>
      <w:pPr>
        <w:pStyle w:val="TextBody"/>
        <w:spacing w:before="0" w:after="0"/>
        <w:ind w:left="0" w:right="0" w:hanging="0"/>
        <w:rPr>
          <w:caps w:val="false"/>
          <w:smallCaps w:val="false"/>
        </w:rPr>
      </w:pPr>
      <w:r>
        <w:rPr>
          <w:caps w:val="false"/>
          <w:smallCaps w:val="false"/>
        </w:rPr>
        <w:t> </w:t>
      </w:r>
    </w:p>
    <w:tbl>
      <w:tblPr>
        <w:tblW w:w="5590" w:type="dxa"/>
        <w:jc w:val="left"/>
        <w:tblInd w:w="0" w:type="dxa"/>
        <w:tblCellMar>
          <w:top w:w="0" w:type="dxa"/>
          <w:left w:w="0" w:type="dxa"/>
          <w:bottom w:w="0" w:type="dxa"/>
          <w:right w:w="0" w:type="dxa"/>
        </w:tblCellMar>
      </w:tblPr>
      <w:tblGrid>
        <w:gridCol w:w="380"/>
        <w:gridCol w:w="60"/>
        <w:gridCol w:w="5075"/>
        <w:gridCol w:w="75"/>
      </w:tblGrid>
      <w:tr>
        <w:trPr/>
        <w:tc>
          <w:tcPr>
            <w:tcW w:w="5515" w:type="dxa"/>
            <w:gridSpan w:val="3"/>
            <w:tcBorders/>
            <w:shd w:fill="auto" w:val="clear"/>
            <w:vAlign w:val="center"/>
          </w:tcPr>
          <w:p>
            <w:pPr>
              <w:pStyle w:val="TableContents"/>
              <w:spacing w:before="0" w:after="283"/>
              <w:rPr>
                <w:b/>
                <w:smallCaps/>
              </w:rPr>
            </w:pPr>
            <w:r>
              <w:rPr>
                <w:b/>
                <w:smallCaps/>
              </w:rPr>
              <w:t>Marker Therapeutics, Inc.</w:t>
            </w:r>
          </w:p>
        </w:tc>
        <w:tc>
          <w:tcPr>
            <w:tcW w:w="7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283"/>
              <w:rPr/>
            </w:pPr>
            <w:r>
              <w:rPr/>
              <w:t> </w:t>
            </w:r>
          </w:p>
        </w:tc>
        <w:tc>
          <w:tcPr>
            <w:tcW w:w="5135"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283"/>
              <w:rPr/>
            </w:pPr>
            <w:r>
              <w:rPr/>
              <w:t>By:</w:t>
            </w:r>
          </w:p>
        </w:tc>
        <w:tc>
          <w:tcPr>
            <w:tcW w:w="60" w:type="dxa"/>
            <w:tcBorders/>
            <w:shd w:fill="auto" w:val="clear"/>
            <w:vAlign w:val="center"/>
          </w:tcPr>
          <w:p>
            <w:pPr>
              <w:pStyle w:val="TableContents"/>
              <w:spacing w:before="0" w:after="283"/>
              <w:rPr/>
            </w:pPr>
            <w:r>
              <w:rPr/>
              <w:t> </w:t>
            </w:r>
          </w:p>
        </w:tc>
        <w:tc>
          <w:tcPr>
            <w:tcW w:w="5075" w:type="dxa"/>
            <w:tcBorders/>
            <w:shd w:fill="auto" w:val="clear"/>
            <w:vAlign w:val="center"/>
          </w:tcPr>
          <w:p>
            <w:pPr>
              <w:pStyle w:val="TableContents"/>
              <w:pBdr>
                <w:bottom w:val="single" w:sz="6" w:space="1" w:color="000000"/>
              </w:pBd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Peter Hoang</w:t>
            </w:r>
          </w:p>
        </w:tc>
        <w:tc>
          <w:tcPr>
            <w:tcW w:w="75" w:type="dxa"/>
            <w:tcBorders/>
            <w:shd w:fill="auto" w:val="clear"/>
            <w:vAlign w:val="center"/>
          </w:tcPr>
          <w:p>
            <w:pPr>
              <w:pStyle w:val="TableContents"/>
              <w:spacing w:before="0" w:after="283"/>
              <w:rPr>
                <w:sz w:val="4"/>
                <w:szCs w:val="4"/>
              </w:rPr>
            </w:pPr>
            <w:r>
              <w:rPr>
                <w:sz w:val="4"/>
                <w:szCs w:val="4"/>
              </w:rPr>
            </w:r>
          </w:p>
        </w:tc>
      </w:tr>
      <w:tr>
        <w:trPr/>
        <w:tc>
          <w:tcPr>
            <w:tcW w:w="3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75" w:type="dxa"/>
            <w:tcBorders/>
            <w:shd w:fill="auto" w:val="clear"/>
            <w:vAlign w:val="center"/>
          </w:tcPr>
          <w:p>
            <w:pPr>
              <w:pStyle w:val="TableContents"/>
              <w:spacing w:before="0" w:after="283"/>
              <w:rPr/>
            </w:pPr>
            <w:r>
              <w:rPr/>
              <w:t>Peter Hoang</w:t>
            </w:r>
          </w:p>
        </w:tc>
        <w:tc>
          <w:tcPr>
            <w:tcW w:w="7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75" w:type="dxa"/>
            <w:tcBorders/>
            <w:shd w:fill="auto" w:val="clear"/>
            <w:vAlign w:val="center"/>
          </w:tcPr>
          <w:p>
            <w:pPr>
              <w:pStyle w:val="TableContents"/>
              <w:spacing w:before="0" w:after="283"/>
              <w:rPr/>
            </w:pPr>
            <w:r>
              <w:rPr/>
              <w:t>Chief Executive Officer (Principal Executive Officer)</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2" w:name="poa"/>
      <w:bookmarkEnd w:id="2"/>
      <w:r>
        <w:rPr>
          <w:rFonts w:ascii="Times New Roman;Times;Serif" w:hAnsi="Times New Roman;Times;Serif"/>
          <w:b/>
          <w:i w:val="false"/>
          <w:caps w:val="false"/>
          <w:smallCaps w:val="false"/>
          <w:sz w:val="20"/>
        </w:rPr>
        <w:t>POWER OF ATTORNEY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each person whose signature appears below constitutes and appoints Richard A. Fair, as his true and lawful attorney-in-fact and agent, with the full power of substitution, for him and in his name, place or stead, in any and all capacities, to sign any and all amendments to this Registration Statement (including post-effective amendments), and to file the same, with exhibits thereto and other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substitute or substitutes, may lawfully do or cause to be done by virtue hereof.</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in the capacities and on the dates indicated.</w:t>
      </w:r>
    </w:p>
    <w:p>
      <w:pPr>
        <w:pStyle w:val="TextBody"/>
        <w:spacing w:before="0" w:after="0"/>
        <w:ind w:left="0" w:right="0" w:firstLine="720"/>
        <w:jc w:val="both"/>
        <w:rPr>
          <w:caps w:val="false"/>
          <w:smallCaps w:val="false"/>
        </w:rPr>
      </w:pPr>
      <w:r>
        <w:rPr>
          <w:caps w:val="false"/>
          <w:smallCaps w:val="false"/>
        </w:rPr>
        <w:t> </w:t>
      </w:r>
    </w:p>
    <w:tbl>
      <w:tblPr>
        <w:tblW w:w="8460" w:type="dxa"/>
        <w:jc w:val="left"/>
        <w:tblInd w:w="0" w:type="dxa"/>
        <w:tblCellMar>
          <w:top w:w="0" w:type="dxa"/>
          <w:left w:w="0" w:type="dxa"/>
          <w:bottom w:w="28" w:type="dxa"/>
          <w:right w:w="0" w:type="dxa"/>
        </w:tblCellMar>
      </w:tblPr>
      <w:tblGrid>
        <w:gridCol w:w="2450"/>
        <w:gridCol w:w="60"/>
        <w:gridCol w:w="4520"/>
        <w:gridCol w:w="60"/>
        <w:gridCol w:w="1370"/>
      </w:tblGrid>
      <w:tr>
        <w:trPr/>
        <w:tc>
          <w:tcPr>
            <w:tcW w:w="2450" w:type="dxa"/>
            <w:tcBorders>
              <w:bottom w:val="single" w:sz="8" w:space="0" w:color="000000"/>
            </w:tcBorders>
            <w:shd w:fill="auto" w:val="clear"/>
            <w:vAlign w:val="center"/>
          </w:tcPr>
          <w:p>
            <w:pPr>
              <w:pStyle w:val="TableContents"/>
              <w:spacing w:before="0" w:after="283"/>
              <w:jc w:val="center"/>
              <w:rPr>
                <w:b/>
              </w:rPr>
            </w:pPr>
            <w:r>
              <w:rPr>
                <w:b/>
              </w:rPr>
              <w:t>Signature</w:t>
            </w:r>
          </w:p>
        </w:tc>
        <w:tc>
          <w:tcPr>
            <w:tcW w:w="60" w:type="dxa"/>
            <w:tcBorders/>
            <w:shd w:fill="auto" w:val="clear"/>
            <w:tcMar>
              <w:bottom w:w="0" w:type="dxa"/>
            </w:tcMar>
            <w:vAlign w:val="center"/>
          </w:tcPr>
          <w:p>
            <w:pPr>
              <w:pStyle w:val="TableContents"/>
              <w:spacing w:before="0" w:after="283"/>
              <w:rPr/>
            </w:pPr>
            <w:r>
              <w:rPr/>
              <w:t> </w:t>
            </w:r>
          </w:p>
        </w:tc>
        <w:tc>
          <w:tcPr>
            <w:tcW w:w="4520" w:type="dxa"/>
            <w:tcBorders>
              <w:bottom w:val="single" w:sz="8" w:space="0" w:color="000000"/>
            </w:tcBorders>
            <w:shd w:fill="auto" w:val="clear"/>
            <w:vAlign w:val="center"/>
          </w:tcPr>
          <w:p>
            <w:pPr>
              <w:pStyle w:val="TableContents"/>
              <w:spacing w:before="0" w:after="283"/>
              <w:jc w:val="center"/>
              <w:rPr>
                <w:b/>
              </w:rPr>
            </w:pPr>
            <w:r>
              <w:rPr>
                <w:b/>
              </w:rPr>
              <w:t>Title</w:t>
            </w:r>
          </w:p>
        </w:tc>
        <w:tc>
          <w:tcPr>
            <w:tcW w:w="60" w:type="dxa"/>
            <w:tcBorders/>
            <w:shd w:fill="auto" w:val="clear"/>
            <w:tcMar>
              <w:bottom w:w="0" w:type="dxa"/>
            </w:tcMar>
            <w:vAlign w:val="center"/>
          </w:tcPr>
          <w:p>
            <w:pPr>
              <w:pStyle w:val="TableContents"/>
              <w:spacing w:before="0" w:after="283"/>
              <w:rPr/>
            </w:pPr>
            <w:r>
              <w:rPr/>
              <w:t> </w:t>
            </w:r>
          </w:p>
        </w:tc>
        <w:tc>
          <w:tcPr>
            <w:tcW w:w="1370" w:type="dxa"/>
            <w:tcBorders>
              <w:bottom w:val="single" w:sz="8" w:space="0" w:color="000000"/>
            </w:tcBorders>
            <w:shd w:fill="auto" w:val="clear"/>
            <w:vAlign w:val="center"/>
          </w:tcPr>
          <w:p>
            <w:pPr>
              <w:pStyle w:val="TableContents"/>
              <w:spacing w:before="0" w:after="283"/>
              <w:jc w:val="center"/>
              <w:rPr>
                <w:b/>
              </w:rPr>
            </w:pPr>
            <w:r>
              <w:rPr>
                <w:b/>
              </w:rPr>
              <w:t>Date</w:t>
            </w:r>
          </w:p>
        </w:tc>
      </w:tr>
      <w:tr>
        <w:trPr/>
        <w:tc>
          <w:tcPr>
            <w:tcW w:w="24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4520"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1370" w:type="dxa"/>
            <w:tcBorders/>
            <w:shd w:fill="auto" w:val="clear"/>
            <w:tcMar>
              <w:bottom w:w="0" w:type="dxa"/>
            </w:tcMar>
            <w:vAlign w:val="center"/>
          </w:tcPr>
          <w:p>
            <w:pPr>
              <w:pStyle w:val="TableContents"/>
              <w:spacing w:before="0" w:after="283"/>
              <w:jc w:val="center"/>
              <w:rPr/>
            </w:pPr>
            <w:r>
              <w:rPr/>
              <w:t> </w:t>
            </w:r>
          </w:p>
        </w:tc>
      </w:tr>
      <w:tr>
        <w:trPr/>
        <w:tc>
          <w:tcPr>
            <w:tcW w:w="2450" w:type="dxa"/>
            <w:tcBorders>
              <w:bottom w:val="single" w:sz="8" w:space="0" w:color="000000"/>
            </w:tcBorders>
            <w:shd w:fill="auto" w:val="clear"/>
            <w:vAlign w:val="center"/>
          </w:tcPr>
          <w:p>
            <w:pPr>
              <w:pStyle w:val="TableContents"/>
              <w:spacing w:before="0" w:after="283"/>
              <w:rPr/>
            </w:pPr>
            <w:r>
              <w:rPr/>
              <w:t>/s/ Peter Hoang</w:t>
            </w:r>
          </w:p>
        </w:tc>
        <w:tc>
          <w:tcPr>
            <w:tcW w:w="60" w:type="dxa"/>
            <w:tcBorders/>
            <w:shd w:fill="auto" w:val="clear"/>
            <w:tcMar>
              <w:bottom w:w="0" w:type="dxa"/>
            </w:tcMar>
            <w:vAlign w:val="center"/>
          </w:tcPr>
          <w:p>
            <w:pPr>
              <w:pStyle w:val="TableContents"/>
              <w:spacing w:before="0" w:after="283"/>
              <w:rPr/>
            </w:pPr>
            <w:r>
              <w:rPr/>
              <w:t> </w:t>
            </w:r>
          </w:p>
        </w:tc>
        <w:tc>
          <w:tcPr>
            <w:tcW w:w="4520" w:type="dxa"/>
            <w:tcBorders/>
            <w:shd w:fill="auto" w:val="clear"/>
            <w:tcMar>
              <w:bottom w:w="0" w:type="dxa"/>
            </w:tcMar>
            <w:vAlign w:val="center"/>
          </w:tcPr>
          <w:p>
            <w:pPr>
              <w:pStyle w:val="TableContents"/>
              <w:spacing w:before="0" w:after="283"/>
              <w:jc w:val="center"/>
              <w:rPr/>
            </w:pPr>
            <w:r>
              <w:rPr/>
              <w:t>President, Chief Executive Officer and Director</w:t>
            </w:r>
          </w:p>
        </w:tc>
        <w:tc>
          <w:tcPr>
            <w:tcW w:w="60" w:type="dxa"/>
            <w:tcBorders/>
            <w:shd w:fill="auto" w:val="clear"/>
            <w:tcMar>
              <w:bottom w:w="0" w:type="dxa"/>
            </w:tcMar>
            <w:vAlign w:val="center"/>
          </w:tcPr>
          <w:p>
            <w:pPr>
              <w:pStyle w:val="TableContents"/>
              <w:spacing w:before="0" w:after="283"/>
              <w:rPr/>
            </w:pPr>
            <w:r>
              <w:rPr/>
              <w:t> </w:t>
            </w:r>
          </w:p>
        </w:tc>
        <w:tc>
          <w:tcPr>
            <w:tcW w:w="1370" w:type="dxa"/>
            <w:tcBorders/>
            <w:shd w:fill="auto" w:val="clear"/>
            <w:tcMar>
              <w:bottom w:w="0" w:type="dxa"/>
            </w:tcMar>
            <w:vAlign w:val="center"/>
          </w:tcPr>
          <w:p>
            <w:pPr>
              <w:pStyle w:val="TableContents"/>
              <w:spacing w:before="0" w:after="283"/>
              <w:jc w:val="center"/>
              <w:rPr/>
            </w:pPr>
            <w:r>
              <w:rPr/>
              <w:t>June 12, 2020</w:t>
            </w:r>
          </w:p>
        </w:tc>
      </w:tr>
      <w:tr>
        <w:trPr/>
        <w:tc>
          <w:tcPr>
            <w:tcW w:w="2450" w:type="dxa"/>
            <w:tcBorders/>
            <w:shd w:fill="auto" w:val="clear"/>
            <w:tcMar>
              <w:bottom w:w="0" w:type="dxa"/>
            </w:tcMar>
            <w:vAlign w:val="center"/>
          </w:tcPr>
          <w:p>
            <w:pPr>
              <w:pStyle w:val="TableContents"/>
              <w:spacing w:before="0" w:after="283"/>
              <w:rPr/>
            </w:pPr>
            <w:r>
              <w:rPr/>
              <w:t>Peter Hoang</w:t>
            </w:r>
          </w:p>
        </w:tc>
        <w:tc>
          <w:tcPr>
            <w:tcW w:w="60" w:type="dxa"/>
            <w:tcBorders/>
            <w:shd w:fill="auto" w:val="clear"/>
            <w:tcMar>
              <w:bottom w:w="0" w:type="dxa"/>
            </w:tcMar>
            <w:vAlign w:val="center"/>
          </w:tcPr>
          <w:p>
            <w:pPr>
              <w:pStyle w:val="TableContents"/>
              <w:spacing w:before="0" w:after="283"/>
              <w:rPr/>
            </w:pPr>
            <w:r>
              <w:rPr/>
              <w:t> </w:t>
            </w:r>
          </w:p>
        </w:tc>
        <w:tc>
          <w:tcPr>
            <w:tcW w:w="4520" w:type="dxa"/>
            <w:tcBorders/>
            <w:shd w:fill="auto" w:val="clear"/>
            <w:tcMar>
              <w:bottom w:w="0" w:type="dxa"/>
            </w:tcMar>
            <w:vAlign w:val="center"/>
          </w:tcPr>
          <w:p>
            <w:pPr>
              <w:pStyle w:val="TableContents"/>
              <w:spacing w:before="0" w:after="283"/>
              <w:jc w:val="center"/>
              <w:rPr/>
            </w:pPr>
            <w:r>
              <w:rPr/>
              <w:t>(Principal Executive Officer)</w:t>
            </w:r>
          </w:p>
        </w:tc>
        <w:tc>
          <w:tcPr>
            <w:tcW w:w="60" w:type="dxa"/>
            <w:tcBorders/>
            <w:shd w:fill="auto" w:val="clear"/>
            <w:tcMar>
              <w:bottom w:w="0" w:type="dxa"/>
            </w:tcMar>
            <w:vAlign w:val="center"/>
          </w:tcPr>
          <w:p>
            <w:pPr>
              <w:pStyle w:val="TableContents"/>
              <w:spacing w:before="0" w:after="283"/>
              <w:rPr/>
            </w:pPr>
            <w:r>
              <w:rPr/>
              <w:t> </w:t>
            </w:r>
          </w:p>
        </w:tc>
        <w:tc>
          <w:tcPr>
            <w:tcW w:w="1370" w:type="dxa"/>
            <w:tcBorders/>
            <w:shd w:fill="auto" w:val="clear"/>
            <w:tcMar>
              <w:bottom w:w="0" w:type="dxa"/>
            </w:tcMar>
            <w:vAlign w:val="center"/>
          </w:tcPr>
          <w:p>
            <w:pPr>
              <w:pStyle w:val="TableContents"/>
              <w:spacing w:before="0" w:after="283"/>
              <w:jc w:val="center"/>
              <w:rPr/>
            </w:pPr>
            <w:r>
              <w:rPr/>
              <w:t> </w:t>
            </w:r>
          </w:p>
        </w:tc>
      </w:tr>
      <w:tr>
        <w:trPr/>
        <w:tc>
          <w:tcPr>
            <w:tcW w:w="24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4520"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1370" w:type="dxa"/>
            <w:tcBorders/>
            <w:shd w:fill="auto" w:val="clear"/>
            <w:tcMar>
              <w:bottom w:w="0" w:type="dxa"/>
            </w:tcMar>
            <w:vAlign w:val="center"/>
          </w:tcPr>
          <w:p>
            <w:pPr>
              <w:pStyle w:val="TableContents"/>
              <w:spacing w:before="0" w:after="283"/>
              <w:jc w:val="center"/>
              <w:rPr/>
            </w:pPr>
            <w:r>
              <w:rPr/>
              <w:t> </w:t>
            </w:r>
          </w:p>
        </w:tc>
      </w:tr>
      <w:tr>
        <w:trPr/>
        <w:tc>
          <w:tcPr>
            <w:tcW w:w="2450" w:type="dxa"/>
            <w:tcBorders>
              <w:bottom w:val="single" w:sz="8" w:space="0" w:color="000000"/>
            </w:tcBorders>
            <w:shd w:fill="auto" w:val="clear"/>
            <w:vAlign w:val="center"/>
          </w:tcPr>
          <w:p>
            <w:pPr>
              <w:pStyle w:val="TableContents"/>
              <w:spacing w:before="0" w:after="283"/>
              <w:rPr/>
            </w:pPr>
            <w:r>
              <w:rPr/>
              <w:t>/s/ Anthony Kim</w:t>
            </w:r>
          </w:p>
        </w:tc>
        <w:tc>
          <w:tcPr>
            <w:tcW w:w="60" w:type="dxa"/>
            <w:tcBorders/>
            <w:shd w:fill="auto" w:val="clear"/>
            <w:tcMar>
              <w:bottom w:w="0" w:type="dxa"/>
            </w:tcMar>
            <w:vAlign w:val="center"/>
          </w:tcPr>
          <w:p>
            <w:pPr>
              <w:pStyle w:val="TableContents"/>
              <w:spacing w:before="0" w:after="283"/>
              <w:rPr/>
            </w:pPr>
            <w:r>
              <w:rPr/>
              <w:t> </w:t>
            </w:r>
          </w:p>
        </w:tc>
        <w:tc>
          <w:tcPr>
            <w:tcW w:w="4520" w:type="dxa"/>
            <w:tcBorders/>
            <w:shd w:fill="auto" w:val="clear"/>
            <w:tcMar>
              <w:bottom w:w="0" w:type="dxa"/>
            </w:tcMar>
            <w:vAlign w:val="center"/>
          </w:tcPr>
          <w:p>
            <w:pPr>
              <w:pStyle w:val="TableContents"/>
              <w:spacing w:before="0" w:after="283"/>
              <w:jc w:val="center"/>
              <w:rPr/>
            </w:pPr>
            <w:r>
              <w:rPr/>
              <w:t>Chief Financial Officer (Principal Financial</w:t>
            </w:r>
          </w:p>
        </w:tc>
        <w:tc>
          <w:tcPr>
            <w:tcW w:w="60" w:type="dxa"/>
            <w:tcBorders/>
            <w:shd w:fill="auto" w:val="clear"/>
            <w:tcMar>
              <w:bottom w:w="0" w:type="dxa"/>
            </w:tcMar>
            <w:vAlign w:val="center"/>
          </w:tcPr>
          <w:p>
            <w:pPr>
              <w:pStyle w:val="TableContents"/>
              <w:spacing w:before="0" w:after="283"/>
              <w:rPr/>
            </w:pPr>
            <w:r>
              <w:rPr/>
              <w:t> </w:t>
            </w:r>
          </w:p>
        </w:tc>
        <w:tc>
          <w:tcPr>
            <w:tcW w:w="1370" w:type="dxa"/>
            <w:tcBorders/>
            <w:shd w:fill="auto" w:val="clear"/>
            <w:tcMar>
              <w:bottom w:w="0" w:type="dxa"/>
            </w:tcMar>
            <w:vAlign w:val="center"/>
          </w:tcPr>
          <w:p>
            <w:pPr>
              <w:pStyle w:val="TableContents"/>
              <w:spacing w:before="0" w:after="283"/>
              <w:jc w:val="center"/>
              <w:rPr/>
            </w:pPr>
            <w:r>
              <w:rPr/>
              <w:t>June 12, 2020</w:t>
            </w:r>
          </w:p>
        </w:tc>
      </w:tr>
      <w:tr>
        <w:trPr/>
        <w:tc>
          <w:tcPr>
            <w:tcW w:w="2450" w:type="dxa"/>
            <w:tcBorders/>
            <w:shd w:fill="auto" w:val="clear"/>
            <w:tcMar>
              <w:bottom w:w="0" w:type="dxa"/>
            </w:tcMar>
            <w:vAlign w:val="center"/>
          </w:tcPr>
          <w:p>
            <w:pPr>
              <w:pStyle w:val="TableContents"/>
              <w:spacing w:before="0" w:after="283"/>
              <w:rPr/>
            </w:pPr>
            <w:r>
              <w:rPr/>
              <w:t>Anthony Kim</w:t>
            </w:r>
          </w:p>
        </w:tc>
        <w:tc>
          <w:tcPr>
            <w:tcW w:w="60" w:type="dxa"/>
            <w:tcBorders/>
            <w:shd w:fill="auto" w:val="clear"/>
            <w:tcMar>
              <w:bottom w:w="0" w:type="dxa"/>
            </w:tcMar>
            <w:vAlign w:val="center"/>
          </w:tcPr>
          <w:p>
            <w:pPr>
              <w:pStyle w:val="TableContents"/>
              <w:spacing w:before="0" w:after="283"/>
              <w:rPr/>
            </w:pPr>
            <w:r>
              <w:rPr/>
              <w:t> </w:t>
            </w:r>
          </w:p>
        </w:tc>
        <w:tc>
          <w:tcPr>
            <w:tcW w:w="4520" w:type="dxa"/>
            <w:tcBorders/>
            <w:shd w:fill="auto" w:val="clear"/>
            <w:tcMar>
              <w:bottom w:w="0" w:type="dxa"/>
            </w:tcMar>
            <w:vAlign w:val="center"/>
          </w:tcPr>
          <w:p>
            <w:pPr>
              <w:pStyle w:val="TableContents"/>
              <w:spacing w:before="0" w:after="283"/>
              <w:jc w:val="center"/>
              <w:rPr/>
            </w:pPr>
            <w:r>
              <w:rPr/>
              <w:t>and Accounting Officer)</w:t>
            </w:r>
          </w:p>
        </w:tc>
        <w:tc>
          <w:tcPr>
            <w:tcW w:w="60" w:type="dxa"/>
            <w:tcBorders/>
            <w:shd w:fill="auto" w:val="clear"/>
            <w:tcMar>
              <w:bottom w:w="0" w:type="dxa"/>
            </w:tcMar>
            <w:vAlign w:val="center"/>
          </w:tcPr>
          <w:p>
            <w:pPr>
              <w:pStyle w:val="TableContents"/>
              <w:spacing w:before="0" w:after="283"/>
              <w:rPr/>
            </w:pPr>
            <w:r>
              <w:rPr/>
              <w:t> </w:t>
            </w:r>
          </w:p>
        </w:tc>
        <w:tc>
          <w:tcPr>
            <w:tcW w:w="1370" w:type="dxa"/>
            <w:tcBorders/>
            <w:shd w:fill="auto" w:val="clear"/>
            <w:tcMar>
              <w:bottom w:w="0" w:type="dxa"/>
            </w:tcMar>
            <w:vAlign w:val="center"/>
          </w:tcPr>
          <w:p>
            <w:pPr>
              <w:pStyle w:val="TableContents"/>
              <w:spacing w:before="0" w:after="283"/>
              <w:jc w:val="center"/>
              <w:rPr/>
            </w:pPr>
            <w:r>
              <w:rPr/>
              <w:t> </w:t>
            </w:r>
          </w:p>
        </w:tc>
      </w:tr>
      <w:tr>
        <w:trPr/>
        <w:tc>
          <w:tcPr>
            <w:tcW w:w="24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4520"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1370" w:type="dxa"/>
            <w:tcBorders/>
            <w:shd w:fill="auto" w:val="clear"/>
            <w:tcMar>
              <w:bottom w:w="0" w:type="dxa"/>
            </w:tcMar>
            <w:vAlign w:val="center"/>
          </w:tcPr>
          <w:p>
            <w:pPr>
              <w:pStyle w:val="TableContents"/>
              <w:spacing w:before="0" w:after="283"/>
              <w:jc w:val="center"/>
              <w:rPr/>
            </w:pPr>
            <w:r>
              <w:rPr/>
              <w:t> </w:t>
            </w:r>
          </w:p>
        </w:tc>
      </w:tr>
      <w:tr>
        <w:trPr/>
        <w:tc>
          <w:tcPr>
            <w:tcW w:w="2450" w:type="dxa"/>
            <w:tcBorders>
              <w:bottom w:val="single" w:sz="8" w:space="0" w:color="000000"/>
            </w:tcBorders>
            <w:shd w:fill="auto" w:val="clear"/>
            <w:vAlign w:val="center"/>
          </w:tcPr>
          <w:p>
            <w:pPr>
              <w:pStyle w:val="TableContents"/>
              <w:spacing w:before="0" w:after="283"/>
              <w:rPr/>
            </w:pPr>
            <w:r>
              <w:rPr/>
              <w:t>/s/ Frederick Wasserman</w:t>
            </w:r>
          </w:p>
        </w:tc>
        <w:tc>
          <w:tcPr>
            <w:tcW w:w="60" w:type="dxa"/>
            <w:tcBorders/>
            <w:shd w:fill="auto" w:val="clear"/>
            <w:tcMar>
              <w:bottom w:w="0" w:type="dxa"/>
            </w:tcMar>
            <w:vAlign w:val="center"/>
          </w:tcPr>
          <w:p>
            <w:pPr>
              <w:pStyle w:val="TableContents"/>
              <w:spacing w:before="0" w:after="283"/>
              <w:rPr/>
            </w:pPr>
            <w:r>
              <w:rPr/>
              <w:t> </w:t>
            </w:r>
          </w:p>
        </w:tc>
        <w:tc>
          <w:tcPr>
            <w:tcW w:w="4520" w:type="dxa"/>
            <w:tcBorders/>
            <w:shd w:fill="auto" w:val="clear"/>
            <w:tcMar>
              <w:bottom w:w="0" w:type="dxa"/>
            </w:tcMar>
            <w:vAlign w:val="center"/>
          </w:tcPr>
          <w:p>
            <w:pPr>
              <w:pStyle w:val="TableContents"/>
              <w:spacing w:before="0" w:after="283"/>
              <w:jc w:val="center"/>
              <w:rPr/>
            </w:pPr>
            <w:r>
              <w:rPr/>
              <w:t>Director</w:t>
            </w:r>
          </w:p>
        </w:tc>
        <w:tc>
          <w:tcPr>
            <w:tcW w:w="60" w:type="dxa"/>
            <w:tcBorders/>
            <w:shd w:fill="auto" w:val="clear"/>
            <w:tcMar>
              <w:bottom w:w="0" w:type="dxa"/>
            </w:tcMar>
            <w:vAlign w:val="center"/>
          </w:tcPr>
          <w:p>
            <w:pPr>
              <w:pStyle w:val="TableContents"/>
              <w:spacing w:before="0" w:after="283"/>
              <w:rPr/>
            </w:pPr>
            <w:r>
              <w:rPr/>
              <w:t> </w:t>
            </w:r>
          </w:p>
        </w:tc>
        <w:tc>
          <w:tcPr>
            <w:tcW w:w="1370" w:type="dxa"/>
            <w:tcBorders/>
            <w:shd w:fill="auto" w:val="clear"/>
            <w:tcMar>
              <w:bottom w:w="0" w:type="dxa"/>
            </w:tcMar>
            <w:vAlign w:val="center"/>
          </w:tcPr>
          <w:p>
            <w:pPr>
              <w:pStyle w:val="TableContents"/>
              <w:spacing w:before="0" w:after="283"/>
              <w:jc w:val="center"/>
              <w:rPr/>
            </w:pPr>
            <w:r>
              <w:rPr/>
              <w:t>June 12, 2020</w:t>
            </w:r>
          </w:p>
        </w:tc>
      </w:tr>
      <w:tr>
        <w:trPr/>
        <w:tc>
          <w:tcPr>
            <w:tcW w:w="2450" w:type="dxa"/>
            <w:tcBorders/>
            <w:shd w:fill="auto" w:val="clear"/>
            <w:tcMar>
              <w:bottom w:w="0" w:type="dxa"/>
            </w:tcMar>
            <w:vAlign w:val="center"/>
          </w:tcPr>
          <w:p>
            <w:pPr>
              <w:pStyle w:val="TableContents"/>
              <w:spacing w:before="0" w:after="283"/>
              <w:rPr/>
            </w:pPr>
            <w:r>
              <w:rPr/>
              <w:t>Frederick Wasserman</w:t>
            </w:r>
          </w:p>
        </w:tc>
        <w:tc>
          <w:tcPr>
            <w:tcW w:w="60" w:type="dxa"/>
            <w:tcBorders/>
            <w:shd w:fill="auto" w:val="clear"/>
            <w:tcMar>
              <w:bottom w:w="0" w:type="dxa"/>
            </w:tcMar>
            <w:vAlign w:val="center"/>
          </w:tcPr>
          <w:p>
            <w:pPr>
              <w:pStyle w:val="TableContents"/>
              <w:spacing w:before="0" w:after="283"/>
              <w:rPr/>
            </w:pPr>
            <w:r>
              <w:rPr/>
              <w:t> </w:t>
            </w:r>
          </w:p>
        </w:tc>
        <w:tc>
          <w:tcPr>
            <w:tcW w:w="4520"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1370" w:type="dxa"/>
            <w:tcBorders/>
            <w:shd w:fill="auto" w:val="clear"/>
            <w:tcMar>
              <w:bottom w:w="0" w:type="dxa"/>
            </w:tcMar>
            <w:vAlign w:val="center"/>
          </w:tcPr>
          <w:p>
            <w:pPr>
              <w:pStyle w:val="TableContents"/>
              <w:spacing w:before="0" w:after="283"/>
              <w:jc w:val="center"/>
              <w:rPr/>
            </w:pPr>
            <w:r>
              <w:rPr/>
              <w:t> </w:t>
            </w:r>
          </w:p>
        </w:tc>
      </w:tr>
      <w:tr>
        <w:trPr/>
        <w:tc>
          <w:tcPr>
            <w:tcW w:w="24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4520"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1370" w:type="dxa"/>
            <w:tcBorders/>
            <w:shd w:fill="auto" w:val="clear"/>
            <w:tcMar>
              <w:bottom w:w="0" w:type="dxa"/>
            </w:tcMar>
            <w:vAlign w:val="center"/>
          </w:tcPr>
          <w:p>
            <w:pPr>
              <w:pStyle w:val="TableContents"/>
              <w:spacing w:before="0" w:after="283"/>
              <w:jc w:val="center"/>
              <w:rPr/>
            </w:pPr>
            <w:r>
              <w:rPr/>
              <w:t> </w:t>
            </w:r>
          </w:p>
        </w:tc>
      </w:tr>
      <w:tr>
        <w:trPr/>
        <w:tc>
          <w:tcPr>
            <w:tcW w:w="2450" w:type="dxa"/>
            <w:tcBorders>
              <w:bottom w:val="single" w:sz="8" w:space="0" w:color="000000"/>
            </w:tcBorders>
            <w:shd w:fill="auto" w:val="clear"/>
            <w:vAlign w:val="center"/>
          </w:tcPr>
          <w:p>
            <w:pPr>
              <w:pStyle w:val="TableContents"/>
              <w:spacing w:before="0" w:after="283"/>
              <w:rPr/>
            </w:pPr>
            <w:r>
              <w:rPr/>
              <w:t>/s/ David Laskow-Pooley</w:t>
            </w:r>
          </w:p>
        </w:tc>
        <w:tc>
          <w:tcPr>
            <w:tcW w:w="60" w:type="dxa"/>
            <w:tcBorders/>
            <w:shd w:fill="auto" w:val="clear"/>
            <w:tcMar>
              <w:bottom w:w="0" w:type="dxa"/>
            </w:tcMar>
            <w:vAlign w:val="center"/>
          </w:tcPr>
          <w:p>
            <w:pPr>
              <w:pStyle w:val="TableContents"/>
              <w:spacing w:before="0" w:after="283"/>
              <w:rPr/>
            </w:pPr>
            <w:r>
              <w:rPr/>
              <w:t> </w:t>
            </w:r>
          </w:p>
        </w:tc>
        <w:tc>
          <w:tcPr>
            <w:tcW w:w="4520" w:type="dxa"/>
            <w:tcBorders/>
            <w:shd w:fill="auto" w:val="clear"/>
            <w:tcMar>
              <w:bottom w:w="0" w:type="dxa"/>
            </w:tcMar>
            <w:vAlign w:val="center"/>
          </w:tcPr>
          <w:p>
            <w:pPr>
              <w:pStyle w:val="TableContents"/>
              <w:spacing w:before="0" w:after="283"/>
              <w:jc w:val="center"/>
              <w:rPr/>
            </w:pPr>
            <w:r>
              <w:rPr/>
              <w:t>Director</w:t>
            </w:r>
          </w:p>
        </w:tc>
        <w:tc>
          <w:tcPr>
            <w:tcW w:w="60" w:type="dxa"/>
            <w:tcBorders/>
            <w:shd w:fill="auto" w:val="clear"/>
            <w:tcMar>
              <w:bottom w:w="0" w:type="dxa"/>
            </w:tcMar>
            <w:vAlign w:val="center"/>
          </w:tcPr>
          <w:p>
            <w:pPr>
              <w:pStyle w:val="TableContents"/>
              <w:spacing w:before="0" w:after="283"/>
              <w:rPr/>
            </w:pPr>
            <w:r>
              <w:rPr/>
              <w:t> </w:t>
            </w:r>
          </w:p>
        </w:tc>
        <w:tc>
          <w:tcPr>
            <w:tcW w:w="1370" w:type="dxa"/>
            <w:tcBorders/>
            <w:shd w:fill="auto" w:val="clear"/>
            <w:tcMar>
              <w:bottom w:w="0" w:type="dxa"/>
            </w:tcMar>
            <w:vAlign w:val="center"/>
          </w:tcPr>
          <w:p>
            <w:pPr>
              <w:pStyle w:val="TableContents"/>
              <w:spacing w:before="0" w:after="283"/>
              <w:jc w:val="center"/>
              <w:rPr/>
            </w:pPr>
            <w:r>
              <w:rPr/>
              <w:t>June 12, 2020</w:t>
            </w:r>
          </w:p>
        </w:tc>
      </w:tr>
      <w:tr>
        <w:trPr/>
        <w:tc>
          <w:tcPr>
            <w:tcW w:w="2450" w:type="dxa"/>
            <w:tcBorders/>
            <w:shd w:fill="auto" w:val="clear"/>
            <w:tcMar>
              <w:bottom w:w="0" w:type="dxa"/>
            </w:tcMar>
            <w:vAlign w:val="center"/>
          </w:tcPr>
          <w:p>
            <w:pPr>
              <w:pStyle w:val="TableContents"/>
              <w:spacing w:before="0" w:after="283"/>
              <w:rPr/>
            </w:pPr>
            <w:r>
              <w:rPr/>
              <w:t>David Laskow-Pooley</w:t>
            </w:r>
          </w:p>
        </w:tc>
        <w:tc>
          <w:tcPr>
            <w:tcW w:w="60" w:type="dxa"/>
            <w:tcBorders/>
            <w:shd w:fill="auto" w:val="clear"/>
            <w:tcMar>
              <w:bottom w:w="0" w:type="dxa"/>
            </w:tcMar>
            <w:vAlign w:val="center"/>
          </w:tcPr>
          <w:p>
            <w:pPr>
              <w:pStyle w:val="TableContents"/>
              <w:spacing w:before="0" w:after="283"/>
              <w:rPr/>
            </w:pPr>
            <w:r>
              <w:rPr/>
              <w:t> </w:t>
            </w:r>
          </w:p>
        </w:tc>
        <w:tc>
          <w:tcPr>
            <w:tcW w:w="4520"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1370" w:type="dxa"/>
            <w:tcBorders/>
            <w:shd w:fill="auto" w:val="clear"/>
            <w:tcMar>
              <w:bottom w:w="0" w:type="dxa"/>
            </w:tcMar>
            <w:vAlign w:val="center"/>
          </w:tcPr>
          <w:p>
            <w:pPr>
              <w:pStyle w:val="TableContents"/>
              <w:spacing w:before="0" w:after="283"/>
              <w:jc w:val="center"/>
              <w:rPr/>
            </w:pPr>
            <w:r>
              <w:rPr/>
              <w:t> </w:t>
            </w:r>
          </w:p>
        </w:tc>
      </w:tr>
      <w:tr>
        <w:trPr/>
        <w:tc>
          <w:tcPr>
            <w:tcW w:w="24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4520"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1370" w:type="dxa"/>
            <w:tcBorders/>
            <w:shd w:fill="auto" w:val="clear"/>
            <w:tcMar>
              <w:bottom w:w="0" w:type="dxa"/>
            </w:tcMar>
            <w:vAlign w:val="center"/>
          </w:tcPr>
          <w:p>
            <w:pPr>
              <w:pStyle w:val="TableContents"/>
              <w:spacing w:before="0" w:after="283"/>
              <w:jc w:val="center"/>
              <w:rPr/>
            </w:pPr>
            <w:r>
              <w:rPr/>
              <w:t> </w:t>
            </w:r>
          </w:p>
        </w:tc>
      </w:tr>
      <w:tr>
        <w:trPr/>
        <w:tc>
          <w:tcPr>
            <w:tcW w:w="2450" w:type="dxa"/>
            <w:tcBorders>
              <w:bottom w:val="single" w:sz="8" w:space="0" w:color="000000"/>
            </w:tcBorders>
            <w:shd w:fill="auto" w:val="clear"/>
            <w:vAlign w:val="center"/>
          </w:tcPr>
          <w:p>
            <w:pPr>
              <w:pStyle w:val="TableContents"/>
              <w:spacing w:before="0" w:after="283"/>
              <w:rPr/>
            </w:pPr>
            <w:r>
              <w:rPr/>
              <w:t>/s/ John Wilson</w:t>
            </w:r>
          </w:p>
        </w:tc>
        <w:tc>
          <w:tcPr>
            <w:tcW w:w="60" w:type="dxa"/>
            <w:tcBorders/>
            <w:shd w:fill="auto" w:val="clear"/>
            <w:tcMar>
              <w:bottom w:w="0" w:type="dxa"/>
            </w:tcMar>
            <w:vAlign w:val="center"/>
          </w:tcPr>
          <w:p>
            <w:pPr>
              <w:pStyle w:val="TableContents"/>
              <w:spacing w:before="0" w:after="283"/>
              <w:rPr/>
            </w:pPr>
            <w:r>
              <w:rPr/>
              <w:t> </w:t>
            </w:r>
          </w:p>
        </w:tc>
        <w:tc>
          <w:tcPr>
            <w:tcW w:w="4520" w:type="dxa"/>
            <w:tcBorders/>
            <w:shd w:fill="auto" w:val="clear"/>
            <w:tcMar>
              <w:bottom w:w="0" w:type="dxa"/>
            </w:tcMar>
            <w:vAlign w:val="center"/>
          </w:tcPr>
          <w:p>
            <w:pPr>
              <w:pStyle w:val="TableContents"/>
              <w:spacing w:before="0" w:after="283"/>
              <w:jc w:val="center"/>
              <w:rPr/>
            </w:pPr>
            <w:r>
              <w:rPr/>
              <w:t>Director</w:t>
            </w:r>
          </w:p>
        </w:tc>
        <w:tc>
          <w:tcPr>
            <w:tcW w:w="60" w:type="dxa"/>
            <w:tcBorders/>
            <w:shd w:fill="auto" w:val="clear"/>
            <w:tcMar>
              <w:bottom w:w="0" w:type="dxa"/>
            </w:tcMar>
            <w:vAlign w:val="center"/>
          </w:tcPr>
          <w:p>
            <w:pPr>
              <w:pStyle w:val="TableContents"/>
              <w:spacing w:before="0" w:after="283"/>
              <w:rPr/>
            </w:pPr>
            <w:r>
              <w:rPr/>
              <w:t> </w:t>
            </w:r>
          </w:p>
        </w:tc>
        <w:tc>
          <w:tcPr>
            <w:tcW w:w="1370" w:type="dxa"/>
            <w:tcBorders/>
            <w:shd w:fill="auto" w:val="clear"/>
            <w:tcMar>
              <w:bottom w:w="0" w:type="dxa"/>
            </w:tcMar>
            <w:vAlign w:val="center"/>
          </w:tcPr>
          <w:p>
            <w:pPr>
              <w:pStyle w:val="TableContents"/>
              <w:spacing w:before="0" w:after="283"/>
              <w:jc w:val="center"/>
              <w:rPr/>
            </w:pPr>
            <w:r>
              <w:rPr/>
              <w:t>June 12, 2020</w:t>
            </w:r>
          </w:p>
        </w:tc>
      </w:tr>
      <w:tr>
        <w:trPr/>
        <w:tc>
          <w:tcPr>
            <w:tcW w:w="2450" w:type="dxa"/>
            <w:tcBorders/>
            <w:shd w:fill="auto" w:val="clear"/>
            <w:tcMar>
              <w:bottom w:w="0" w:type="dxa"/>
            </w:tcMar>
            <w:vAlign w:val="center"/>
          </w:tcPr>
          <w:p>
            <w:pPr>
              <w:pStyle w:val="TableContents"/>
              <w:spacing w:before="0" w:after="283"/>
              <w:rPr/>
            </w:pPr>
            <w:r>
              <w:rPr/>
              <w:t>John Wilson</w:t>
            </w:r>
          </w:p>
        </w:tc>
        <w:tc>
          <w:tcPr>
            <w:tcW w:w="60" w:type="dxa"/>
            <w:tcBorders/>
            <w:shd w:fill="auto" w:val="clear"/>
            <w:tcMar>
              <w:bottom w:w="0" w:type="dxa"/>
            </w:tcMar>
            <w:vAlign w:val="center"/>
          </w:tcPr>
          <w:p>
            <w:pPr>
              <w:pStyle w:val="TableContents"/>
              <w:spacing w:before="0" w:after="283"/>
              <w:rPr/>
            </w:pPr>
            <w:r>
              <w:rPr/>
              <w:t> </w:t>
            </w:r>
          </w:p>
        </w:tc>
        <w:tc>
          <w:tcPr>
            <w:tcW w:w="4520"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1370" w:type="dxa"/>
            <w:tcBorders/>
            <w:shd w:fill="auto" w:val="clear"/>
            <w:tcMar>
              <w:bottom w:w="0" w:type="dxa"/>
            </w:tcMar>
            <w:vAlign w:val="center"/>
          </w:tcPr>
          <w:p>
            <w:pPr>
              <w:pStyle w:val="TableContents"/>
              <w:spacing w:before="0" w:after="283"/>
              <w:jc w:val="center"/>
              <w:rPr/>
            </w:pPr>
            <w:r>
              <w:rPr/>
              <w:t> </w:t>
            </w:r>
          </w:p>
        </w:tc>
      </w:tr>
      <w:tr>
        <w:trPr/>
        <w:tc>
          <w:tcPr>
            <w:tcW w:w="24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4520"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1370" w:type="dxa"/>
            <w:tcBorders/>
            <w:shd w:fill="auto" w:val="clear"/>
            <w:tcMar>
              <w:bottom w:w="0" w:type="dxa"/>
            </w:tcMar>
            <w:vAlign w:val="center"/>
          </w:tcPr>
          <w:p>
            <w:pPr>
              <w:pStyle w:val="TableContents"/>
              <w:spacing w:before="0" w:after="283"/>
              <w:jc w:val="center"/>
              <w:rPr/>
            </w:pPr>
            <w:r>
              <w:rPr/>
              <w:t> </w:t>
            </w:r>
          </w:p>
        </w:tc>
      </w:tr>
      <w:tr>
        <w:trPr/>
        <w:tc>
          <w:tcPr>
            <w:tcW w:w="2450" w:type="dxa"/>
            <w:tcBorders>
              <w:bottom w:val="single" w:sz="8" w:space="0" w:color="000000"/>
            </w:tcBorders>
            <w:shd w:fill="auto" w:val="clear"/>
            <w:vAlign w:val="center"/>
          </w:tcPr>
          <w:p>
            <w:pPr>
              <w:pStyle w:val="TableContents"/>
              <w:spacing w:before="0" w:after="283"/>
              <w:rPr/>
            </w:pPr>
            <w:r>
              <w:rPr/>
              <w:t>/s/ Juan Vera</w:t>
            </w:r>
          </w:p>
        </w:tc>
        <w:tc>
          <w:tcPr>
            <w:tcW w:w="60" w:type="dxa"/>
            <w:tcBorders/>
            <w:shd w:fill="auto" w:val="clear"/>
            <w:tcMar>
              <w:bottom w:w="0" w:type="dxa"/>
            </w:tcMar>
            <w:vAlign w:val="center"/>
          </w:tcPr>
          <w:p>
            <w:pPr>
              <w:pStyle w:val="TableContents"/>
              <w:spacing w:before="0" w:after="283"/>
              <w:rPr/>
            </w:pPr>
            <w:r>
              <w:rPr/>
              <w:t> </w:t>
            </w:r>
          </w:p>
        </w:tc>
        <w:tc>
          <w:tcPr>
            <w:tcW w:w="4520" w:type="dxa"/>
            <w:tcBorders/>
            <w:shd w:fill="auto" w:val="clear"/>
            <w:tcMar>
              <w:bottom w:w="0" w:type="dxa"/>
            </w:tcMar>
            <w:vAlign w:val="center"/>
          </w:tcPr>
          <w:p>
            <w:pPr>
              <w:pStyle w:val="TableContents"/>
              <w:spacing w:before="0" w:after="283"/>
              <w:jc w:val="center"/>
              <w:rPr/>
            </w:pPr>
            <w:r>
              <w:rPr/>
              <w:t>Director</w:t>
            </w:r>
          </w:p>
        </w:tc>
        <w:tc>
          <w:tcPr>
            <w:tcW w:w="60" w:type="dxa"/>
            <w:tcBorders/>
            <w:shd w:fill="auto" w:val="clear"/>
            <w:tcMar>
              <w:bottom w:w="0" w:type="dxa"/>
            </w:tcMar>
            <w:vAlign w:val="center"/>
          </w:tcPr>
          <w:p>
            <w:pPr>
              <w:pStyle w:val="TableContents"/>
              <w:spacing w:before="0" w:after="283"/>
              <w:rPr/>
            </w:pPr>
            <w:r>
              <w:rPr/>
              <w:t> </w:t>
            </w:r>
          </w:p>
        </w:tc>
        <w:tc>
          <w:tcPr>
            <w:tcW w:w="1370" w:type="dxa"/>
            <w:tcBorders/>
            <w:shd w:fill="auto" w:val="clear"/>
            <w:tcMar>
              <w:bottom w:w="0" w:type="dxa"/>
            </w:tcMar>
            <w:vAlign w:val="center"/>
          </w:tcPr>
          <w:p>
            <w:pPr>
              <w:pStyle w:val="TableContents"/>
              <w:spacing w:before="0" w:after="283"/>
              <w:jc w:val="center"/>
              <w:rPr/>
            </w:pPr>
            <w:r>
              <w:rPr/>
              <w:t>June 12, 2020</w:t>
            </w:r>
          </w:p>
        </w:tc>
      </w:tr>
      <w:tr>
        <w:trPr/>
        <w:tc>
          <w:tcPr>
            <w:tcW w:w="2450" w:type="dxa"/>
            <w:tcBorders/>
            <w:shd w:fill="auto" w:val="clear"/>
            <w:tcMar>
              <w:bottom w:w="0" w:type="dxa"/>
            </w:tcMar>
            <w:vAlign w:val="center"/>
          </w:tcPr>
          <w:p>
            <w:pPr>
              <w:pStyle w:val="TableContents"/>
              <w:spacing w:before="0" w:after="283"/>
              <w:rPr/>
            </w:pPr>
            <w:r>
              <w:rPr/>
              <w:t>Juan Vera</w:t>
            </w:r>
          </w:p>
        </w:tc>
        <w:tc>
          <w:tcPr>
            <w:tcW w:w="60" w:type="dxa"/>
            <w:tcBorders/>
            <w:shd w:fill="auto" w:val="clear"/>
            <w:tcMar>
              <w:bottom w:w="0" w:type="dxa"/>
            </w:tcMar>
            <w:vAlign w:val="center"/>
          </w:tcPr>
          <w:p>
            <w:pPr>
              <w:pStyle w:val="TableContents"/>
              <w:spacing w:before="0" w:after="283"/>
              <w:rPr/>
            </w:pPr>
            <w:r>
              <w:rPr/>
              <w:t> </w:t>
            </w:r>
          </w:p>
        </w:tc>
        <w:tc>
          <w:tcPr>
            <w:tcW w:w="4520"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1370" w:type="dxa"/>
            <w:tcBorders/>
            <w:shd w:fill="auto" w:val="clear"/>
            <w:tcMar>
              <w:bottom w:w="0" w:type="dxa"/>
            </w:tcMar>
            <w:vAlign w:val="center"/>
          </w:tcPr>
          <w:p>
            <w:pPr>
              <w:pStyle w:val="TableContents"/>
              <w:spacing w:before="0" w:after="283"/>
              <w:jc w:val="center"/>
              <w:rPr/>
            </w:pPr>
            <w:r>
              <w:rPr/>
              <w:t> </w:t>
            </w:r>
          </w:p>
        </w:tc>
      </w:tr>
      <w:tr>
        <w:trPr/>
        <w:tc>
          <w:tcPr>
            <w:tcW w:w="24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4520"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1370" w:type="dxa"/>
            <w:tcBorders/>
            <w:shd w:fill="auto" w:val="clear"/>
            <w:tcMar>
              <w:bottom w:w="0" w:type="dxa"/>
            </w:tcMar>
            <w:vAlign w:val="center"/>
          </w:tcPr>
          <w:p>
            <w:pPr>
              <w:pStyle w:val="TableContents"/>
              <w:spacing w:before="0" w:after="283"/>
              <w:jc w:val="center"/>
              <w:rPr/>
            </w:pPr>
            <w:r>
              <w:rPr/>
              <w:t> </w:t>
            </w:r>
          </w:p>
        </w:tc>
      </w:tr>
      <w:tr>
        <w:trPr/>
        <w:tc>
          <w:tcPr>
            <w:tcW w:w="2450" w:type="dxa"/>
            <w:tcBorders>
              <w:bottom w:val="single" w:sz="8" w:space="0" w:color="000000"/>
            </w:tcBorders>
            <w:shd w:fill="auto" w:val="clear"/>
            <w:vAlign w:val="center"/>
          </w:tcPr>
          <w:p>
            <w:pPr>
              <w:pStyle w:val="TableContents"/>
              <w:spacing w:before="0" w:after="283"/>
              <w:rPr/>
            </w:pPr>
            <w:r>
              <w:rPr/>
              <w:t>/s/ N. David Eansor</w:t>
            </w:r>
          </w:p>
        </w:tc>
        <w:tc>
          <w:tcPr>
            <w:tcW w:w="60" w:type="dxa"/>
            <w:tcBorders/>
            <w:shd w:fill="auto" w:val="clear"/>
            <w:tcMar>
              <w:bottom w:w="0" w:type="dxa"/>
            </w:tcMar>
            <w:vAlign w:val="center"/>
          </w:tcPr>
          <w:p>
            <w:pPr>
              <w:pStyle w:val="TableContents"/>
              <w:spacing w:before="0" w:after="283"/>
              <w:rPr/>
            </w:pPr>
            <w:r>
              <w:rPr/>
              <w:t> </w:t>
            </w:r>
          </w:p>
        </w:tc>
        <w:tc>
          <w:tcPr>
            <w:tcW w:w="4520" w:type="dxa"/>
            <w:tcBorders/>
            <w:shd w:fill="auto" w:val="clear"/>
            <w:tcMar>
              <w:bottom w:w="0" w:type="dxa"/>
            </w:tcMar>
            <w:vAlign w:val="center"/>
          </w:tcPr>
          <w:p>
            <w:pPr>
              <w:pStyle w:val="TableContents"/>
              <w:spacing w:before="0" w:after="283"/>
              <w:jc w:val="center"/>
              <w:rPr/>
            </w:pPr>
            <w:r>
              <w:rPr/>
              <w:t>Director</w:t>
            </w:r>
          </w:p>
        </w:tc>
        <w:tc>
          <w:tcPr>
            <w:tcW w:w="60" w:type="dxa"/>
            <w:tcBorders/>
            <w:shd w:fill="auto" w:val="clear"/>
            <w:tcMar>
              <w:bottom w:w="0" w:type="dxa"/>
            </w:tcMar>
            <w:vAlign w:val="center"/>
          </w:tcPr>
          <w:p>
            <w:pPr>
              <w:pStyle w:val="TableContents"/>
              <w:spacing w:before="0" w:after="283"/>
              <w:rPr/>
            </w:pPr>
            <w:r>
              <w:rPr/>
              <w:t> </w:t>
            </w:r>
          </w:p>
        </w:tc>
        <w:tc>
          <w:tcPr>
            <w:tcW w:w="1370" w:type="dxa"/>
            <w:tcBorders/>
            <w:shd w:fill="auto" w:val="clear"/>
            <w:tcMar>
              <w:bottom w:w="0" w:type="dxa"/>
            </w:tcMar>
            <w:vAlign w:val="center"/>
          </w:tcPr>
          <w:p>
            <w:pPr>
              <w:pStyle w:val="TableContents"/>
              <w:spacing w:before="0" w:after="283"/>
              <w:jc w:val="center"/>
              <w:rPr/>
            </w:pPr>
            <w:r>
              <w:rPr/>
              <w:t>June 12, 2020</w:t>
            </w:r>
          </w:p>
        </w:tc>
      </w:tr>
      <w:tr>
        <w:trPr/>
        <w:tc>
          <w:tcPr>
            <w:tcW w:w="2450" w:type="dxa"/>
            <w:tcBorders/>
            <w:shd w:fill="auto" w:val="clear"/>
            <w:tcMar>
              <w:bottom w:w="0" w:type="dxa"/>
            </w:tcMar>
            <w:vAlign w:val="center"/>
          </w:tcPr>
          <w:p>
            <w:pPr>
              <w:pStyle w:val="TableContents"/>
              <w:spacing w:before="0" w:after="283"/>
              <w:rPr/>
            </w:pPr>
            <w:r>
              <w:rPr/>
              <w:t>N. David Eansor</w:t>
            </w:r>
          </w:p>
        </w:tc>
        <w:tc>
          <w:tcPr>
            <w:tcW w:w="60" w:type="dxa"/>
            <w:tcBorders/>
            <w:shd w:fill="auto" w:val="clear"/>
            <w:tcMar>
              <w:bottom w:w="0" w:type="dxa"/>
            </w:tcMar>
            <w:vAlign w:val="center"/>
          </w:tcPr>
          <w:p>
            <w:pPr>
              <w:pStyle w:val="TableContents"/>
              <w:spacing w:before="0" w:after="283"/>
              <w:rPr/>
            </w:pPr>
            <w:r>
              <w:rPr/>
              <w:t> </w:t>
            </w:r>
          </w:p>
        </w:tc>
        <w:tc>
          <w:tcPr>
            <w:tcW w:w="4520"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1370" w:type="dxa"/>
            <w:tcBorders/>
            <w:shd w:fill="auto" w:val="clear"/>
            <w:tcMar>
              <w:bottom w:w="0" w:type="dxa"/>
            </w:tcMar>
            <w:vAlign w:val="center"/>
          </w:tcPr>
          <w:p>
            <w:pPr>
              <w:pStyle w:val="TableContents"/>
              <w:spacing w:before="0" w:after="283"/>
              <w:jc w:val="center"/>
              <w:rPr/>
            </w:pPr>
            <w:r>
              <w:rPr/>
              <w:t> </w:t>
            </w:r>
          </w:p>
        </w:tc>
      </w:tr>
      <w:tr>
        <w:trPr/>
        <w:tc>
          <w:tcPr>
            <w:tcW w:w="24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4520"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1370" w:type="dxa"/>
            <w:tcBorders/>
            <w:shd w:fill="auto" w:val="clear"/>
            <w:tcMar>
              <w:bottom w:w="0" w:type="dxa"/>
            </w:tcMar>
            <w:vAlign w:val="center"/>
          </w:tcPr>
          <w:p>
            <w:pPr>
              <w:pStyle w:val="TableContents"/>
              <w:spacing w:before="0" w:after="283"/>
              <w:jc w:val="center"/>
              <w:rPr/>
            </w:pPr>
            <w:r>
              <w:rPr/>
              <w:t> </w:t>
            </w:r>
          </w:p>
        </w:tc>
      </w:tr>
      <w:tr>
        <w:trPr/>
        <w:tc>
          <w:tcPr>
            <w:tcW w:w="2450" w:type="dxa"/>
            <w:tcBorders>
              <w:bottom w:val="single" w:sz="8" w:space="0" w:color="000000"/>
            </w:tcBorders>
            <w:shd w:fill="auto" w:val="clear"/>
            <w:vAlign w:val="center"/>
          </w:tcPr>
          <w:p>
            <w:pPr>
              <w:pStyle w:val="TableContents"/>
              <w:spacing w:before="0" w:after="283"/>
              <w:rPr/>
            </w:pPr>
            <w:r>
              <w:rPr/>
              <w:t>/s/ Steve Elms</w:t>
            </w:r>
          </w:p>
        </w:tc>
        <w:tc>
          <w:tcPr>
            <w:tcW w:w="60" w:type="dxa"/>
            <w:tcBorders/>
            <w:shd w:fill="auto" w:val="clear"/>
            <w:tcMar>
              <w:bottom w:w="0" w:type="dxa"/>
            </w:tcMar>
            <w:vAlign w:val="center"/>
          </w:tcPr>
          <w:p>
            <w:pPr>
              <w:pStyle w:val="TableContents"/>
              <w:spacing w:before="0" w:after="283"/>
              <w:rPr/>
            </w:pPr>
            <w:r>
              <w:rPr/>
              <w:t> </w:t>
            </w:r>
          </w:p>
        </w:tc>
        <w:tc>
          <w:tcPr>
            <w:tcW w:w="4520" w:type="dxa"/>
            <w:tcBorders/>
            <w:shd w:fill="auto" w:val="clear"/>
            <w:tcMar>
              <w:bottom w:w="0" w:type="dxa"/>
            </w:tcMar>
            <w:vAlign w:val="center"/>
          </w:tcPr>
          <w:p>
            <w:pPr>
              <w:pStyle w:val="TableContents"/>
              <w:spacing w:before="0" w:after="283"/>
              <w:jc w:val="center"/>
              <w:rPr/>
            </w:pPr>
            <w:r>
              <w:rPr/>
              <w:t>Director</w:t>
            </w:r>
          </w:p>
        </w:tc>
        <w:tc>
          <w:tcPr>
            <w:tcW w:w="60" w:type="dxa"/>
            <w:tcBorders/>
            <w:shd w:fill="auto" w:val="clear"/>
            <w:tcMar>
              <w:bottom w:w="0" w:type="dxa"/>
            </w:tcMar>
            <w:vAlign w:val="center"/>
          </w:tcPr>
          <w:p>
            <w:pPr>
              <w:pStyle w:val="TableContents"/>
              <w:spacing w:before="0" w:after="283"/>
              <w:rPr/>
            </w:pPr>
            <w:r>
              <w:rPr/>
              <w:t> </w:t>
            </w:r>
          </w:p>
        </w:tc>
        <w:tc>
          <w:tcPr>
            <w:tcW w:w="1370" w:type="dxa"/>
            <w:tcBorders/>
            <w:shd w:fill="auto" w:val="clear"/>
            <w:tcMar>
              <w:bottom w:w="0" w:type="dxa"/>
            </w:tcMar>
            <w:vAlign w:val="center"/>
          </w:tcPr>
          <w:p>
            <w:pPr>
              <w:pStyle w:val="TableContents"/>
              <w:spacing w:before="0" w:after="283"/>
              <w:jc w:val="center"/>
              <w:rPr/>
            </w:pPr>
            <w:r>
              <w:rPr/>
              <w:t>June 12, 2020</w:t>
            </w:r>
          </w:p>
        </w:tc>
      </w:tr>
      <w:tr>
        <w:trPr/>
        <w:tc>
          <w:tcPr>
            <w:tcW w:w="2450" w:type="dxa"/>
            <w:tcBorders/>
            <w:shd w:fill="auto" w:val="clear"/>
            <w:tcMar>
              <w:bottom w:w="0" w:type="dxa"/>
            </w:tcMar>
            <w:vAlign w:val="center"/>
          </w:tcPr>
          <w:p>
            <w:pPr>
              <w:pStyle w:val="TableContents"/>
              <w:spacing w:before="0" w:after="283"/>
              <w:rPr/>
            </w:pPr>
            <w:r>
              <w:rPr/>
              <w:t>Steve Elms</w:t>
            </w:r>
          </w:p>
        </w:tc>
        <w:tc>
          <w:tcPr>
            <w:tcW w:w="60" w:type="dxa"/>
            <w:tcBorders/>
            <w:shd w:fill="auto" w:val="clear"/>
            <w:tcMar>
              <w:bottom w:w="0" w:type="dxa"/>
            </w:tcMar>
            <w:vAlign w:val="center"/>
          </w:tcPr>
          <w:p>
            <w:pPr>
              <w:pStyle w:val="TableContents"/>
              <w:spacing w:before="0" w:after="283"/>
              <w:rPr/>
            </w:pPr>
            <w:r>
              <w:rPr/>
              <w:t> </w:t>
            </w:r>
          </w:p>
        </w:tc>
        <w:tc>
          <w:tcPr>
            <w:tcW w:w="4520"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1370" w:type="dxa"/>
            <w:tcBorders/>
            <w:shd w:fill="auto" w:val="clear"/>
            <w:tcMar>
              <w:bottom w:w="0" w:type="dxa"/>
            </w:tcM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r>
        <w:br w:type="page"/>
      </w:r>
    </w:p>
    <w:p>
      <w:pPr>
        <w:pStyle w:val="TextBody"/>
        <w:rPr/>
      </w:pPr>
      <w:bookmarkStart w:id="3" w:name="tm2022347d1_ex5-1.htm"/>
      <w:bookmarkStart w:id="4" w:name="kstm2022347d1_ex51"/>
      <w:bookmarkEnd w:id="3"/>
      <w:bookmarkEnd w:id="4"/>
      <w:r>
        <w:rPr/>
        <w:t> </w:t>
      </w:r>
    </w:p>
    <w:p>
      <w:pPr>
        <w:pStyle w:val="TextBody"/>
        <w:jc w:val="right"/>
        <w:rPr>
          <w:b/>
        </w:rPr>
      </w:pPr>
      <w:r>
        <w:rPr>
          <w:b/>
        </w:rPr>
        <w:t>Exhibit 5.1</w:t>
      </w:r>
    </w:p>
    <w:p>
      <w:pPr>
        <w:pStyle w:val="TextBody"/>
        <w:jc w:val="right"/>
        <w:rPr/>
      </w:pPr>
      <w:r>
        <w:rPr/>
        <w:t> </w:t>
      </w:r>
    </w:p>
    <w:p>
      <w:pPr>
        <w:pStyle w:val="TextBody"/>
        <w:jc w:val="left"/>
        <w:rPr/>
      </w:pPr>
      <w:r>
        <w:rPr/>
        <w:drawing>
          <wp:inline distT="0" distB="0" distL="0" distR="0">
            <wp:extent cx="762000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67"/>
                    <a:stretch>
                      <a:fillRect/>
                    </a:stretch>
                  </pic:blipFill>
                  <pic:spPr bwMode="auto">
                    <a:xfrm>
                      <a:off x="0" y="0"/>
                      <a:ext cx="7620000" cy="419100"/>
                    </a:xfrm>
                    <a:prstGeom prst="rect">
                      <a:avLst/>
                    </a:prstGeom>
                  </pic:spPr>
                </pic:pic>
              </a:graphicData>
            </a:graphic>
          </wp:inline>
        </w:drawing>
      </w:r>
    </w:p>
    <w:p>
      <w:pPr>
        <w:pStyle w:val="TextBody"/>
        <w:jc w:val="left"/>
        <w:rPr/>
      </w:pPr>
      <w:r>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Divakar Gupta</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+1 212 479 6474</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dgupta@cooley.com</w:t>
      </w:r>
    </w:p>
    <w:p>
      <w:pPr>
        <w:pStyle w:val="TextBody"/>
        <w:rPr/>
      </w:pPr>
      <w:r>
        <w:rPr/>
        <w:t> </w:t>
      </w:r>
    </w:p>
    <w:p>
      <w:pPr>
        <w:pStyle w:val="TextBody"/>
        <w:rPr/>
      </w:pPr>
      <w:r>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12, 2020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Marker Therapeutics, Inc.</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3200 Southwest Freeway</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2240</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TX 77027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represented Marker Therapeutics,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 connection with the filing by the Company of a registration statement on Form S-8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with the Securities and Exchange Commission, covering the offering of up to 10,772,798 shares of the Company’s common stock, par value $0.01 per share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issuable pursuant to the Company’s 2020 Equity Incentive Plan (the “</w:t>
      </w:r>
      <w:r>
        <w:rPr>
          <w:rFonts w:ascii="Times New Roman;Times;Serif" w:hAnsi="Times New Roman;Times;Serif"/>
          <w:b/>
          <w:i/>
          <w:caps w:val="false"/>
          <w:smallCaps w:val="false"/>
          <w:sz w:val="20"/>
        </w:rPr>
        <w:t>2020 Plan</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examined and relied upon (i) the Registration Statement and related prospectus, (ii) the Company’s Amended and Restated Certificate of Incorporation, as amended, and Amended and Restated Bylaws, each as currently in effect, (iii) the 2020 Plan, and (iv) originals or copies certified to our satisfaction of such records, documents, certificates, memoranda and other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and the due execution and delivery of all documents for all persons other than the Company, where due execution and delivery are a prerequisite to the effectiveness thereof. As to certain factual matters, we have relied upon a certificate of an officer of the Company and have not independently verified such matters.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foregoing, and in reliance thereon, we are of the opinion that the Shares, when issued in accordance with the 2020 Plan, the Registration Statement and related prospectus, will be validly issued, fully paid and non-assessable (except as to shares issued pursuant to certain deferred payment arrangements, which will be fully paid and nonassessable when such deferred payments are made in full).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Cooley LLP 55 Hudson Yards New York, NY 10001</w:t>
        <w:br/>
        <w:t>t: (212) 479-6000 f: (212) 479-6275 cooley.com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r>
        <w:rPr>
          <w:caps w:val="false"/>
          <w:smallCaps w:val="false"/>
        </w:rPr>
        <w:drawing>
          <wp:inline distT="0" distB="0" distL="0" distR="0">
            <wp:extent cx="7620000" cy="41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68"/>
                    <a:stretch>
                      <a:fillRect/>
                    </a:stretch>
                  </pic:blipFill>
                  <pic:spPr bwMode="auto">
                    <a:xfrm>
                      <a:off x="0" y="0"/>
                      <a:ext cx="7620000" cy="419100"/>
                    </a:xfrm>
                    <a:prstGeom prst="rect">
                      <a:avLst/>
                    </a:prstGeom>
                  </pic:spPr>
                </pic:pic>
              </a:graphicData>
            </a:graphic>
          </wp:inline>
        </w:drawing>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Marker Therapeutics, Inc.</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12, 2020</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Two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filing of this opinion as an exhibit to the Registration Statement.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Cooley LLP</w:t>
      </w:r>
    </w:p>
    <w:p>
      <w:pPr>
        <w:pStyle w:val="TextBody"/>
        <w:spacing w:before="0" w:after="0"/>
        <w:ind w:left="0" w:right="0" w:hanging="0"/>
        <w:rPr>
          <w:caps w:val="false"/>
          <w:smallCaps w:val="false"/>
        </w:rPr>
      </w:pPr>
      <w:r>
        <w:rPr>
          <w:caps w:val="false"/>
          <w:smallCaps w:val="false"/>
        </w:rPr>
        <w:t> </w:t>
      </w:r>
    </w:p>
    <w:tbl>
      <w:tblPr>
        <w:tblW w:w="1855" w:type="dxa"/>
        <w:jc w:val="left"/>
        <w:tblInd w:w="0" w:type="dxa"/>
        <w:tblCellMar>
          <w:top w:w="0" w:type="dxa"/>
          <w:left w:w="0" w:type="dxa"/>
          <w:bottom w:w="0" w:type="dxa"/>
          <w:right w:w="0" w:type="dxa"/>
        </w:tblCellMar>
      </w:tblPr>
      <w:tblGrid>
        <w:gridCol w:w="335"/>
        <w:gridCol w:w="1445"/>
        <w:gridCol w:w="75"/>
      </w:tblGrid>
      <w:tr>
        <w:trPr/>
        <w:tc>
          <w:tcPr>
            <w:tcW w:w="3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144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Divakar Gupta</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14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Divakar Gupta</w:t>
            </w:r>
          </w:p>
        </w:tc>
        <w:tc>
          <w:tcPr>
            <w:tcW w:w="75" w:type="dxa"/>
            <w:tcBorders/>
            <w:shd w:fill="auto" w:val="clear"/>
            <w:vAlign w:val="center"/>
          </w:tcPr>
          <w:p>
            <w:pPr>
              <w:pStyle w:val="TableContents"/>
              <w:spacing w:before="0" w:after="283"/>
              <w:rPr/>
            </w:pPr>
            <w:r>
              <w:rPr/>
              <w:t> </w:t>
            </w:r>
          </w:p>
        </w:tc>
      </w:tr>
    </w:tbl>
    <w:p>
      <w:pPr>
        <w:pStyle w:val="TextBody"/>
        <w:spacing w:before="0" w:after="0"/>
        <w:ind w:left="720" w:right="0" w:hanging="720"/>
        <w:rPr>
          <w:caps w:val="false"/>
          <w:smallCaps w:val="false"/>
        </w:rPr>
      </w:pPr>
      <w:r>
        <w:rPr>
          <w:caps w:val="false"/>
          <w:smallCaps w:val="false"/>
        </w:rPr>
        <w:t> </w:t>
      </w:r>
    </w:p>
    <w:p>
      <w:pPr>
        <w:pStyle w:val="TextBody"/>
        <w:spacing w:before="0" w:after="0"/>
        <w:ind w:left="720" w:right="0" w:hanging="72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Cooley LLP 55 Hudson Yards New York, NY 10001</w:t>
        <w:br/>
        <w:t>t: (212) 479-6000 f: (212) 479-6275 cooley.com</w:t>
      </w:r>
    </w:p>
    <w:p>
      <w:pPr>
        <w:pStyle w:val="TextBody"/>
        <w:spacing w:before="0" w:after="0"/>
        <w:ind w:left="720" w:right="0" w:hanging="72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r>
        <w:br w:type="page"/>
      </w:r>
    </w:p>
    <w:p>
      <w:pPr>
        <w:pStyle w:val="TextBody"/>
        <w:rPr/>
      </w:pPr>
      <w:bookmarkStart w:id="5" w:name="tm2022347d1_ex23-1.htm"/>
      <w:bookmarkStart w:id="6" w:name="kstm2022347d1_ex231"/>
      <w:bookmarkEnd w:id="5"/>
      <w:bookmarkEnd w:id="6"/>
      <w:r>
        <w:rPr/>
        <w:t> </w:t>
      </w:r>
    </w:p>
    <w:p>
      <w:pPr>
        <w:pStyle w:val="TextBody"/>
        <w:jc w:val="right"/>
        <w:rPr>
          <w:b/>
        </w:rPr>
      </w:pPr>
      <w:r>
        <w:rPr>
          <w:b/>
        </w:rPr>
        <w:t>Exhibit 23.1</w:t>
      </w:r>
    </w:p>
    <w:p>
      <w:pPr>
        <w:pStyle w:val="TextBody"/>
        <w:rPr/>
      </w:pPr>
      <w:r>
        <w:rPr/>
        <w:t>  </w:t>
      </w:r>
    </w:p>
    <w:p>
      <w:pPr>
        <w:pStyle w:val="TextBody"/>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Independent Registered Public Accounting Firm’s Consent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of Marker Therapeutics, Inc. on Form S-8 of our report dated March 12, 2020, with respect to our audits of the consolidated financial statements of Marker Therapeutics, Inc. as of December 31, 2019 and 2018 and for each of the two years ended December 31, 2019 and our report dated March 12, 2020 with respect to our audit of internal control over financial reporting of Marker Therapeutics as of December 31, 2019 appearing in the Annual Report on Form 10-K of Marker Therapeutics, Inc. for the year ended December 31, 2019.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Marcum </w:t>
      </w:r>
      <w:r>
        <w:rPr>
          <w:rFonts w:ascii="Times New Roman;Times;Serif" w:hAnsi="Times New Roman;Times;Serif"/>
          <w:b w:val="false"/>
          <w:i w:val="false"/>
          <w:smallCaps/>
          <w:sz w:val="20"/>
        </w:rPr>
        <w:t>llp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Marcum </w:t>
      </w:r>
      <w:r>
        <w:rPr>
          <w:rFonts w:ascii="Times New Roman;Times;Serif" w:hAnsi="Times New Roman;Times;Serif"/>
          <w:b w:val="false"/>
          <w:i w:val="false"/>
          <w:smallCaps/>
          <w:sz w:val="20"/>
        </w:rPr>
        <w:t>llp</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12, 2020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r>
        <w:br w:type="page"/>
      </w:r>
    </w:p>
    <w:p>
      <w:pPr>
        <w:pStyle w:val="TextBody"/>
        <w:spacing w:lineRule="atLeast" w:line="240" w:before="340" w:after="283"/>
        <w:ind w:left="1393" w:right="0" w:hanging="0"/>
        <w:rPr/>
      </w:pPr>
      <w:bookmarkStart w:id="7" w:name="tm2022347d1_ex99-1.htm"/>
      <w:bookmarkStart w:id="8" w:name="kstm2022347d1_ex991"/>
      <w:bookmarkEnd w:id="7"/>
      <w:bookmarkEnd w:id="8"/>
      <w:r>
        <w:rPr>
          <w:spacing w:val="4"/>
        </w:rPr>
        <w:t> </w:t>
      </w:r>
      <w:r>
        <w:rPr/>
        <w:t xml:space="preserve"> </w:t>
      </w:r>
    </w:p>
    <w:p>
      <w:pPr>
        <w:pStyle w:val="TextBody"/>
        <w:spacing w:lineRule="atLeast" w:line="240" w:before="120" w:after="10400"/>
        <w:ind w:left="1793" w:right="0" w:hanging="0"/>
        <w:jc w:val="right"/>
        <w:rPr/>
      </w:pPr>
      <w:r>
        <w:rPr>
          <w:spacing w:val="4"/>
        </w:rPr>
        <w:t>Appendix A</w:t>
      </w:r>
      <w:r>
        <w:rPr/>
        <w:t>​</w:t>
      </w:r>
    </w:p>
    <w:p>
      <w:pPr>
        <w:pStyle w:val="TextBody"/>
        <w:spacing w:lineRule="atLeast" w:line="240" w:before="240" w:after="283"/>
        <w:jc w:val="center"/>
        <w:rPr/>
      </w:pPr>
      <w:r>
        <w:rPr>
          <w:spacing w:val="4"/>
        </w:rPr>
        <w:t>M</w:t>
      </w:r>
      <w:r>
        <w:rPr>
          <w:spacing w:val="3"/>
          <w:sz w:val="16"/>
        </w:rPr>
        <w:t>ARKER</w:t>
      </w:r>
      <w:r>
        <w:rPr>
          <w:spacing w:val="4"/>
        </w:rPr>
        <w:t xml:space="preserve"> T</w:t>
      </w:r>
      <w:r>
        <w:rPr>
          <w:spacing w:val="3"/>
          <w:sz w:val="16"/>
        </w:rPr>
        <w:t>HERAPEUTICS</w:t>
      </w:r>
      <w:r>
        <w:rPr>
          <w:spacing w:val="4"/>
        </w:rPr>
        <w:t>, I</w:t>
      </w:r>
      <w:r>
        <w:rPr>
          <w:spacing w:val="3"/>
          <w:sz w:val="16"/>
        </w:rPr>
        <w:t>NC</w:t>
      </w:r>
      <w:r>
        <w:rPr>
          <w:spacing w:val="4"/>
        </w:rPr>
        <w:t xml:space="preserve">. </w:t>
      </w:r>
      <w:r>
        <w:rPr/>
        <w:br/>
      </w:r>
      <w:r>
        <w:rPr>
          <w:spacing w:val="4"/>
        </w:rPr>
        <w:t>2020 E</w:t>
      </w:r>
      <w:r>
        <w:rPr>
          <w:spacing w:val="3"/>
          <w:sz w:val="16"/>
        </w:rPr>
        <w:t>QUITY</w:t>
      </w:r>
      <w:r>
        <w:rPr>
          <w:spacing w:val="4"/>
        </w:rPr>
        <w:t xml:space="preserve"> I</w:t>
      </w:r>
      <w:r>
        <w:rPr>
          <w:spacing w:val="3"/>
          <w:sz w:val="16"/>
        </w:rPr>
        <w:t>NCENTIVE</w:t>
      </w:r>
      <w:r>
        <w:rPr>
          <w:spacing w:val="4"/>
        </w:rPr>
        <w:t xml:space="preserve"> P</w:t>
      </w:r>
      <w:r>
        <w:rPr>
          <w:spacing w:val="3"/>
          <w:sz w:val="16"/>
        </w:rPr>
        <w:t>LAN</w:t>
      </w:r>
      <w:r>
        <w:rPr>
          <w:spacing w:val="4"/>
        </w:rPr>
        <w:t xml:space="preserve"> </w:t>
      </w:r>
    </w:p>
    <w:p>
      <w:pPr>
        <w:pStyle w:val="TextBody"/>
        <w:spacing w:lineRule="atLeast" w:line="240" w:before="720" w:after="283"/>
        <w:jc w:val="center"/>
        <w:rPr/>
      </w:pPr>
      <w:r>
        <w:rPr>
          <w:spacing w:val="4"/>
        </w:rPr>
        <w:t>A</w:t>
      </w:r>
      <w:r>
        <w:rPr>
          <w:spacing w:val="3"/>
          <w:sz w:val="16"/>
        </w:rPr>
        <w:t>DOPTED BY THE</w:t>
      </w:r>
      <w:r>
        <w:rPr/>
        <w:t xml:space="preserve"> </w:t>
      </w:r>
      <w:r>
        <w:rPr>
          <w:spacing w:val="4"/>
        </w:rPr>
        <w:t>B</w:t>
      </w:r>
      <w:r>
        <w:rPr>
          <w:spacing w:val="3"/>
          <w:sz w:val="16"/>
        </w:rPr>
        <w:t xml:space="preserve">OARD OF </w:t>
      </w:r>
      <w:r>
        <w:rPr>
          <w:spacing w:val="4"/>
        </w:rPr>
        <w:t>D</w:t>
      </w:r>
      <w:r>
        <w:rPr>
          <w:spacing w:val="3"/>
          <w:sz w:val="16"/>
        </w:rPr>
        <w:t>IRECTORS</w:t>
      </w:r>
      <w:r>
        <w:rPr>
          <w:spacing w:val="4"/>
        </w:rPr>
        <w:t xml:space="preserve">: </w:t>
      </w:r>
      <w:r>
        <w:rPr>
          <w:smallCaps/>
          <w:spacing w:val="4"/>
          <w:sz w:val="24"/>
        </w:rPr>
        <w:t>A</w:t>
      </w:r>
      <w:r>
        <w:rPr>
          <w:smallCaps/>
          <w:spacing w:val="4"/>
          <w:sz w:val="20"/>
        </w:rPr>
        <w:t>pril 14, 2020</w:t>
      </w:r>
    </w:p>
    <w:p>
      <w:pPr>
        <w:pStyle w:val="TextBody"/>
        <w:spacing w:lineRule="atLeast" w:line="240" w:before="40" w:after="283"/>
        <w:jc w:val="center"/>
        <w:rPr/>
      </w:pPr>
      <w:r>
        <w:rPr>
          <w:spacing w:val="4"/>
        </w:rPr>
        <w:t>A</w:t>
      </w:r>
      <w:r>
        <w:rPr>
          <w:spacing w:val="3"/>
          <w:sz w:val="16"/>
        </w:rPr>
        <w:t>PPROVED BY THE</w:t>
      </w:r>
      <w:r>
        <w:rPr/>
        <w:t xml:space="preserve"> </w:t>
      </w:r>
      <w:r>
        <w:rPr>
          <w:spacing w:val="4"/>
        </w:rPr>
        <w:t>S</w:t>
      </w:r>
      <w:r>
        <w:rPr>
          <w:spacing w:val="3"/>
          <w:sz w:val="16"/>
        </w:rPr>
        <w:t>TOCKHOLDERS</w:t>
      </w:r>
      <w:r>
        <w:rPr>
          <w:spacing w:val="4"/>
        </w:rPr>
        <w:t>:</w:t>
      </w:r>
      <w:r>
        <w:rPr>
          <w:smallCaps/>
          <w:spacing w:val="4"/>
        </w:rPr>
        <w:t> </w:t>
      </w:r>
      <w:r>
        <w:rPr>
          <w:smallCaps/>
          <w:spacing w:val="4"/>
          <w:sz w:val="24"/>
        </w:rPr>
        <w:t>M</w:t>
      </w:r>
      <w:r>
        <w:rPr>
          <w:smallCaps/>
          <w:spacing w:val="4"/>
          <w:sz w:val="20"/>
        </w:rPr>
        <w:t>ay 19, 2020</w:t>
      </w:r>
    </w:p>
    <w:p>
      <w:pPr>
        <w:pStyle w:val="TextBody"/>
        <w:spacing w:lineRule="atLeast" w:line="240" w:before="100" w:after="283"/>
        <w:ind w:left="1393" w:right="0" w:hanging="0"/>
        <w:jc w:val="center"/>
        <w:rPr/>
      </w:pPr>
      <w:r>
        <w:rPr>
          <w:spacing w:val="4"/>
        </w:rPr>
        <w:t> </w:t>
      </w:r>
      <w:r>
        <w:rPr/>
        <w:t xml:space="preserve"> </w:t>
      </w:r>
    </w:p>
    <w:p>
      <w:pPr>
        <w:pStyle w:val="TextBody"/>
        <w:spacing w:lineRule="atLeast" w:line="240" w:before="100" w:after="283"/>
        <w:ind w:left="1393" w:right="0" w:hanging="0"/>
        <w:jc w:val="center"/>
        <w:rPr>
          <w:b w:val="false"/>
        </w:rPr>
      </w:pPr>
      <w:r>
        <w:rPr>
          <w:b w:val="false"/>
          <w:spacing w:val="4"/>
        </w:rPr>
        <w:t>A-1</w:t>
      </w:r>
      <w:r>
        <w:rPr>
          <w:b w:val="false"/>
        </w:rPr>
        <w:t xml:space="preserve"> </w:t>
      </w:r>
    </w:p>
    <w:p>
      <w:pPr>
        <w:pStyle w:val="HorizontalLine"/>
        <w:rPr/>
      </w:pPr>
      <w:r>
        <w:rPr/>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CellMar>
          <w:top w:w="0" w:type="dxa"/>
          <w:left w:w="0" w:type="dxa"/>
          <w:bottom w:w="0" w:type="dxa"/>
          <w:right w:w="0" w:type="dxa"/>
        </w:tblCellMar>
      </w:tblPr>
      <w:tblGrid>
        <w:gridCol w:w="7820"/>
        <w:gridCol w:w="109"/>
        <w:gridCol w:w="109"/>
        <w:gridCol w:w="619"/>
        <w:gridCol w:w="155"/>
      </w:tblGrid>
      <w:tr>
        <w:trPr/>
        <w:tc>
          <w:tcPr>
            <w:tcW w:w="7820"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19" w:type="dxa"/>
            <w:tcBorders/>
            <w:shd w:fill="auto" w:val="clear"/>
            <w:vAlign w:val="center"/>
          </w:tcPr>
          <w:p>
            <w:pPr>
              <w:pStyle w:val="TableContents"/>
              <w:spacing w:before="0" w:after="0"/>
              <w:jc w:val="center"/>
              <w:rPr>
                <w:spacing w:val="3"/>
              </w:rPr>
            </w:pPr>
            <w:r>
              <w:rPr>
                <w:spacing w:val="3"/>
              </w:rPr>
              <w:t xml:space="preserve">Page </w:t>
            </w:r>
          </w:p>
        </w:tc>
        <w:tc>
          <w:tcPr>
            <w:tcW w:w="155" w:type="dxa"/>
            <w:tcBorders/>
            <w:shd w:fill="auto" w:val="clear"/>
            <w:vAlign w:val="center"/>
          </w:tcPr>
          <w:p>
            <w:pPr>
              <w:pStyle w:val="TableContents"/>
              <w:spacing w:before="0" w:after="283"/>
              <w:rPr/>
            </w:pPr>
            <w:r>
              <w:rPr/>
              <w:t>​</w:t>
            </w:r>
          </w:p>
        </w:tc>
      </w:tr>
      <w:tr>
        <w:trPr/>
        <w:tc>
          <w:tcPr>
            <w:tcW w:w="7820" w:type="dxa"/>
            <w:tcBorders/>
            <w:shd w:fill="CCEEFF" w:val="clear"/>
            <w:vAlign w:val="center"/>
          </w:tcPr>
          <w:p>
            <w:pPr>
              <w:pStyle w:val="TableContents"/>
              <w:spacing w:lineRule="atLeast" w:line="200" w:before="0" w:after="0"/>
              <w:ind w:left="680" w:right="0" w:hanging="0"/>
              <w:jc w:val="left"/>
              <w:rPr/>
            </w:pPr>
            <w:r>
              <w:rPr>
                <w:caps/>
                <w:spacing w:val="4"/>
              </w:rPr>
              <w:t>GENERAL.</w:t>
            </w:r>
            <w:r>
              <w:rPr/>
              <w:t xml:space="preserve">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431800" cy="350520"/>
                      <wp:effectExtent l="0" t="0" r="0" b="0"/>
                      <wp:wrapSquare wrapText="largest"/>
                      <wp:docPr id="3" name="Frame1"/>
                      <a:graphic xmlns:a="http://schemas.openxmlformats.org/drawingml/2006/main">
                        <a:graphicData uri="http://schemas.microsoft.com/office/word/2010/wordprocessingShape">
                          <wps:wsp>
                            <wps:cNvSpPr txBox="1"/>
                            <wps:spPr>
                              <a:xfrm>
                                <a:off x="0" y="0"/>
                                <a:ext cx="431800" cy="350520"/>
                              </a:xfrm>
                              <a:prstGeom prst="rect"/>
                            </wps:spPr>
                            <wps:txbx>
                              <w:txbxContent>
                                <w:p>
                                  <w:pPr>
                                    <w:pStyle w:val="TextBody"/>
                                    <w:spacing w:lineRule="atLeast" w:line="20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3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1.</w:t>
                            </w:r>
                            <w:r>
                              <w:rPr/>
                              <w:t xml:space="preserve"> </w:t>
                              <w:br/>
                            </w:r>
                          </w:p>
                        </w:txbxContent>
                      </v:textbox>
                      <w10:wrap type="square" side="right"/>
                    </v:rect>
                  </w:pict>
                </mc:Fallback>
              </mc:AlternateConten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619" w:type="dxa"/>
            <w:tcBorders/>
            <w:shd w:fill="CCEEFF" w:val="clear"/>
            <w:vAlign w:val="center"/>
          </w:tcPr>
          <w:p>
            <w:pPr>
              <w:pStyle w:val="TableContents"/>
              <w:spacing w:before="0" w:after="0"/>
              <w:jc w:val="right"/>
              <w:rPr/>
            </w:pPr>
            <w:r>
              <w:rPr>
                <w:spacing w:val="4"/>
              </w:rPr>
              <w:t>1</w:t>
            </w:r>
            <w:r>
              <w:rPr/>
              <w:t xml:space="preserve">​ </w:t>
            </w:r>
          </w:p>
        </w:tc>
        <w:tc>
          <w:tcPr>
            <w:tcW w:w="155" w:type="dxa"/>
            <w:tcBorders/>
            <w:shd w:fill="CCEEFF" w:val="clear"/>
            <w:vAlign w:val="center"/>
          </w:tcPr>
          <w:p>
            <w:pPr>
              <w:pStyle w:val="TableContents"/>
              <w:spacing w:before="0" w:after="283"/>
              <w:rPr/>
            </w:pPr>
            <w:r>
              <w:rPr/>
              <w:t>​</w:t>
            </w:r>
          </w:p>
        </w:tc>
      </w:tr>
      <w:tr>
        <w:trPr/>
        <w:tc>
          <w:tcPr>
            <w:tcW w:w="7820" w:type="dxa"/>
            <w:tcBorders/>
            <w:shd w:fill="auto" w:val="clear"/>
            <w:vAlign w:val="center"/>
          </w:tcPr>
          <w:p>
            <w:pPr>
              <w:pStyle w:val="TableContents"/>
              <w:spacing w:lineRule="atLeast" w:line="200" w:before="0" w:after="0"/>
              <w:ind w:left="680" w:right="0" w:hanging="0"/>
              <w:jc w:val="left"/>
              <w:rPr/>
            </w:pPr>
            <w:r>
              <w:rPr>
                <w:caps/>
                <w:spacing w:val="4"/>
              </w:rPr>
              <w:t>SHARES SUBJECT TO THE PLAN.</w:t>
            </w:r>
            <w:r>
              <w:rPr/>
              <w:t xml:space="preserve">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31800" cy="350520"/>
                      <wp:effectExtent l="0" t="0" r="0" b="0"/>
                      <wp:wrapSquare wrapText="largest"/>
                      <wp:docPr id="4" name="Frame2"/>
                      <a:graphic xmlns:a="http://schemas.openxmlformats.org/drawingml/2006/main">
                        <a:graphicData uri="http://schemas.microsoft.com/office/word/2010/wordprocessingShape">
                          <wps:wsp>
                            <wps:cNvSpPr txBox="1"/>
                            <wps:spPr>
                              <a:xfrm>
                                <a:off x="0" y="0"/>
                                <a:ext cx="431800" cy="350520"/>
                              </a:xfrm>
                              <a:prstGeom prst="rect"/>
                            </wps:spPr>
                            <wps:txbx>
                              <w:txbxContent>
                                <w:p>
                                  <w:pPr>
                                    <w:pStyle w:val="TextBody"/>
                                    <w:spacing w:lineRule="atLeast" w:line="20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3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2.</w:t>
                            </w:r>
                            <w:r>
                              <w:rPr/>
                              <w:t xml:space="preserve"> </w:t>
                              <w:br/>
                            </w:r>
                          </w:p>
                        </w:txbxContent>
                      </v:textbox>
                      <w10:wrap type="square" side="right"/>
                    </v:rect>
                  </w:pict>
                </mc:Fallback>
              </mc:AlternateConten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19" w:type="dxa"/>
            <w:tcBorders/>
            <w:shd w:fill="auto" w:val="clear"/>
            <w:vAlign w:val="center"/>
          </w:tcPr>
          <w:p>
            <w:pPr>
              <w:pStyle w:val="TableContents"/>
              <w:spacing w:before="0" w:after="0"/>
              <w:jc w:val="right"/>
              <w:rPr/>
            </w:pPr>
            <w:r>
              <w:rPr>
                <w:spacing w:val="4"/>
              </w:rPr>
              <w:t>1</w:t>
            </w:r>
            <w:r>
              <w:rPr/>
              <w:t xml:space="preserve">​ </w:t>
            </w:r>
          </w:p>
        </w:tc>
        <w:tc>
          <w:tcPr>
            <w:tcW w:w="155" w:type="dxa"/>
            <w:tcBorders/>
            <w:shd w:fill="auto" w:val="clear"/>
            <w:vAlign w:val="center"/>
          </w:tcPr>
          <w:p>
            <w:pPr>
              <w:pStyle w:val="TableContents"/>
              <w:spacing w:before="0" w:after="283"/>
              <w:rPr/>
            </w:pPr>
            <w:r>
              <w:rPr/>
              <w:t>​</w:t>
            </w:r>
          </w:p>
        </w:tc>
      </w:tr>
      <w:tr>
        <w:trPr/>
        <w:tc>
          <w:tcPr>
            <w:tcW w:w="7820" w:type="dxa"/>
            <w:tcBorders/>
            <w:shd w:fill="CCEEFF" w:val="clear"/>
            <w:vAlign w:val="center"/>
          </w:tcPr>
          <w:p>
            <w:pPr>
              <w:pStyle w:val="TableContents"/>
              <w:spacing w:lineRule="atLeast" w:line="200" w:before="0" w:after="0"/>
              <w:ind w:left="680" w:right="0" w:hanging="0"/>
              <w:jc w:val="left"/>
              <w:rPr/>
            </w:pPr>
            <w:r>
              <w:rPr>
                <w:caps/>
                <w:spacing w:val="4"/>
              </w:rPr>
              <w:t>ELIGIBILITY AND LIMITATIONS.</w:t>
            </w:r>
            <w:r>
              <w:rPr/>
              <w:t xml:space="preserve">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31800" cy="350520"/>
                      <wp:effectExtent l="0" t="0" r="0" b="0"/>
                      <wp:wrapSquare wrapText="largest"/>
                      <wp:docPr id="5" name="Frame3"/>
                      <a:graphic xmlns:a="http://schemas.openxmlformats.org/drawingml/2006/main">
                        <a:graphicData uri="http://schemas.microsoft.com/office/word/2010/wordprocessingShape">
                          <wps:wsp>
                            <wps:cNvSpPr txBox="1"/>
                            <wps:spPr>
                              <a:xfrm>
                                <a:off x="0" y="0"/>
                                <a:ext cx="431800" cy="350520"/>
                              </a:xfrm>
                              <a:prstGeom prst="rect"/>
                            </wps:spPr>
                            <wps:txbx>
                              <w:txbxContent>
                                <w:p>
                                  <w:pPr>
                                    <w:pStyle w:val="TextBody"/>
                                    <w:spacing w:lineRule="atLeast" w:line="20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3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3.</w:t>
                            </w:r>
                            <w:r>
                              <w:rPr/>
                              <w:t xml:space="preserve"> </w:t>
                              <w:br/>
                            </w:r>
                          </w:p>
                        </w:txbxContent>
                      </v:textbox>
                      <w10:wrap type="square" side="right"/>
                    </v:rect>
                  </w:pict>
                </mc:Fallback>
              </mc:AlternateConten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619" w:type="dxa"/>
            <w:tcBorders/>
            <w:shd w:fill="CCEEFF" w:val="clear"/>
            <w:vAlign w:val="center"/>
          </w:tcPr>
          <w:p>
            <w:pPr>
              <w:pStyle w:val="TableContents"/>
              <w:spacing w:before="0" w:after="0"/>
              <w:jc w:val="right"/>
              <w:rPr/>
            </w:pPr>
            <w:r>
              <w:rPr>
                <w:spacing w:val="4"/>
              </w:rPr>
              <w:t>2</w:t>
            </w:r>
            <w:r>
              <w:rPr/>
              <w:t xml:space="preserve">​ </w:t>
            </w:r>
          </w:p>
        </w:tc>
        <w:tc>
          <w:tcPr>
            <w:tcW w:w="155" w:type="dxa"/>
            <w:tcBorders/>
            <w:shd w:fill="CCEEFF" w:val="clear"/>
            <w:vAlign w:val="center"/>
          </w:tcPr>
          <w:p>
            <w:pPr>
              <w:pStyle w:val="TableContents"/>
              <w:spacing w:before="0" w:after="283"/>
              <w:rPr/>
            </w:pPr>
            <w:r>
              <w:rPr/>
              <w:t>​</w:t>
            </w:r>
          </w:p>
        </w:tc>
      </w:tr>
      <w:tr>
        <w:trPr/>
        <w:tc>
          <w:tcPr>
            <w:tcW w:w="7820" w:type="dxa"/>
            <w:tcBorders/>
            <w:shd w:fill="auto" w:val="clear"/>
            <w:vAlign w:val="center"/>
          </w:tcPr>
          <w:p>
            <w:pPr>
              <w:pStyle w:val="TableContents"/>
              <w:spacing w:lineRule="atLeast" w:line="200" w:before="0" w:after="0"/>
              <w:ind w:left="680" w:right="0" w:hanging="0"/>
              <w:jc w:val="left"/>
              <w:rPr/>
            </w:pPr>
            <w:r>
              <w:rPr>
                <w:caps/>
                <w:spacing w:val="4"/>
              </w:rPr>
              <w:t>OPTIONS AND STOCK APPRECIATION RIGHTS.</w:t>
            </w:r>
            <w:r>
              <w:rPr/>
              <w:t xml:space="preserve">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431800" cy="350520"/>
                      <wp:effectExtent l="0" t="0" r="0" b="0"/>
                      <wp:wrapSquare wrapText="largest"/>
                      <wp:docPr id="6" name="Frame4"/>
                      <a:graphic xmlns:a="http://schemas.openxmlformats.org/drawingml/2006/main">
                        <a:graphicData uri="http://schemas.microsoft.com/office/word/2010/wordprocessingShape">
                          <wps:wsp>
                            <wps:cNvSpPr txBox="1"/>
                            <wps:spPr>
                              <a:xfrm>
                                <a:off x="0" y="0"/>
                                <a:ext cx="431800" cy="350520"/>
                              </a:xfrm>
                              <a:prstGeom prst="rect"/>
                            </wps:spPr>
                            <wps:txbx>
                              <w:txbxContent>
                                <w:p>
                                  <w:pPr>
                                    <w:pStyle w:val="TextBody"/>
                                    <w:spacing w:lineRule="atLeast" w:line="20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3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4.</w:t>
                            </w:r>
                            <w:r>
                              <w:rPr/>
                              <w:t xml:space="preserve"> </w:t>
                              <w:br/>
                            </w:r>
                          </w:p>
                        </w:txbxContent>
                      </v:textbox>
                      <w10:wrap type="square" side="right"/>
                    </v:rect>
                  </w:pict>
                </mc:Fallback>
              </mc:AlternateConten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19" w:type="dxa"/>
            <w:tcBorders/>
            <w:shd w:fill="auto" w:val="clear"/>
            <w:vAlign w:val="center"/>
          </w:tcPr>
          <w:p>
            <w:pPr>
              <w:pStyle w:val="TableContents"/>
              <w:spacing w:before="0" w:after="0"/>
              <w:jc w:val="right"/>
              <w:rPr/>
            </w:pPr>
            <w:r>
              <w:rPr>
                <w:spacing w:val="4"/>
              </w:rPr>
              <w:t>3</w:t>
            </w:r>
            <w:r>
              <w:rPr/>
              <w:t xml:space="preserve">​ </w:t>
            </w:r>
          </w:p>
        </w:tc>
        <w:tc>
          <w:tcPr>
            <w:tcW w:w="155" w:type="dxa"/>
            <w:tcBorders/>
            <w:shd w:fill="auto" w:val="clear"/>
            <w:vAlign w:val="center"/>
          </w:tcPr>
          <w:p>
            <w:pPr>
              <w:pStyle w:val="TableContents"/>
              <w:spacing w:before="0" w:after="283"/>
              <w:rPr/>
            </w:pPr>
            <w:r>
              <w:rPr/>
              <w:t>​</w:t>
            </w:r>
          </w:p>
        </w:tc>
      </w:tr>
      <w:tr>
        <w:trPr/>
        <w:tc>
          <w:tcPr>
            <w:tcW w:w="7820" w:type="dxa"/>
            <w:tcBorders/>
            <w:shd w:fill="CCEEFF" w:val="clear"/>
            <w:vAlign w:val="center"/>
          </w:tcPr>
          <w:p>
            <w:pPr>
              <w:pStyle w:val="TableContents"/>
              <w:spacing w:lineRule="atLeast" w:line="200" w:before="0" w:after="0"/>
              <w:ind w:left="680" w:right="0" w:hanging="0"/>
              <w:jc w:val="left"/>
              <w:rPr/>
            </w:pPr>
            <w:r>
              <w:rPr>
                <w:caps/>
                <w:spacing w:val="4"/>
              </w:rPr>
              <w:t>AWARDS OTHER THAN OPTIONS AND STOCK APPRECIATION RIGHTS.</w:t>
            </w:r>
            <w:r>
              <w:rPr/>
              <w:t xml:space="preserve">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31800" cy="350520"/>
                      <wp:effectExtent l="0" t="0" r="0" b="0"/>
                      <wp:wrapSquare wrapText="largest"/>
                      <wp:docPr id="7" name="Frame5"/>
                      <a:graphic xmlns:a="http://schemas.openxmlformats.org/drawingml/2006/main">
                        <a:graphicData uri="http://schemas.microsoft.com/office/word/2010/wordprocessingShape">
                          <wps:wsp>
                            <wps:cNvSpPr txBox="1"/>
                            <wps:spPr>
                              <a:xfrm>
                                <a:off x="0" y="0"/>
                                <a:ext cx="431800" cy="350520"/>
                              </a:xfrm>
                              <a:prstGeom prst="rect"/>
                            </wps:spPr>
                            <wps:txbx>
                              <w:txbxContent>
                                <w:p>
                                  <w:pPr>
                                    <w:pStyle w:val="TextBody"/>
                                    <w:spacing w:lineRule="atLeast" w:line="20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3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5.</w:t>
                            </w:r>
                            <w:r>
                              <w:rPr/>
                              <w:t xml:space="preserve"> </w:t>
                              <w:br/>
                            </w:r>
                          </w:p>
                        </w:txbxContent>
                      </v:textbox>
                      <w10:wrap type="square" side="right"/>
                    </v:rect>
                  </w:pict>
                </mc:Fallback>
              </mc:AlternateConten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619" w:type="dxa"/>
            <w:tcBorders/>
            <w:shd w:fill="CCEEFF" w:val="clear"/>
            <w:vAlign w:val="center"/>
          </w:tcPr>
          <w:p>
            <w:pPr>
              <w:pStyle w:val="TableContents"/>
              <w:spacing w:before="0" w:after="0"/>
              <w:jc w:val="right"/>
              <w:rPr/>
            </w:pPr>
            <w:r>
              <w:rPr>
                <w:spacing w:val="4"/>
              </w:rPr>
              <w:t>6</w:t>
            </w:r>
            <w:r>
              <w:rPr/>
              <w:t xml:space="preserve">​ </w:t>
            </w:r>
          </w:p>
        </w:tc>
        <w:tc>
          <w:tcPr>
            <w:tcW w:w="155" w:type="dxa"/>
            <w:tcBorders/>
            <w:shd w:fill="CCEEFF" w:val="clear"/>
            <w:vAlign w:val="center"/>
          </w:tcPr>
          <w:p>
            <w:pPr>
              <w:pStyle w:val="TableContents"/>
              <w:spacing w:before="0" w:after="283"/>
              <w:rPr/>
            </w:pPr>
            <w:r>
              <w:rPr/>
              <w:t>​</w:t>
            </w:r>
          </w:p>
        </w:tc>
      </w:tr>
      <w:tr>
        <w:trPr/>
        <w:tc>
          <w:tcPr>
            <w:tcW w:w="7820" w:type="dxa"/>
            <w:tcBorders/>
            <w:shd w:fill="auto" w:val="clear"/>
            <w:vAlign w:val="center"/>
          </w:tcPr>
          <w:p>
            <w:pPr>
              <w:pStyle w:val="TableContents"/>
              <w:spacing w:lineRule="atLeast" w:line="240" w:before="0" w:after="0"/>
              <w:ind w:left="680" w:right="0" w:hanging="0"/>
              <w:jc w:val="left"/>
              <w:rPr/>
            </w:pPr>
            <w:r>
              <w:rPr>
                <w:caps/>
                <w:spacing w:val="4"/>
              </w:rPr>
              <w:t>ADJUSTMENTS UPON CHANGES IN COMMON STOCK; OTHER CORPORATE EVENTS.</w:t>
            </w:r>
            <w:r>
              <w:rPr/>
              <w:t xml:space="preserve">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431800" cy="350520"/>
                      <wp:effectExtent l="0" t="0" r="0" b="0"/>
                      <wp:wrapSquare wrapText="largest"/>
                      <wp:docPr id="8" name="Frame6"/>
                      <a:graphic xmlns:a="http://schemas.openxmlformats.org/drawingml/2006/main">
                        <a:graphicData uri="http://schemas.microsoft.com/office/word/2010/wordprocessingShape">
                          <wps:wsp>
                            <wps:cNvSpPr txBox="1"/>
                            <wps:spPr>
                              <a:xfrm>
                                <a:off x="0" y="0"/>
                                <a:ext cx="431800" cy="350520"/>
                              </a:xfrm>
                              <a:prstGeom prst="rect"/>
                            </wps:spPr>
                            <wps:txbx>
                              <w:txbxContent>
                                <w:p>
                                  <w:pPr>
                                    <w:pStyle w:val="TextBody"/>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3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6.</w:t>
                            </w:r>
                            <w:r>
                              <w:rPr/>
                              <w:t xml:space="preserve"> </w:t>
                              <w:br/>
                            </w:r>
                          </w:p>
                        </w:txbxContent>
                      </v:textbox>
                      <w10:wrap type="square" side="right"/>
                    </v:rect>
                  </w:pict>
                </mc:Fallback>
              </mc:AlternateConten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19" w:type="dxa"/>
            <w:tcBorders/>
            <w:shd w:fill="auto" w:val="clear"/>
            <w:vAlign w:val="center"/>
          </w:tcPr>
          <w:p>
            <w:pPr>
              <w:pStyle w:val="TableContents"/>
              <w:spacing w:before="0" w:after="0"/>
              <w:jc w:val="right"/>
              <w:rPr/>
            </w:pPr>
            <w:r>
              <w:rPr>
                <w:spacing w:val="4"/>
              </w:rPr>
              <w:t>7</w:t>
            </w:r>
            <w:r>
              <w:rPr/>
              <w:t xml:space="preserve">​ </w:t>
            </w:r>
          </w:p>
        </w:tc>
        <w:tc>
          <w:tcPr>
            <w:tcW w:w="155" w:type="dxa"/>
            <w:tcBorders/>
            <w:shd w:fill="auto" w:val="clear"/>
            <w:vAlign w:val="center"/>
          </w:tcPr>
          <w:p>
            <w:pPr>
              <w:pStyle w:val="TableContents"/>
              <w:spacing w:before="0" w:after="283"/>
              <w:rPr/>
            </w:pPr>
            <w:r>
              <w:rPr/>
              <w:t>​</w:t>
            </w:r>
          </w:p>
        </w:tc>
      </w:tr>
      <w:tr>
        <w:trPr/>
        <w:tc>
          <w:tcPr>
            <w:tcW w:w="7820" w:type="dxa"/>
            <w:tcBorders/>
            <w:shd w:fill="CCEEFF" w:val="clear"/>
            <w:vAlign w:val="center"/>
          </w:tcPr>
          <w:p>
            <w:pPr>
              <w:pStyle w:val="TableContents"/>
              <w:spacing w:lineRule="atLeast" w:line="200" w:before="0" w:after="0"/>
              <w:ind w:left="680" w:right="0" w:hanging="0"/>
              <w:jc w:val="left"/>
              <w:rPr/>
            </w:pPr>
            <w:r>
              <w:rPr>
                <w:caps/>
                <w:spacing w:val="4"/>
              </w:rPr>
              <w:t>ADMINISTRATION.</w:t>
            </w:r>
            <w:r>
              <w:rPr/>
              <w:t xml:space="preserve">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431800" cy="350520"/>
                      <wp:effectExtent l="0" t="0" r="0" b="0"/>
                      <wp:wrapSquare wrapText="largest"/>
                      <wp:docPr id="9" name="Frame7"/>
                      <a:graphic xmlns:a="http://schemas.openxmlformats.org/drawingml/2006/main">
                        <a:graphicData uri="http://schemas.microsoft.com/office/word/2010/wordprocessingShape">
                          <wps:wsp>
                            <wps:cNvSpPr txBox="1"/>
                            <wps:spPr>
                              <a:xfrm>
                                <a:off x="0" y="0"/>
                                <a:ext cx="431800" cy="350520"/>
                              </a:xfrm>
                              <a:prstGeom prst="rect"/>
                            </wps:spPr>
                            <wps:txbx>
                              <w:txbxContent>
                                <w:p>
                                  <w:pPr>
                                    <w:pStyle w:val="TextBody"/>
                                    <w:spacing w:lineRule="atLeast" w:line="20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3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7.</w:t>
                            </w:r>
                            <w:r>
                              <w:rPr/>
                              <w:t xml:space="preserve"> </w:t>
                              <w:br/>
                            </w:r>
                          </w:p>
                        </w:txbxContent>
                      </v:textbox>
                      <w10:wrap type="square" side="right"/>
                    </v:rect>
                  </w:pict>
                </mc:Fallback>
              </mc:AlternateConten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619" w:type="dxa"/>
            <w:tcBorders/>
            <w:shd w:fill="CCEEFF" w:val="clear"/>
            <w:vAlign w:val="center"/>
          </w:tcPr>
          <w:p>
            <w:pPr>
              <w:pStyle w:val="TableContents"/>
              <w:spacing w:before="0" w:after="0"/>
              <w:jc w:val="right"/>
              <w:rPr/>
            </w:pPr>
            <w:r>
              <w:rPr>
                <w:spacing w:val="4"/>
              </w:rPr>
              <w:t>9</w:t>
            </w:r>
            <w:r>
              <w:rPr/>
              <w:t xml:space="preserve">​ </w:t>
            </w:r>
          </w:p>
        </w:tc>
        <w:tc>
          <w:tcPr>
            <w:tcW w:w="155" w:type="dxa"/>
            <w:tcBorders/>
            <w:shd w:fill="CCEEFF" w:val="clear"/>
            <w:vAlign w:val="center"/>
          </w:tcPr>
          <w:p>
            <w:pPr>
              <w:pStyle w:val="TableContents"/>
              <w:spacing w:before="0" w:after="283"/>
              <w:rPr/>
            </w:pPr>
            <w:r>
              <w:rPr/>
              <w:t>​</w:t>
            </w:r>
          </w:p>
        </w:tc>
      </w:tr>
      <w:tr>
        <w:trPr/>
        <w:tc>
          <w:tcPr>
            <w:tcW w:w="7820" w:type="dxa"/>
            <w:tcBorders/>
            <w:shd w:fill="auto" w:val="clear"/>
            <w:vAlign w:val="center"/>
          </w:tcPr>
          <w:p>
            <w:pPr>
              <w:pStyle w:val="TableContents"/>
              <w:spacing w:lineRule="atLeast" w:line="200" w:before="0" w:after="0"/>
              <w:ind w:left="680" w:right="0" w:hanging="0"/>
              <w:jc w:val="left"/>
              <w:rPr/>
            </w:pPr>
            <w:r>
              <w:rPr>
                <w:caps/>
                <w:spacing w:val="4"/>
              </w:rPr>
              <w:t>TAX WITHHOLDING</w:t>
            </w:r>
            <w:r>
              <w:rPr/>
              <w:t xml:space="preserve"> </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431800" cy="350520"/>
                      <wp:effectExtent l="0" t="0" r="0" b="0"/>
                      <wp:wrapSquare wrapText="largest"/>
                      <wp:docPr id="10" name="Frame8"/>
                      <a:graphic xmlns:a="http://schemas.openxmlformats.org/drawingml/2006/main">
                        <a:graphicData uri="http://schemas.microsoft.com/office/word/2010/wordprocessingShape">
                          <wps:wsp>
                            <wps:cNvSpPr txBox="1"/>
                            <wps:spPr>
                              <a:xfrm>
                                <a:off x="0" y="0"/>
                                <a:ext cx="431800" cy="350520"/>
                              </a:xfrm>
                              <a:prstGeom prst="rect"/>
                            </wps:spPr>
                            <wps:txbx>
                              <w:txbxContent>
                                <w:p>
                                  <w:pPr>
                                    <w:pStyle w:val="TextBody"/>
                                    <w:spacing w:lineRule="atLeast" w:line="20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3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8.</w:t>
                            </w:r>
                            <w:r>
                              <w:rPr/>
                              <w:t xml:space="preserve"> </w:t>
                              <w:br/>
                            </w:r>
                          </w:p>
                        </w:txbxContent>
                      </v:textbox>
                      <w10:wrap type="square" side="right"/>
                    </v:rect>
                  </w:pict>
                </mc:Fallback>
              </mc:AlternateConten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19" w:type="dxa"/>
            <w:tcBorders/>
            <w:shd w:fill="auto" w:val="clear"/>
            <w:vAlign w:val="center"/>
          </w:tcPr>
          <w:p>
            <w:pPr>
              <w:pStyle w:val="TableContents"/>
              <w:spacing w:before="0" w:after="0"/>
              <w:jc w:val="right"/>
              <w:rPr/>
            </w:pPr>
            <w:r>
              <w:rPr>
                <w:spacing w:val="4"/>
              </w:rPr>
              <w:t>10</w:t>
            </w:r>
            <w:r>
              <w:rPr/>
              <w:t xml:space="preserve">​ </w:t>
            </w:r>
          </w:p>
        </w:tc>
        <w:tc>
          <w:tcPr>
            <w:tcW w:w="155" w:type="dxa"/>
            <w:tcBorders/>
            <w:shd w:fill="auto" w:val="clear"/>
            <w:vAlign w:val="center"/>
          </w:tcPr>
          <w:p>
            <w:pPr>
              <w:pStyle w:val="TableContents"/>
              <w:spacing w:before="0" w:after="283"/>
              <w:rPr/>
            </w:pPr>
            <w:r>
              <w:rPr/>
              <w:t>​</w:t>
            </w:r>
          </w:p>
        </w:tc>
      </w:tr>
      <w:tr>
        <w:trPr/>
        <w:tc>
          <w:tcPr>
            <w:tcW w:w="7820" w:type="dxa"/>
            <w:tcBorders/>
            <w:shd w:fill="CCEEFF" w:val="clear"/>
            <w:vAlign w:val="center"/>
          </w:tcPr>
          <w:p>
            <w:pPr>
              <w:pStyle w:val="TableContents"/>
              <w:spacing w:lineRule="atLeast" w:line="200" w:before="0" w:after="0"/>
              <w:ind w:left="680" w:right="0" w:hanging="0"/>
              <w:jc w:val="left"/>
              <w:rPr/>
            </w:pPr>
            <w:r>
              <w:rPr>
                <w:caps/>
                <w:spacing w:val="4"/>
              </w:rPr>
              <w:t>MISCELLANEOUS.</w:t>
            </w:r>
            <w:r>
              <w:rPr/>
              <w:t xml:space="preserve"> </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431800" cy="350520"/>
                      <wp:effectExtent l="0" t="0" r="0" b="0"/>
                      <wp:wrapSquare wrapText="largest"/>
                      <wp:docPr id="11" name="Frame9"/>
                      <a:graphic xmlns:a="http://schemas.openxmlformats.org/drawingml/2006/main">
                        <a:graphicData uri="http://schemas.microsoft.com/office/word/2010/wordprocessingShape">
                          <wps:wsp>
                            <wps:cNvSpPr txBox="1"/>
                            <wps:spPr>
                              <a:xfrm>
                                <a:off x="0" y="0"/>
                                <a:ext cx="431800" cy="350520"/>
                              </a:xfrm>
                              <a:prstGeom prst="rect"/>
                            </wps:spPr>
                            <wps:txbx>
                              <w:txbxContent>
                                <w:p>
                                  <w:pPr>
                                    <w:pStyle w:val="TextBody"/>
                                    <w:spacing w:lineRule="atLeast" w:line="20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3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9.</w:t>
                            </w:r>
                            <w:r>
                              <w:rPr/>
                              <w:t xml:space="preserve"> </w:t>
                              <w:br/>
                            </w:r>
                          </w:p>
                        </w:txbxContent>
                      </v:textbox>
                      <w10:wrap type="square" side="right"/>
                    </v:rect>
                  </w:pict>
                </mc:Fallback>
              </mc:AlternateConten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619" w:type="dxa"/>
            <w:tcBorders/>
            <w:shd w:fill="CCEEFF" w:val="clear"/>
            <w:vAlign w:val="center"/>
          </w:tcPr>
          <w:p>
            <w:pPr>
              <w:pStyle w:val="TableContents"/>
              <w:spacing w:before="0" w:after="0"/>
              <w:jc w:val="right"/>
              <w:rPr/>
            </w:pPr>
            <w:r>
              <w:rPr>
                <w:spacing w:val="4"/>
              </w:rPr>
              <w:t>11</w:t>
            </w:r>
            <w:r>
              <w:rPr/>
              <w:t xml:space="preserve">​ </w:t>
            </w:r>
          </w:p>
        </w:tc>
        <w:tc>
          <w:tcPr>
            <w:tcW w:w="155" w:type="dxa"/>
            <w:tcBorders/>
            <w:shd w:fill="CCEEFF" w:val="clear"/>
            <w:vAlign w:val="center"/>
          </w:tcPr>
          <w:p>
            <w:pPr>
              <w:pStyle w:val="TableContents"/>
              <w:spacing w:before="0" w:after="283"/>
              <w:rPr/>
            </w:pPr>
            <w:r>
              <w:rPr/>
              <w:t>​</w:t>
            </w:r>
          </w:p>
        </w:tc>
      </w:tr>
      <w:tr>
        <w:trPr/>
        <w:tc>
          <w:tcPr>
            <w:tcW w:w="7820" w:type="dxa"/>
            <w:tcBorders/>
            <w:shd w:fill="auto" w:val="clear"/>
            <w:vAlign w:val="center"/>
          </w:tcPr>
          <w:p>
            <w:pPr>
              <w:pStyle w:val="TableContents"/>
              <w:spacing w:lineRule="atLeast" w:line="200" w:before="0" w:after="0"/>
              <w:ind w:left="680" w:right="0" w:hanging="0"/>
              <w:jc w:val="left"/>
              <w:rPr/>
            </w:pPr>
            <w:r>
              <w:rPr>
                <w:caps/>
                <w:spacing w:val="4"/>
              </w:rPr>
              <w:t>COVENANTS OF THE COMPANY.</w:t>
            </w:r>
            <w:r>
              <w:rPr/>
              <w:t xml:space="preserve"> </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431800" cy="350520"/>
                      <wp:effectExtent l="0" t="0" r="0" b="0"/>
                      <wp:wrapSquare wrapText="largest"/>
                      <wp:docPr id="12" name="Frame10"/>
                      <a:graphic xmlns:a="http://schemas.openxmlformats.org/drawingml/2006/main">
                        <a:graphicData uri="http://schemas.microsoft.com/office/word/2010/wordprocessingShape">
                          <wps:wsp>
                            <wps:cNvSpPr txBox="1"/>
                            <wps:spPr>
                              <a:xfrm>
                                <a:off x="0" y="0"/>
                                <a:ext cx="431800" cy="350520"/>
                              </a:xfrm>
                              <a:prstGeom prst="rect"/>
                            </wps:spPr>
                            <wps:txbx>
                              <w:txbxContent>
                                <w:p>
                                  <w:pPr>
                                    <w:pStyle w:val="TextBody"/>
                                    <w:spacing w:lineRule="atLeast" w:line="20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3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10.</w:t>
                            </w:r>
                            <w:r>
                              <w:rPr/>
                              <w:t xml:space="preserve"> </w:t>
                              <w:br/>
                            </w:r>
                          </w:p>
                        </w:txbxContent>
                      </v:textbox>
                      <w10:wrap type="square" side="right"/>
                    </v:rect>
                  </w:pict>
                </mc:Fallback>
              </mc:AlternateConten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19" w:type="dxa"/>
            <w:tcBorders/>
            <w:shd w:fill="auto" w:val="clear"/>
            <w:vAlign w:val="center"/>
          </w:tcPr>
          <w:p>
            <w:pPr>
              <w:pStyle w:val="TableContents"/>
              <w:spacing w:before="0" w:after="0"/>
              <w:jc w:val="right"/>
              <w:rPr/>
            </w:pPr>
            <w:r>
              <w:rPr>
                <w:spacing w:val="4"/>
              </w:rPr>
              <w:t>13</w:t>
            </w:r>
            <w:r>
              <w:rPr/>
              <w:t xml:space="preserve">​ </w:t>
            </w:r>
          </w:p>
        </w:tc>
        <w:tc>
          <w:tcPr>
            <w:tcW w:w="155" w:type="dxa"/>
            <w:tcBorders/>
            <w:shd w:fill="auto" w:val="clear"/>
            <w:vAlign w:val="center"/>
          </w:tcPr>
          <w:p>
            <w:pPr>
              <w:pStyle w:val="TableContents"/>
              <w:spacing w:before="0" w:after="283"/>
              <w:rPr/>
            </w:pPr>
            <w:r>
              <w:rPr/>
              <w:t>​</w:t>
            </w:r>
          </w:p>
        </w:tc>
      </w:tr>
      <w:tr>
        <w:trPr/>
        <w:tc>
          <w:tcPr>
            <w:tcW w:w="7820" w:type="dxa"/>
            <w:tcBorders/>
            <w:shd w:fill="CCEEFF" w:val="clear"/>
            <w:vAlign w:val="center"/>
          </w:tcPr>
          <w:p>
            <w:pPr>
              <w:pStyle w:val="TableContents"/>
              <w:spacing w:lineRule="atLeast" w:line="200" w:before="0" w:after="0"/>
              <w:ind w:left="680" w:right="0" w:hanging="0"/>
              <w:jc w:val="left"/>
              <w:rPr/>
            </w:pPr>
            <w:r>
              <w:rPr>
                <w:caps/>
                <w:spacing w:val="4"/>
              </w:rPr>
              <w:t>SEVERABILITY.</w:t>
            </w:r>
            <w:r>
              <w:rPr/>
              <w:t xml:space="preserve"> </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431800" cy="350520"/>
                      <wp:effectExtent l="0" t="0" r="0" b="0"/>
                      <wp:wrapSquare wrapText="largest"/>
                      <wp:docPr id="13" name="Frame11"/>
                      <a:graphic xmlns:a="http://schemas.openxmlformats.org/drawingml/2006/main">
                        <a:graphicData uri="http://schemas.microsoft.com/office/word/2010/wordprocessingShape">
                          <wps:wsp>
                            <wps:cNvSpPr txBox="1"/>
                            <wps:spPr>
                              <a:xfrm>
                                <a:off x="0" y="0"/>
                                <a:ext cx="431800" cy="350520"/>
                              </a:xfrm>
                              <a:prstGeom prst="rect"/>
                            </wps:spPr>
                            <wps:txbx>
                              <w:txbxContent>
                                <w:p>
                                  <w:pPr>
                                    <w:pStyle w:val="TextBody"/>
                                    <w:spacing w:lineRule="atLeast" w:line="20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3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11.</w:t>
                            </w:r>
                            <w:r>
                              <w:rPr/>
                              <w:t xml:space="preserve"> </w:t>
                              <w:br/>
                            </w:r>
                          </w:p>
                        </w:txbxContent>
                      </v:textbox>
                      <w10:wrap type="square" side="right"/>
                    </v:rect>
                  </w:pict>
                </mc:Fallback>
              </mc:AlternateConten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619" w:type="dxa"/>
            <w:tcBorders/>
            <w:shd w:fill="CCEEFF" w:val="clear"/>
            <w:vAlign w:val="center"/>
          </w:tcPr>
          <w:p>
            <w:pPr>
              <w:pStyle w:val="TableContents"/>
              <w:spacing w:before="0" w:after="0"/>
              <w:jc w:val="right"/>
              <w:rPr/>
            </w:pPr>
            <w:r>
              <w:rPr>
                <w:spacing w:val="4"/>
              </w:rPr>
              <w:t>13</w:t>
            </w:r>
            <w:r>
              <w:rPr/>
              <w:t xml:space="preserve">​ </w:t>
            </w:r>
          </w:p>
        </w:tc>
        <w:tc>
          <w:tcPr>
            <w:tcW w:w="155" w:type="dxa"/>
            <w:tcBorders/>
            <w:shd w:fill="CCEEFF" w:val="clear"/>
            <w:vAlign w:val="center"/>
          </w:tcPr>
          <w:p>
            <w:pPr>
              <w:pStyle w:val="TableContents"/>
              <w:spacing w:before="0" w:after="283"/>
              <w:rPr/>
            </w:pPr>
            <w:r>
              <w:rPr/>
              <w:t>​</w:t>
            </w:r>
          </w:p>
        </w:tc>
      </w:tr>
      <w:tr>
        <w:trPr/>
        <w:tc>
          <w:tcPr>
            <w:tcW w:w="7820" w:type="dxa"/>
            <w:tcBorders/>
            <w:shd w:fill="auto" w:val="clear"/>
            <w:vAlign w:val="center"/>
          </w:tcPr>
          <w:p>
            <w:pPr>
              <w:pStyle w:val="TableContents"/>
              <w:spacing w:lineRule="atLeast" w:line="200" w:before="0" w:after="0"/>
              <w:ind w:left="680" w:right="0" w:hanging="0"/>
              <w:jc w:val="left"/>
              <w:rPr/>
            </w:pPr>
            <w:r>
              <w:rPr>
                <w:caps/>
                <w:spacing w:val="4"/>
              </w:rPr>
              <w:t>TERMINATION OF THE PLAN.</w:t>
            </w:r>
            <w:r>
              <w:rPr/>
              <w:t xml:space="preserve"> </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431800" cy="350520"/>
                      <wp:effectExtent l="0" t="0" r="0" b="0"/>
                      <wp:wrapSquare wrapText="largest"/>
                      <wp:docPr id="14" name="Frame12"/>
                      <a:graphic xmlns:a="http://schemas.openxmlformats.org/drawingml/2006/main">
                        <a:graphicData uri="http://schemas.microsoft.com/office/word/2010/wordprocessingShape">
                          <wps:wsp>
                            <wps:cNvSpPr txBox="1"/>
                            <wps:spPr>
                              <a:xfrm>
                                <a:off x="0" y="0"/>
                                <a:ext cx="431800" cy="350520"/>
                              </a:xfrm>
                              <a:prstGeom prst="rect"/>
                            </wps:spPr>
                            <wps:txbx>
                              <w:txbxContent>
                                <w:p>
                                  <w:pPr>
                                    <w:pStyle w:val="TextBody"/>
                                    <w:spacing w:lineRule="atLeast" w:line="20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3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12.</w:t>
                            </w:r>
                            <w:r>
                              <w:rPr/>
                              <w:t xml:space="preserve"> </w:t>
                              <w:br/>
                            </w:r>
                          </w:p>
                        </w:txbxContent>
                      </v:textbox>
                      <w10:wrap type="square" side="right"/>
                    </v:rect>
                  </w:pict>
                </mc:Fallback>
              </mc:AlternateConten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19" w:type="dxa"/>
            <w:tcBorders/>
            <w:shd w:fill="auto" w:val="clear"/>
            <w:vAlign w:val="center"/>
          </w:tcPr>
          <w:p>
            <w:pPr>
              <w:pStyle w:val="TableContents"/>
              <w:spacing w:before="0" w:after="0"/>
              <w:jc w:val="right"/>
              <w:rPr/>
            </w:pPr>
            <w:r>
              <w:rPr>
                <w:spacing w:val="4"/>
              </w:rPr>
              <w:t>14</w:t>
            </w:r>
            <w:r>
              <w:rPr/>
              <w:t xml:space="preserve">​ </w:t>
            </w:r>
          </w:p>
        </w:tc>
        <w:tc>
          <w:tcPr>
            <w:tcW w:w="155" w:type="dxa"/>
            <w:tcBorders/>
            <w:shd w:fill="auto" w:val="clear"/>
            <w:vAlign w:val="center"/>
          </w:tcPr>
          <w:p>
            <w:pPr>
              <w:pStyle w:val="TableContents"/>
              <w:spacing w:before="0" w:after="283"/>
              <w:rPr/>
            </w:pPr>
            <w:r>
              <w:rPr/>
              <w:t>​</w:t>
            </w:r>
          </w:p>
        </w:tc>
      </w:tr>
      <w:tr>
        <w:trPr/>
        <w:tc>
          <w:tcPr>
            <w:tcW w:w="7820" w:type="dxa"/>
            <w:tcBorders/>
            <w:shd w:fill="CCEEFF" w:val="clear"/>
            <w:vAlign w:val="center"/>
          </w:tcPr>
          <w:p>
            <w:pPr>
              <w:pStyle w:val="TableContents"/>
              <w:spacing w:lineRule="atLeast" w:line="200" w:before="0" w:after="0"/>
              <w:ind w:left="680" w:right="0" w:hanging="0"/>
              <w:jc w:val="left"/>
              <w:rPr/>
            </w:pPr>
            <w:r>
              <w:rPr>
                <w:caps/>
                <w:spacing w:val="4"/>
              </w:rPr>
              <w:t>DEFINITIONS.</w:t>
            </w:r>
            <w:r>
              <w:rPr/>
              <w:t xml:space="preserve"> </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431800" cy="350520"/>
                      <wp:effectExtent l="0" t="0" r="0" b="0"/>
                      <wp:wrapSquare wrapText="largest"/>
                      <wp:docPr id="15" name="Frame13"/>
                      <a:graphic xmlns:a="http://schemas.openxmlformats.org/drawingml/2006/main">
                        <a:graphicData uri="http://schemas.microsoft.com/office/word/2010/wordprocessingShape">
                          <wps:wsp>
                            <wps:cNvSpPr txBox="1"/>
                            <wps:spPr>
                              <a:xfrm>
                                <a:off x="0" y="0"/>
                                <a:ext cx="431800" cy="350520"/>
                              </a:xfrm>
                              <a:prstGeom prst="rect"/>
                            </wps:spPr>
                            <wps:txbx>
                              <w:txbxContent>
                                <w:p>
                                  <w:pPr>
                                    <w:pStyle w:val="TextBody"/>
                                    <w:spacing w:lineRule="atLeast" w:line="20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3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13.</w:t>
                            </w:r>
                            <w:r>
                              <w:rPr/>
                              <w:t xml:space="preserve"> </w:t>
                              <w:br/>
                            </w:r>
                          </w:p>
                        </w:txbxContent>
                      </v:textbox>
                      <w10:wrap type="square" side="right"/>
                    </v:rect>
                  </w:pict>
                </mc:Fallback>
              </mc:AlternateConten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619" w:type="dxa"/>
            <w:tcBorders/>
            <w:shd w:fill="CCEEFF" w:val="clear"/>
            <w:vAlign w:val="center"/>
          </w:tcPr>
          <w:p>
            <w:pPr>
              <w:pStyle w:val="TableContents"/>
              <w:spacing w:before="0" w:after="0"/>
              <w:jc w:val="right"/>
              <w:rPr/>
            </w:pPr>
            <w:r>
              <w:rPr>
                <w:spacing w:val="4"/>
              </w:rPr>
              <w:t>14</w:t>
            </w:r>
            <w:r>
              <w:rPr/>
              <w:t xml:space="preserve">​ </w:t>
            </w:r>
          </w:p>
        </w:tc>
        <w:tc>
          <w:tcPr>
            <w:tcW w:w="155" w:type="dxa"/>
            <w:tcBorders/>
            <w:shd w:fill="CCEEFF" w:val="cle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1.</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color w:val="000000"/>
          <w:spacing w:val="4"/>
          <w:sz w:val="20"/>
        </w:rPr>
        <w:t>G</w:t>
      </w:r>
      <w:r>
        <w:rPr>
          <w:rFonts w:ascii="Times New Roman;Times;serif" w:hAnsi="Times New Roman;Times;serif"/>
          <w:b/>
          <w:i w:val="false"/>
          <w:caps/>
          <w:color w:val="000000"/>
          <w:spacing w:val="4"/>
          <w:sz w:val="14"/>
        </w:rPr>
        <w:t>eneral</w:t>
      </w:r>
      <w:r>
        <w:rPr>
          <w:rFonts w:ascii="Times New Roman;Times;serif" w:hAnsi="Times New Roman;Times;serif"/>
          <w:b/>
          <w:i w:val="false"/>
          <w:caps/>
          <w:color w:val="000000"/>
          <w:spacing w:val="4"/>
          <w:sz w:val="20"/>
        </w:rPr>
        <w:t>.</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(a)</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Successor to and Continuation of Prior Plans.</w:t>
      </w:r>
      <w:r>
        <w:rPr>
          <w:rFonts w:ascii="Times New Roman;Times;serif" w:hAnsi="Times New Roman;Times;serif"/>
          <w:b w:val="false"/>
          <w:i w:val="false"/>
          <w:caps w:val="false"/>
          <w:smallCaps w:val="false"/>
          <w:color w:val="000000"/>
          <w:spacing w:val="4"/>
          <w:sz w:val="20"/>
        </w:rPr>
        <w:t xml:space="preserve">   The Plan is the successor to and continuation of the Prior Plans. As of the Effective Date, (i) no additional awards may be granted under the Prior Plans; (ii) the Prior Plans’ Available Reserve plus any Returning Shares will become available for issuance pursuant to Awards granted under this Plan; and (iii) all outstanding awards granted under the Prior Plans will remain subject to the terms of the Prior Plans (except to the extent such outstanding awards result in Returning Shares that become available for issuance pursuant to Awards granted under this Plan). All Awards granted under this Plan will be subject to the terms of this Plan.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(b)</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Plan Purpose.</w:t>
      </w:r>
      <w:r>
        <w:rPr>
          <w:rFonts w:ascii="Times New Roman;Times;serif" w:hAnsi="Times New Roman;Times;serif"/>
          <w:b w:val="false"/>
          <w:i w:val="false"/>
          <w:caps w:val="false"/>
          <w:smallCaps w:val="false"/>
          <w:color w:val="000000"/>
          <w:spacing w:val="4"/>
          <w:sz w:val="20"/>
        </w:rPr>
        <w:t xml:space="preserve">   The Company, by means of the Plan, seeks to secure and retain the services of Employees, Directors and 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(c)</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Available Awards.</w:t>
      </w:r>
      <w:r>
        <w:rPr>
          <w:rFonts w:ascii="Times New Roman;Times;serif" w:hAnsi="Times New Roman;Times;serif"/>
          <w:b w:val="false"/>
          <w:i w:val="false"/>
          <w:caps w:val="false"/>
          <w:smallCaps w:val="false"/>
          <w:color w:val="000000"/>
          <w:spacing w:val="4"/>
          <w:sz w:val="20"/>
        </w:rPr>
        <w:t xml:space="preserve">   The Plan provides for the grant of the following Awards: (i) Incentive Stock Options; (ii) Nonstatutory Stock Options; (iii) SARs; (iv) Restricted Stock Awards; (v) RSU Awards; (vi) Performance Awards; and (vii) Other Awards.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(d)</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Adoption Date.</w:t>
      </w:r>
      <w:r>
        <w:rPr>
          <w:rFonts w:ascii="Times New Roman;Times;serif" w:hAnsi="Times New Roman;Times;serif"/>
          <w:b w:val="false"/>
          <w:i w:val="false"/>
          <w:caps w:val="false"/>
          <w:smallCaps w:val="false"/>
          <w:color w:val="000000"/>
          <w:spacing w:val="4"/>
          <w:sz w:val="20"/>
        </w:rPr>
        <w:t xml:space="preserve"> The Plan will come into existence on the Adoption Date. No Award may be granted under the Plan prior to the Adoption Date. Any Award granted prior to the Effective Date is contingent upon timely receipt of stockholder approval to the extent required under applicable tax, securities and regulatory rules, and satisfaction of any other compliance requirements. </w:t>
      </w:r>
    </w:p>
    <w:p>
      <w:pPr>
        <w:pStyle w:val="TextBody"/>
        <w:spacing w:lineRule="atLeast" w:line="240" w:before="160" w:after="283"/>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2.      </w:t>
      </w:r>
      <w:r>
        <w:rPr>
          <w:rFonts w:ascii="Times New Roman;Times;serif" w:hAnsi="Times New Roman;Times;serif"/>
          <w:b/>
          <w:i w:val="false"/>
          <w:caps/>
          <w:color w:val="000000"/>
          <w:spacing w:val="4"/>
          <w:sz w:val="20"/>
        </w:rPr>
        <w:t>S</w:t>
      </w:r>
      <w:r>
        <w:rPr>
          <w:rFonts w:ascii="Times New Roman;Times;serif" w:hAnsi="Times New Roman;Times;serif"/>
          <w:b/>
          <w:i w:val="false"/>
          <w:caps/>
          <w:color w:val="000000"/>
          <w:spacing w:val="4"/>
          <w:sz w:val="14"/>
        </w:rPr>
        <w:t>hares</w:t>
      </w:r>
      <w:r>
        <w:rPr>
          <w:rFonts w:ascii="Times New Roman;Times;serif" w:hAnsi="Times New Roman;Times;serif"/>
          <w:b/>
          <w:i w:val="false"/>
          <w:caps/>
          <w:color w:val="000000"/>
          <w:spacing w:val="4"/>
          <w:sz w:val="20"/>
        </w:rPr>
        <w:t xml:space="preserve"> S</w:t>
      </w:r>
      <w:r>
        <w:rPr>
          <w:rFonts w:ascii="Times New Roman;Times;serif" w:hAnsi="Times New Roman;Times;serif"/>
          <w:b/>
          <w:i w:val="false"/>
          <w:caps/>
          <w:color w:val="000000"/>
          <w:spacing w:val="4"/>
          <w:sz w:val="14"/>
        </w:rPr>
        <w:t>ubject</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to</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the</w:t>
      </w:r>
      <w:r>
        <w:rPr>
          <w:rFonts w:ascii="Times New Roman;Times;serif" w:hAnsi="Times New Roman;Times;serif"/>
          <w:b/>
          <w:i w:val="false"/>
          <w:caps/>
          <w:color w:val="000000"/>
          <w:spacing w:val="4"/>
          <w:sz w:val="20"/>
        </w:rPr>
        <w:t xml:space="preserve"> P</w:t>
      </w:r>
      <w:r>
        <w:rPr>
          <w:rFonts w:ascii="Times New Roman;Times;serif" w:hAnsi="Times New Roman;Times;serif"/>
          <w:b/>
          <w:i w:val="false"/>
          <w:caps/>
          <w:color w:val="000000"/>
          <w:spacing w:val="4"/>
          <w:sz w:val="14"/>
        </w:rPr>
        <w:t>lan</w:t>
      </w:r>
      <w:r>
        <w:rPr>
          <w:rFonts w:ascii="Times New Roman;Times;serif" w:hAnsi="Times New Roman;Times;serif"/>
          <w:b/>
          <w:i w:val="false"/>
          <w:caps/>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(a)</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Share Reserve.</w:t>
      </w:r>
      <w:r>
        <w:rPr>
          <w:rFonts w:ascii="Times New Roman;Times;serif" w:hAnsi="Times New Roman;Times;serif"/>
          <w:b w:val="false"/>
          <w:i w:val="false"/>
          <w:caps w:val="false"/>
          <w:smallCaps w:val="false"/>
          <w:color w:val="000000"/>
          <w:spacing w:val="4"/>
          <w:sz w:val="20"/>
        </w:rPr>
        <w:t xml:space="preserve"> Subject to adjustment in accordance with Section 2(d) and any adjustments as necessary to implement any Capitalization Adjustments, the aggregate number of shares of Common Stock that may be issued pursuant to Awards will not exceed the sum of (i) 3,260,000 new shares, plus (ii) the Prior Plans’ Available Reserve; plus, (iii) the number of Returning Shares, if any, as such shares become available from time to time.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(b)</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Fungible Share Counting.</w:t>
      </w:r>
      <w:r>
        <w:rPr>
          <w:rFonts w:ascii="Times New Roman;Times;serif" w:hAnsi="Times New Roman;Times;serif"/>
          <w:b w:val="false"/>
          <w:i w:val="false"/>
          <w:caps w:val="false"/>
          <w:smallCaps w:val="false"/>
          <w:color w:val="000000"/>
          <w:spacing w:val="4"/>
          <w:sz w:val="20"/>
        </w:rPr>
        <w:t>   Subject to adjustment in accordance with Section 2(d), the number of shares of Common Stock available for issuance under the Plan will be reduced by: (i) one share for each share of Common Stock issued pursuant to an Option or SAR with respect to which the exercise or strike price is at least 100% of the Fair Market Value of the Common Stock subject to the Option or SAR on the grant date (each, an “</w:t>
      </w:r>
      <w:r>
        <w:rPr>
          <w:rFonts w:ascii="Times New Roman;Times;serif" w:hAnsi="Times New Roman;Times;serif"/>
          <w:b/>
          <w:i/>
          <w:caps w:val="false"/>
          <w:smallCaps w:val="false"/>
          <w:color w:val="000000"/>
          <w:spacing w:val="4"/>
          <w:sz w:val="20"/>
        </w:rPr>
        <w:t>Appreciation Award</w:t>
      </w:r>
      <w:r>
        <w:rPr>
          <w:rFonts w:ascii="Times New Roman;Times;serif" w:hAnsi="Times New Roman;Times;serif"/>
          <w:b w:val="false"/>
          <w:i w:val="false"/>
          <w:caps w:val="false"/>
          <w:smallCaps w:val="false"/>
          <w:color w:val="000000"/>
          <w:spacing w:val="4"/>
          <w:sz w:val="20"/>
        </w:rPr>
        <w:t>”); and (ii) 1.23 shares for each share of Common Stock issued pursuant to any Award (other than an Appreciation Award) (each, a “</w:t>
      </w:r>
      <w:r>
        <w:rPr>
          <w:rFonts w:ascii="Times New Roman;Times;serif" w:hAnsi="Times New Roman;Times;serif"/>
          <w:b/>
          <w:i/>
          <w:caps w:val="false"/>
          <w:smallCaps w:val="false"/>
          <w:color w:val="000000"/>
          <w:spacing w:val="4"/>
          <w:sz w:val="20"/>
        </w:rPr>
        <w:t>Full Value Award</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(c)</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Aggregate Incentive Stock Option Limit.</w:t>
      </w:r>
      <w:r>
        <w:rPr>
          <w:rFonts w:ascii="Times New Roman;Times;serif" w:hAnsi="Times New Roman;Times;serif"/>
          <w:b w:val="false"/>
          <w:i w:val="false"/>
          <w:caps w:val="false"/>
          <w:smallCaps w:val="false"/>
          <w:color w:val="000000"/>
          <w:spacing w:val="4"/>
          <w:sz w:val="20"/>
        </w:rPr>
        <w:t xml:space="preserve">   Notwithstanding anything to the contrary in Section 2(a) and subject to any adjustments as necessary to implement any Capitalization Adjustments, the aggregate maximum number of shares of Common Stock that may be issued pursuant to the exercise of Incentive Stock Options is 13,453,608 shares. </w:t>
      </w:r>
    </w:p>
    <w:p>
      <w:pPr>
        <w:pStyle w:val="TextBody"/>
        <w:spacing w:lineRule="atLeast" w:line="240" w:before="160" w:after="283"/>
        <w:ind w:left="1793" w:right="0" w:hanging="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(d)</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Share Reserve Operation.</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Limit Applies to Common Stock Issued Pursuant to Awards.</w:t>
      </w:r>
      <w:r>
        <w:rPr>
          <w:rFonts w:ascii="Times New Roman;Times;serif" w:hAnsi="Times New Roman;Times;serif"/>
          <w:b w:val="false"/>
          <w:i w:val="false"/>
          <w:caps w:val="false"/>
          <w:smallCaps w:val="false"/>
          <w:color w:val="000000"/>
          <w:spacing w:val="4"/>
          <w:sz w:val="20"/>
        </w:rPr>
        <w:t xml:space="preserve">   For clarity, the Share Reserve is a limit on the number of shares of 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(ii)</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Actions that Do Not Constitute Issuance of Common Stock and Do Not Reduce Share Reserve.</w:t>
      </w:r>
      <w:r>
        <w:rPr>
          <w:rFonts w:ascii="Times New Roman;Times;serif" w:hAnsi="Times New Roman;Times;serif"/>
          <w:b w:val="false"/>
          <w:i w:val="false"/>
          <w:caps w:val="false"/>
          <w:smallCaps w:val="false"/>
          <w:color w:val="000000"/>
          <w:spacing w:val="4"/>
          <w:sz w:val="20"/>
        </w:rPr>
        <w:t>   The following actions do not 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Times New Roman;Times;serif" w:hAnsi="Times New Roman;Times;serif"/>
          <w:b w:val="false"/>
          <w:i/>
          <w:caps w:val="false"/>
          <w:smallCaps w:val="false"/>
          <w:color w:val="000000"/>
          <w:spacing w:val="4"/>
          <w:sz w:val="20"/>
        </w:rPr>
        <w:t>i.e.</w:t>
      </w:r>
      <w:r>
        <w:rPr>
          <w:rFonts w:ascii="Times New Roman;Times;serif" w:hAnsi="Times New Roman;Times;serif"/>
          <w:b w:val="false"/>
          <w:i w:val="false"/>
          <w:caps w:val="false"/>
          <w:smallCaps w:val="false"/>
          <w:color w:val="000000"/>
          <w:spacing w:val="4"/>
          <w:sz w:val="20"/>
        </w:rPr>
        <w:t xml:space="preserve">, the Participant receives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rather than Common Stock), (3) the withholding of shares that would otherwise be issued by the Company to satisfy the exercise or strike price of an Appreciation Award; (4) the withholding of shares that would otherwise be issued by the Company to satisfy a tax withholding obligation in connection with an Appreciation Award.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(iii)</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Reversion of Previously Issued Shares of Common Stock to Share Reserve.</w:t>
      </w:r>
      <w:r>
        <w:rPr>
          <w:rFonts w:ascii="Times New Roman;Times;serif" w:hAnsi="Times New Roman;Times;serif"/>
          <w:b w:val="false"/>
          <w:i w:val="false"/>
          <w:caps w:val="false"/>
          <w:smallCaps w:val="false"/>
          <w:color w:val="000000"/>
          <w:spacing w:val="4"/>
          <w:sz w:val="20"/>
        </w:rPr>
        <w:t xml:space="preserve">   The following shares of Common Stock previously 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or strike price of an Appreciation Award; and (3) any shares that are reacquired by the Company to satisfy a tax withholding obligation in connection with an Appreciation Award. For each share subject to a Full Value Award that is added back to the Share Reserve pursuant to this subsection, the number of shares of Common Stock available for issuance under the Plan will increase by 1.23 shares.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(iv)</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Shares Not Available For Subsequent Issuance.</w:t>
      </w:r>
      <w:r>
        <w:rPr>
          <w:rFonts w:ascii="Times New Roman;Times;serif" w:hAnsi="Times New Roman;Times;serif"/>
          <w:b w:val="false"/>
          <w:i w:val="false"/>
          <w:caps w:val="false"/>
          <w:smallCaps w:val="false"/>
          <w:color w:val="000000"/>
          <w:spacing w:val="4"/>
          <w:sz w:val="20"/>
        </w:rPr>
        <w:t xml:space="preserve">   Any shares of Common Stock reacquired or withheld (or not issued) by the Company to satisfy the purchase price of a Full Value Award will no longer be available for issuance under the Plan, including any shares subject to a Full Value Award that are not delivered to a Participant because such Full Value Award is settled through a reduction of shares subject to such Full Value Award. In addition, any shares reacquired or withheld (or not issued) by the Company to satisfy a tax withholding obligation in connection with a Full Value Award, or any shares repurchased by the Company on the open market with the proceeds from the purchase price of a Full Value Award will no longer be available for issuance under the Plan. </w:t>
      </w:r>
    </w:p>
    <w:p>
      <w:pPr>
        <w:pStyle w:val="TextBody"/>
        <w:spacing w:lineRule="atLeast" w:line="240" w:before="160" w:after="283"/>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3.      </w:t>
      </w:r>
      <w:r>
        <w:rPr>
          <w:rFonts w:ascii="Times New Roman;Times;serif" w:hAnsi="Times New Roman;Times;serif"/>
          <w:b/>
          <w:i w:val="false"/>
          <w:caps/>
          <w:color w:val="000000"/>
          <w:spacing w:val="4"/>
          <w:sz w:val="20"/>
        </w:rPr>
        <w:t>E</w:t>
      </w:r>
      <w:r>
        <w:rPr>
          <w:rFonts w:ascii="Times New Roman;Times;serif" w:hAnsi="Times New Roman;Times;serif"/>
          <w:b/>
          <w:i w:val="false"/>
          <w:caps/>
          <w:color w:val="000000"/>
          <w:spacing w:val="4"/>
          <w:sz w:val="14"/>
        </w:rPr>
        <w:t>ligibility</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and</w:t>
      </w:r>
      <w:r>
        <w:rPr>
          <w:rFonts w:ascii="Times New Roman;Times;serif" w:hAnsi="Times New Roman;Times;serif"/>
          <w:b/>
          <w:i w:val="false"/>
          <w:caps/>
          <w:color w:val="000000"/>
          <w:spacing w:val="4"/>
          <w:sz w:val="20"/>
        </w:rPr>
        <w:t xml:space="preserve"> L</w:t>
      </w:r>
      <w:r>
        <w:rPr>
          <w:rFonts w:ascii="Times New Roman;Times;serif" w:hAnsi="Times New Roman;Times;serif"/>
          <w:b/>
          <w:i w:val="false"/>
          <w:caps/>
          <w:color w:val="000000"/>
          <w:spacing w:val="4"/>
          <w:sz w:val="14"/>
        </w:rPr>
        <w:t>imitations</w:t>
      </w:r>
      <w:r>
        <w:rPr>
          <w:rFonts w:ascii="Times New Roman;Times;serif" w:hAnsi="Times New Roman;Times;serif"/>
          <w:b/>
          <w:i w:val="false"/>
          <w:caps/>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(a)</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Eligible Award Recipients.</w:t>
      </w:r>
      <w:r>
        <w:rPr>
          <w:rFonts w:ascii="Times New Roman;Times;serif" w:hAnsi="Times New Roman;Times;serif"/>
          <w:b w:val="false"/>
          <w:i w:val="false"/>
          <w:caps w:val="false"/>
          <w:smallCaps w:val="false"/>
          <w:color w:val="000000"/>
          <w:spacing w:val="4"/>
          <w:sz w:val="20"/>
        </w:rPr>
        <w:t xml:space="preserve">   Subject to the terms of the Plan, Employees, Directors and Consultants are eligible to receive Awards. </w:t>
      </w:r>
    </w:p>
    <w:p>
      <w:pPr>
        <w:pStyle w:val="TextBody"/>
        <w:spacing w:lineRule="atLeast" w:line="240" w:before="160" w:after="283"/>
        <w:ind w:left="1793" w:right="0" w:hanging="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(b)</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Specific Award Limitations.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Limitations on Incentive Stock Option Recipients.</w:t>
      </w:r>
      <w:r>
        <w:rPr>
          <w:rFonts w:ascii="Times New Roman;Times;serif" w:hAnsi="Times New Roman;Times;serif"/>
          <w:b w:val="false"/>
          <w:i w:val="false"/>
          <w:caps w:val="false"/>
          <w:smallCaps w:val="false"/>
          <w:color w:val="000000"/>
          <w:spacing w:val="4"/>
          <w:sz w:val="20"/>
        </w:rPr>
        <w:t xml:space="preserve">   Incentive Stock Options may be granted only to Employees of the Company or a “parent corporation” or “subsidiary corporation” thereof (as such terms are defined in Sections 424(e) and (f) of the Code).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(ii)</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Incentive Stock Option $100,000 Limitation.</w:t>
      </w:r>
      <w:r>
        <w:rPr>
          <w:rFonts w:ascii="Times New Roman;Times;serif" w:hAnsi="Times New Roman;Times;serif"/>
          <w:b w:val="false"/>
          <w:i w:val="false"/>
          <w:caps w:val="false"/>
          <w:smallCaps w:val="false"/>
          <w:color w:val="000000"/>
          <w:spacing w:val="4"/>
          <w:sz w:val="20"/>
        </w:rPr>
        <w:t xml:space="preserve">   To the extent that the aggregate Fair Market Value (determined at the time of 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(iii)</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Limitations on Incentive Stock Options Granted to Ten Percent Stockholders.</w:t>
      </w:r>
      <w:r>
        <w:rPr>
          <w:rFonts w:ascii="Times New Roman;Times;serif" w:hAnsi="Times New Roman;Times;serif"/>
          <w:b w:val="false"/>
          <w:i w:val="false"/>
          <w:caps w:val="false"/>
          <w:smallCaps w:val="false"/>
          <w:color w:val="000000"/>
          <w:spacing w:val="4"/>
          <w:sz w:val="20"/>
        </w:rPr>
        <w:t xml:space="preserve">   A Ten Percent Stockholder may not be granted an Incentive Stock Option unless (i) the exercise price of such Option is at least 110% of the Fair Market Value on the date of grant of such Option and (ii) the Option is not exercisable after the expiration of five years from the date of grant of such Option.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(iv)</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Limitations on Nonstatutory Stock Options and SARs.</w:t>
      </w:r>
      <w:r>
        <w:rPr>
          <w:rFonts w:ascii="Times New Roman;Times;serif" w:hAnsi="Times New Roman;Times;serif"/>
          <w:b w:val="false"/>
          <w:i w:val="false"/>
          <w:caps w:val="false"/>
          <w:smallCaps w:val="false"/>
          <w:color w:val="000000"/>
          <w:spacing w:val="4"/>
          <w:sz w:val="20"/>
        </w:rPr>
        <w:t xml:space="preserve">   Nonstatutory Stock Options and SARs may not be granted to Employees, Directors and Consultants 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(v)</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Dividends and Dividend Equivalents.</w:t>
      </w:r>
      <w:r>
        <w:rPr>
          <w:rFonts w:ascii="Times New Roman;Times;serif" w:hAnsi="Times New Roman;Times;serif"/>
          <w:b w:val="false"/>
          <w:i w:val="false"/>
          <w:caps w:val="false"/>
          <w:smallCaps w:val="false"/>
          <w:color w:val="000000"/>
          <w:spacing w:val="4"/>
          <w:sz w:val="20"/>
        </w:rPr>
        <w:t xml:space="preserve">   Dividends or dividend equivalents may be paid or credited, as applicable, with respect to any shares of Common Stock subject to an Award, as determined by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Board and contained in the applicable Award Agreement;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(i) no dividends or dividend equivalents may be paid with respect to any such shares before the date such shares have vested under the terms of such Award Agreement, (ii) any dividends or dividend equivalents that are credited with respect to any such shares will be subject to all of the terms and conditions applicable to such shares under the terms of such Award Agreement (including, but not limited to, any vesting conditions), and (iii) any dividends or dividend equivalents that are credited with respect to any such shares will be forfeited to the Company on the date, if any, such shares are forfeited to or repurchased by the Company due to a failure to meet any vesting conditions under the terms of such Award Agreement.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(c)</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Aggregate Incentive Stock Option Limit.</w:t>
      </w:r>
      <w:r>
        <w:rPr>
          <w:rFonts w:ascii="Times New Roman;Times;serif" w:hAnsi="Times New Roman;Times;serif"/>
          <w:b w:val="false"/>
          <w:i w:val="false"/>
          <w:caps w:val="false"/>
          <w:smallCaps w:val="false"/>
          <w:color w:val="000000"/>
          <w:spacing w:val="4"/>
          <w:sz w:val="20"/>
        </w:rPr>
        <w:t xml:space="preserve">   The aggregate maximum number of shares of Common Stock that may be issued pursuant to the exercise of Incentive Stock Options is the number of shares specified in Section 2(c).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(d)</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Non-Employee Director Compensation Limit.</w:t>
      </w:r>
      <w:r>
        <w:rPr>
          <w:rFonts w:ascii="Times New Roman;Times;serif" w:hAnsi="Times New Roman;Times;serif"/>
          <w:b w:val="false"/>
          <w:i w:val="false"/>
          <w:caps w:val="false"/>
          <w:smallCaps w:val="false"/>
          <w:color w:val="000000"/>
          <w:spacing w:val="4"/>
          <w:sz w:val="20"/>
        </w:rPr>
        <w:t xml:space="preserve">   The aggregate value of all compensation granted or paid, as applicable, to any individual for service as a Non-Employee Director with respect to any calendar year, including Awards granted and cash fees paid by the Company to such Non-Employee Director, will not exceed (i) $500,000 in total value or (ii) in the event such Non-Employee Director is first appointed or elected to the Board during such calendar year, $750,000 in total value, in each case calculating the value of any equity awards based on the grant date fair value of such equity awards for financial reporting purposes. </w:t>
      </w:r>
    </w:p>
    <w:p>
      <w:pPr>
        <w:pStyle w:val="TextBody"/>
        <w:spacing w:lineRule="atLeast" w:line="240" w:before="160" w:after="283"/>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4.      </w:t>
      </w:r>
      <w:r>
        <w:rPr>
          <w:rFonts w:ascii="Times New Roman;Times;serif" w:hAnsi="Times New Roman;Times;serif"/>
          <w:b/>
          <w:i w:val="false"/>
          <w:caps/>
          <w:color w:val="000000"/>
          <w:spacing w:val="4"/>
          <w:sz w:val="20"/>
        </w:rPr>
        <w:t>O</w:t>
      </w:r>
      <w:r>
        <w:rPr>
          <w:rFonts w:ascii="Times New Roman;Times;serif" w:hAnsi="Times New Roman;Times;serif"/>
          <w:b/>
          <w:i w:val="false"/>
          <w:caps/>
          <w:color w:val="000000"/>
          <w:spacing w:val="4"/>
          <w:sz w:val="14"/>
        </w:rPr>
        <w:t>ptions</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and</w:t>
      </w:r>
      <w:r>
        <w:rPr>
          <w:rFonts w:ascii="Times New Roman;Times;serif" w:hAnsi="Times New Roman;Times;serif"/>
          <w:b/>
          <w:i w:val="false"/>
          <w:caps/>
          <w:color w:val="000000"/>
          <w:spacing w:val="4"/>
          <w:sz w:val="20"/>
        </w:rPr>
        <w:t xml:space="preserve"> S</w:t>
      </w:r>
      <w:r>
        <w:rPr>
          <w:rFonts w:ascii="Times New Roman;Times;serif" w:hAnsi="Times New Roman;Times;serif"/>
          <w:b/>
          <w:i w:val="false"/>
          <w:caps/>
          <w:color w:val="000000"/>
          <w:spacing w:val="4"/>
          <w:sz w:val="14"/>
        </w:rPr>
        <w:t>tock</w:t>
      </w:r>
      <w:r>
        <w:rPr>
          <w:rFonts w:ascii="Times New Roman;Times;serif" w:hAnsi="Times New Roman;Times;serif"/>
          <w:b/>
          <w:i w:val="false"/>
          <w:caps/>
          <w:color w:val="000000"/>
          <w:spacing w:val="4"/>
          <w:sz w:val="20"/>
        </w:rPr>
        <w:t xml:space="preserve"> A</w:t>
      </w:r>
      <w:r>
        <w:rPr>
          <w:rFonts w:ascii="Times New Roman;Times;serif" w:hAnsi="Times New Roman;Times;serif"/>
          <w:b/>
          <w:i w:val="false"/>
          <w:caps/>
          <w:color w:val="000000"/>
          <w:spacing w:val="4"/>
          <w:sz w:val="14"/>
        </w:rPr>
        <w:t>ppreciation</w:t>
      </w:r>
      <w:r>
        <w:rPr>
          <w:rFonts w:ascii="Times New Roman;Times;serif" w:hAnsi="Times New Roman;Times;serif"/>
          <w:b/>
          <w:i w:val="false"/>
          <w:caps/>
          <w:color w:val="000000"/>
          <w:spacing w:val="4"/>
          <w:sz w:val="20"/>
        </w:rPr>
        <w:t xml:space="preserve"> R</w:t>
      </w:r>
      <w:r>
        <w:rPr>
          <w:rFonts w:ascii="Times New Roman;Times;serif" w:hAnsi="Times New Roman;Times;serif"/>
          <w:b/>
          <w:i w:val="false"/>
          <w:caps/>
          <w:color w:val="000000"/>
          <w:spacing w:val="4"/>
          <w:sz w:val="14"/>
        </w:rPr>
        <w:t>ights</w:t>
      </w:r>
      <w:r>
        <w:rPr>
          <w:rFonts w:ascii="Times New Roman;Times;serif" w:hAnsi="Times New Roman;Times;serif"/>
          <w:b/>
          <w:i w:val="false"/>
          <w:caps/>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jc w:val="both"/>
        <w:rPr>
          <w:caps w:val="false"/>
          <w:smallCaps w:val="false"/>
          <w:color w:val="000000"/>
          <w:spacing w:val="4"/>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xml:space="preserve">Each Option and SAR will have such terms and conditions as determined by the Board. Each Option will be designated in writing as an Incentive Stock Option or Nonstatutory Stock Option at the time of grant; provided, however, that if an Option is not so designated,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(a)</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Term.</w:t>
      </w:r>
      <w:r>
        <w:rPr>
          <w:rFonts w:ascii="Times New Roman;Times;serif" w:hAnsi="Times New Roman;Times;serif"/>
          <w:b w:val="false"/>
          <w:i w:val="false"/>
          <w:caps w:val="false"/>
          <w:smallCaps w:val="false"/>
          <w:color w:val="000000"/>
          <w:spacing w:val="4"/>
          <w:sz w:val="20"/>
        </w:rPr>
        <w:t xml:space="preserve">   Subject to Section 3(b) regarding Ten Percent Stockholders, no Option or SAR will be exercisable after the expiration of ten years from the date of grant of such Award or such shorter period specified in the Award Agreement.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(b)</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Exercise or Strike Price.</w:t>
      </w:r>
      <w:r>
        <w:rPr>
          <w:rFonts w:ascii="Times New Roman;Times;serif" w:hAnsi="Times New Roman;Times;serif"/>
          <w:b w:val="false"/>
          <w:i w:val="false"/>
          <w:caps w:val="false"/>
          <w:smallCaps w:val="false"/>
          <w:color w:val="000000"/>
          <w:spacing w:val="4"/>
          <w:sz w:val="20"/>
        </w:rPr>
        <w:t xml:space="preserve">   Subject to Section 3(b) regarding Ten Percent Stockholders, the exercise or strike price of each Option or 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(c)</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Exercise Procedure and Payment of Exercise Price for Options.</w:t>
      </w:r>
      <w:r>
        <w:rPr>
          <w:rFonts w:ascii="Times New Roman;Times;serif" w:hAnsi="Times New Roman;Times;serif"/>
          <w:b w:val="false"/>
          <w:i w:val="false"/>
          <w:caps w:val="false"/>
          <w:smallCaps w:val="false"/>
          <w:color w:val="000000"/>
          <w:spacing w:val="4"/>
          <w:sz w:val="20"/>
        </w:rPr>
        <w:t xml:space="preserve">   In order to exercise an Option, the Participant must provide notice 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 </w:t>
      </w:r>
    </w:p>
    <w:p>
      <w:pPr>
        <w:pStyle w:val="TextBody"/>
        <w:spacing w:lineRule="atLeast" w:line="240" w:before="160" w:after="283"/>
        <w:ind w:left="1793" w:right="0" w:hanging="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w:t>
      </w:r>
      <w:r>
        <w:rPr>
          <w:rFonts w:ascii="Times New Roman;Times;serif" w:hAnsi="Times New Roman;Times;serif"/>
          <w:b w:val="false"/>
          <w:i w:val="false"/>
          <w:caps w:val="false"/>
          <w:smallCaps w:val="false"/>
          <w:color w:val="000000"/>
          <w:spacing w:val="4"/>
          <w:sz w:val="20"/>
        </w:rPr>
        <w:t xml:space="preserve">      by cash or check, bank draft or money order payable to the Company;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(ii)</w:t>
      </w:r>
      <w:r>
        <w:rPr>
          <w:rFonts w:ascii="Times New Roman;Times;serif" w:hAnsi="Times New Roman;Times;serif"/>
          <w:b w:val="false"/>
          <w:i w:val="false"/>
          <w:caps w:val="false"/>
          <w:smallCaps w:val="false"/>
          <w:color w:val="000000"/>
          <w:spacing w:val="4"/>
          <w:sz w:val="20"/>
        </w:rPr>
        <w:t xml:space="preserve">      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(iii)</w:t>
      </w:r>
      <w:r>
        <w:rPr>
          <w:rFonts w:ascii="Times New Roman;Times;serif" w:hAnsi="Times New Roman;Times;serif"/>
          <w:b w:val="false"/>
          <w:i w:val="false"/>
          <w:caps w:val="false"/>
          <w:smallCaps w:val="false"/>
          <w:color w:val="000000"/>
          <w:spacing w:val="4"/>
          <w:sz w:val="20"/>
        </w:rPr>
        <w:t xml:space="preserve">      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(iv)</w:t>
      </w:r>
      <w:r>
        <w:rPr>
          <w:rFonts w:ascii="Times New Roman;Times;serif" w:hAnsi="Times New Roman;Times;serif"/>
          <w:b w:val="false"/>
          <w:i w:val="false"/>
          <w:caps w:val="false"/>
          <w:smallCaps w:val="false"/>
          <w:color w:val="000000"/>
          <w:spacing w:val="4"/>
          <w:sz w:val="20"/>
        </w:rPr>
        <w:t xml:space="preserve">      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(v)</w:t>
      </w:r>
      <w:r>
        <w:rPr>
          <w:rFonts w:ascii="Times New Roman;Times;serif" w:hAnsi="Times New Roman;Times;serif"/>
          <w:b w:val="false"/>
          <w:i w:val="false"/>
          <w:caps w:val="false"/>
          <w:smallCaps w:val="false"/>
          <w:color w:val="000000"/>
          <w:spacing w:val="4"/>
          <w:sz w:val="20"/>
        </w:rPr>
        <w:t xml:space="preserve">      in any other form of consideration that may be acceptable to the Board and permissible under Applicable Law.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(d)</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Exercise Procedure and Payment of Appreciation Distribution for SARs.</w:t>
      </w:r>
      <w:r>
        <w:rPr>
          <w:rFonts w:ascii="Times New Roman;Times;serif" w:hAnsi="Times New Roman;Times;serif"/>
          <w:b w:val="false"/>
          <w:i w:val="false"/>
          <w:caps w:val="false"/>
          <w:smallCaps w:val="false"/>
          <w:color w:val="000000"/>
          <w:spacing w:val="4"/>
          <w:sz w:val="20"/>
        </w:rPr>
        <w:t xml:space="preserve">   In order to exercise any SAR, the Participant must provide 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(e)</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Transferability.</w:t>
      </w:r>
      <w:r>
        <w:rPr>
          <w:rFonts w:ascii="Times New Roman;Times;serif" w:hAnsi="Times New Roman;Times;serif"/>
          <w:b w:val="false"/>
          <w:i w:val="false"/>
          <w:caps w:val="false"/>
          <w:smallCaps w:val="false"/>
          <w:color w:val="000000"/>
          <w:spacing w:val="4"/>
          <w:sz w:val="20"/>
        </w:rPr>
        <w:t xml:space="preserve">   Options and SARs may not be transferred to third party financial institutions for value. The Board may impose such 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Times New Roman;Times;serif" w:hAnsi="Times New Roman;Times;serif"/>
          <w:b w:val="false"/>
          <w:i/>
          <w:caps w:val="false"/>
          <w:smallCaps w:val="false"/>
          <w:color w:val="000000"/>
          <w:spacing w:val="4"/>
          <w:sz w:val="20"/>
        </w:rPr>
        <w:t>provided, further</w:t>
      </w:r>
      <w:r>
        <w:rPr>
          <w:rFonts w:ascii="Times New Roman;Times;serif" w:hAnsi="Times New Roman;Times;serif"/>
          <w:b w:val="false"/>
          <w:i w:val="false"/>
          <w:caps w:val="false"/>
          <w:smallCaps w:val="false"/>
          <w:color w:val="000000"/>
          <w:spacing w:val="4"/>
          <w:sz w:val="20"/>
        </w:rPr>
        <w:t xml:space="preserve">, that if an Option is an Incentive Stock Option, such Option may be deemed to be a Nonstatutory Stock Option as a result of such transfer: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Restrictions on Transfer.</w:t>
      </w:r>
      <w:r>
        <w:rPr>
          <w:rFonts w:ascii="Times New Roman;Times;serif" w:hAnsi="Times New Roman;Times;serif"/>
          <w:b w:val="false"/>
          <w:i w:val="false"/>
          <w:caps w:val="false"/>
          <w:smallCaps w:val="false"/>
          <w:color w:val="000000"/>
          <w:spacing w:val="4"/>
          <w:sz w:val="20"/>
        </w:rPr>
        <w:t xml:space="preserve">   An Option or SAR will not be transferable, except by will or by the laws of descent and distribution, 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(ii)</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Domestic Relations Orders.</w:t>
      </w:r>
      <w:r>
        <w:rPr>
          <w:rFonts w:ascii="Times New Roman;Times;serif" w:hAnsi="Times New Roman;Times;serif"/>
          <w:b w:val="false"/>
          <w:i w:val="false"/>
          <w:caps w:val="false"/>
          <w:smallCaps w:val="false"/>
          <w:color w:val="000000"/>
          <w:spacing w:val="4"/>
          <w:sz w:val="20"/>
        </w:rPr>
        <w:t xml:space="preserve">   Notwithstanding the foregoing, subject to the execution of transfer documentation in a format acceptable to the Company and subject to the approval of the Board or a duly authorized Officer, an Option or SAR may be transferred pursuant to a domestic relations order.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Vesting.</w:t>
      </w:r>
      <w:r>
        <w:rPr>
          <w:rFonts w:ascii="Times New Roman;Times;serif" w:hAnsi="Times New Roman;Times;serif"/>
          <w:b w:val="false"/>
          <w:i w:val="false"/>
          <w:caps w:val="false"/>
          <w:smallCaps w:val="false"/>
          <w:color w:val="000000"/>
          <w:spacing w:val="4"/>
          <w:sz w:val="20"/>
        </w:rPr>
        <w:t xml:space="preserve">   The Board may impose such restrictions on or conditions to the vesting and/or exercisability of an Option or SAR as determined by the Board. Except as otherwise provided in the Award Agreement or other written agreement between a Participant and the Company or an Affiliate, vesting of Options and SARs will cease upon termination of the Participant’s Continuous Service.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(g)</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Termination of Continuous Service for Cause.</w:t>
      </w:r>
      <w:r>
        <w:rPr>
          <w:rFonts w:ascii="Times New Roman;Times;serif" w:hAnsi="Times New Roman;Times;serif"/>
          <w:b w:val="false"/>
          <w:i w:val="false"/>
          <w:caps w:val="false"/>
          <w:smallCaps w:val="false"/>
          <w:color w:val="000000"/>
          <w:spacing w:val="4"/>
          <w:sz w:val="20"/>
        </w:rPr>
        <w:t xml:space="preserve">   Except as explicitly otherwise provided in the Award Agreement or other written agreement 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termination of Continuous Service and the Participant will have no further right, title or interest in such forfeited Award, the shares of Common Stock subject to the forfeited Award, or any consideration in respect of the forfeited Award.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(h)</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Post-Termination Exercise Period Following Termination of Continuous Service for Reasons Other than Cause.</w:t>
      </w:r>
      <w:r>
        <w:rPr>
          <w:rFonts w:ascii="Times New Roman;Times;serif" w:hAnsi="Times New Roman;Times;serif"/>
          <w:b w:val="false"/>
          <w:i w:val="false"/>
          <w:caps w:val="false"/>
          <w:smallCaps w:val="false"/>
          <w:color w:val="000000"/>
          <w:spacing w:val="4"/>
          <w:sz w:val="20"/>
        </w:rPr>
        <w:t xml:space="preserve">   Subject to Section 4(i), 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w:t>
      </w:r>
      <w:r>
        <w:rPr>
          <w:rFonts w:ascii="Times New Roman;Times;serif" w:hAnsi="Times New Roman;Times;serif"/>
          <w:b w:val="false"/>
          <w:i w:val="false"/>
          <w:caps w:val="false"/>
          <w:smallCaps w:val="false"/>
          <w:color w:val="000000"/>
          <w:spacing w:val="4"/>
          <w:sz w:val="20"/>
        </w:rPr>
        <w:t xml:space="preserve">      three months following the date of such termination if such termination is a termination without Cause (other than any termination due to the Participant’s Disability or death);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(ii)</w:t>
      </w:r>
      <w:r>
        <w:rPr>
          <w:rFonts w:ascii="Times New Roman;Times;serif" w:hAnsi="Times New Roman;Times;serif"/>
          <w:b w:val="false"/>
          <w:i w:val="false"/>
          <w:caps w:val="false"/>
          <w:smallCaps w:val="false"/>
          <w:color w:val="000000"/>
          <w:spacing w:val="4"/>
          <w:sz w:val="20"/>
        </w:rPr>
        <w:t xml:space="preserve">      12 months following the date of such termination if such termination is due to the Participant’s Disability;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(iii)</w:t>
      </w:r>
      <w:r>
        <w:rPr>
          <w:rFonts w:ascii="Times New Roman;Times;serif" w:hAnsi="Times New Roman;Times;serif"/>
          <w:b w:val="false"/>
          <w:i w:val="false"/>
          <w:caps w:val="false"/>
          <w:smallCaps w:val="false"/>
          <w:color w:val="000000"/>
          <w:spacing w:val="4"/>
          <w:sz w:val="20"/>
        </w:rPr>
        <w:t xml:space="preserve">      18 months following the date of such termination if such termination is due to the Participant’s death; or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(iv)</w:t>
      </w:r>
      <w:r>
        <w:rPr>
          <w:rFonts w:ascii="Times New Roman;Times;serif" w:hAnsi="Times New Roman;Times;serif"/>
          <w:b w:val="false"/>
          <w:i w:val="false"/>
          <w:caps w:val="false"/>
          <w:smallCaps w:val="false"/>
          <w:color w:val="000000"/>
          <w:spacing w:val="4"/>
          <w:sz w:val="20"/>
        </w:rPr>
        <w:t xml:space="preserve">      18 months following the date of the Participant’s death if such death occurs following the date of such termination but during the period such Award is otherwise exercisable (as provided in (i) or (ii) above).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Restrictions on Exercise; Extension of Exercisability.</w:t>
      </w:r>
      <w:r>
        <w:rPr>
          <w:rFonts w:ascii="Times New Roman;Times;serif" w:hAnsi="Times New Roman;Times;serif"/>
          <w:b w:val="false"/>
          <w:i w:val="false"/>
          <w:caps w:val="false"/>
          <w:smallCaps w:val="false"/>
          <w:color w:val="000000"/>
          <w:spacing w:val="4"/>
          <w:sz w:val="20"/>
        </w:rPr>
        <w:t xml:space="preserve">   A Participant may not exercise an Option or SAR at any time that the issuance of 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(j)</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Non-Exempt Employees</w:t>
      </w:r>
      <w:r>
        <w:rPr>
          <w:rFonts w:ascii="Times New Roman;Times;serif" w:hAnsi="Times New Roman;Times;serif"/>
          <w:b w:val="false"/>
          <w:i w:val="false"/>
          <w:caps w:val="false"/>
          <w:smallCaps w:val="false"/>
          <w:color w:val="000000"/>
          <w:spacing w:val="4"/>
          <w:sz w:val="20"/>
        </w:rPr>
        <w:t xml:space="preserve">.   No Option or SAR, whether or not vested, granted to an Employee who is a non-exempt employee for purposes of 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(k)</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Whole Shares</w:t>
      </w:r>
      <w:r>
        <w:rPr>
          <w:rFonts w:ascii="Times New Roman;Times;serif" w:hAnsi="Times New Roman;Times;serif"/>
          <w:b w:val="false"/>
          <w:i w:val="false"/>
          <w:caps w:val="false"/>
          <w:smallCaps w:val="false"/>
          <w:color w:val="000000"/>
          <w:spacing w:val="4"/>
          <w:sz w:val="20"/>
        </w:rPr>
        <w:t xml:space="preserve">.   Options and SARs may be exercised only with respect to whole shares of Common Stock or their equivalents. </w:t>
      </w:r>
    </w:p>
    <w:p>
      <w:pPr>
        <w:pStyle w:val="TextBody"/>
        <w:spacing w:lineRule="atLeast" w:line="240" w:before="16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5.      </w:t>
      </w:r>
      <w:r>
        <w:rPr>
          <w:rFonts w:ascii="Times New Roman;Times;serif" w:hAnsi="Times New Roman;Times;serif"/>
          <w:b/>
          <w:i w:val="false"/>
          <w:caps/>
          <w:color w:val="000000"/>
          <w:spacing w:val="4"/>
          <w:sz w:val="20"/>
        </w:rPr>
        <w:t>A</w:t>
      </w:r>
      <w:r>
        <w:rPr>
          <w:rFonts w:ascii="Times New Roman;Times;serif" w:hAnsi="Times New Roman;Times;serif"/>
          <w:b/>
          <w:i w:val="false"/>
          <w:caps/>
          <w:color w:val="000000"/>
          <w:spacing w:val="4"/>
          <w:sz w:val="14"/>
        </w:rPr>
        <w:t>wards</w:t>
      </w:r>
      <w:r>
        <w:rPr>
          <w:rFonts w:ascii="Times New Roman;Times;serif" w:hAnsi="Times New Roman;Times;serif"/>
          <w:b/>
          <w:i w:val="false"/>
          <w:caps/>
          <w:color w:val="000000"/>
          <w:spacing w:val="4"/>
          <w:sz w:val="20"/>
        </w:rPr>
        <w:t xml:space="preserve"> O</w:t>
      </w:r>
      <w:r>
        <w:rPr>
          <w:rFonts w:ascii="Times New Roman;Times;serif" w:hAnsi="Times New Roman;Times;serif"/>
          <w:b/>
          <w:i w:val="false"/>
          <w:caps/>
          <w:color w:val="000000"/>
          <w:spacing w:val="4"/>
          <w:sz w:val="14"/>
        </w:rPr>
        <w:t>ther</w:t>
      </w:r>
      <w:r>
        <w:rPr>
          <w:rFonts w:ascii="Times New Roman;Times;serif" w:hAnsi="Times New Roman;Times;serif"/>
          <w:b/>
          <w:i w:val="false"/>
          <w:caps/>
          <w:color w:val="000000"/>
          <w:spacing w:val="4"/>
          <w:sz w:val="20"/>
        </w:rPr>
        <w:t xml:space="preserve"> T</w:t>
      </w:r>
      <w:r>
        <w:rPr>
          <w:rFonts w:ascii="Times New Roman;Times;serif" w:hAnsi="Times New Roman;Times;serif"/>
          <w:b/>
          <w:i w:val="false"/>
          <w:caps/>
          <w:color w:val="000000"/>
          <w:spacing w:val="4"/>
          <w:sz w:val="14"/>
        </w:rPr>
        <w:t>han</w:t>
      </w:r>
      <w:r>
        <w:rPr>
          <w:rFonts w:ascii="Times New Roman;Times;serif" w:hAnsi="Times New Roman;Times;serif"/>
          <w:b/>
          <w:i w:val="false"/>
          <w:caps/>
          <w:color w:val="000000"/>
          <w:spacing w:val="4"/>
          <w:sz w:val="20"/>
        </w:rPr>
        <w:t xml:space="preserve"> O</w:t>
      </w:r>
      <w:r>
        <w:rPr>
          <w:rFonts w:ascii="Times New Roman;Times;serif" w:hAnsi="Times New Roman;Times;serif"/>
          <w:b/>
          <w:i w:val="false"/>
          <w:caps/>
          <w:color w:val="000000"/>
          <w:spacing w:val="4"/>
          <w:sz w:val="14"/>
        </w:rPr>
        <w:t>ptions</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and</w:t>
      </w:r>
      <w:r>
        <w:rPr>
          <w:rFonts w:ascii="Times New Roman;Times;serif" w:hAnsi="Times New Roman;Times;serif"/>
          <w:b/>
          <w:i w:val="false"/>
          <w:caps/>
          <w:color w:val="000000"/>
          <w:spacing w:val="4"/>
          <w:sz w:val="20"/>
        </w:rPr>
        <w:t xml:space="preserve"> S</w:t>
      </w:r>
      <w:r>
        <w:rPr>
          <w:rFonts w:ascii="Times New Roman;Times;serif" w:hAnsi="Times New Roman;Times;serif"/>
          <w:b/>
          <w:i w:val="false"/>
          <w:caps/>
          <w:color w:val="000000"/>
          <w:spacing w:val="4"/>
          <w:sz w:val="14"/>
        </w:rPr>
        <w:t>tock</w:t>
      </w:r>
      <w:r>
        <w:rPr>
          <w:rFonts w:ascii="Times New Roman;Times;serif" w:hAnsi="Times New Roman;Times;serif"/>
          <w:b/>
          <w:i w:val="false"/>
          <w:caps/>
          <w:color w:val="000000"/>
          <w:spacing w:val="4"/>
          <w:sz w:val="20"/>
        </w:rPr>
        <w:t xml:space="preserve"> A</w:t>
      </w:r>
      <w:r>
        <w:rPr>
          <w:rFonts w:ascii="Times New Roman;Times;serif" w:hAnsi="Times New Roman;Times;serif"/>
          <w:b/>
          <w:i w:val="false"/>
          <w:caps/>
          <w:color w:val="000000"/>
          <w:spacing w:val="4"/>
          <w:sz w:val="14"/>
        </w:rPr>
        <w:t>ppreciation</w:t>
      </w:r>
      <w:r>
        <w:rPr>
          <w:rFonts w:ascii="Times New Roman;Times;serif" w:hAnsi="Times New Roman;Times;serif"/>
          <w:b/>
          <w:i w:val="false"/>
          <w:caps/>
          <w:color w:val="000000"/>
          <w:spacing w:val="4"/>
          <w:sz w:val="20"/>
        </w:rPr>
        <w:t xml:space="preserve"> R</w:t>
      </w:r>
      <w:r>
        <w:rPr>
          <w:rFonts w:ascii="Times New Roman;Times;serif" w:hAnsi="Times New Roman;Times;serif"/>
          <w:b/>
          <w:i w:val="false"/>
          <w:caps/>
          <w:color w:val="000000"/>
          <w:spacing w:val="4"/>
          <w:sz w:val="14"/>
        </w:rPr>
        <w:t>ights</w:t>
      </w:r>
      <w:r>
        <w:rPr>
          <w:rFonts w:ascii="Times New Roman;Times;serif" w:hAnsi="Times New Roman;Times;serif"/>
          <w:b/>
          <w:i w:val="false"/>
          <w:caps/>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(a)</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Restricted Stock Awards and RSU Awards.</w:t>
      </w:r>
      <w:r>
        <w:rPr>
          <w:rFonts w:ascii="Times New Roman;Times;serif" w:hAnsi="Times New Roman;Times;serif"/>
          <w:b w:val="false"/>
          <w:i w:val="false"/>
          <w:caps w:val="false"/>
          <w:smallCaps w:val="false"/>
          <w:color w:val="000000"/>
          <w:spacing w:val="4"/>
          <w:sz w:val="20"/>
        </w:rPr>
        <w:t xml:space="preserve">   Each Restricted Stock Award and RSU Award will have such terms and conditions as determined by the Board; provided, however, that each Restricted Stock Award Agreement and RSU Award Agreement will conform (through incorporation of the provisions hereof by reference in the Award Agreement or otherwise) to the substance of each of the following provisions: </w:t>
      </w:r>
    </w:p>
    <w:p>
      <w:pPr>
        <w:pStyle w:val="TextBody"/>
        <w:spacing w:lineRule="atLeast" w:line="240" w:before="160" w:after="283"/>
        <w:ind w:left="1793" w:right="0" w:hanging="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Form of Award.</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ind w:left="1393" w:right="0" w:firstLine="400"/>
        <w:jc w:val="both"/>
        <w:rPr>
          <w:caps w:val="false"/>
          <w:smallCaps w:val="false"/>
          <w:color w:val="000000"/>
          <w:spacing w:val="4"/>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xml:space="preserve">(1)      RSAs:   To the extent consistent with the Company’s Bylaws, at the Board’s election, shares of Common Stock subject to a Restricted Stock Award may be (i) held in book entry form subject to the Company’s instructions until such shares become vested or any other restrictions lapse, or (ii)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 </w:t>
      </w:r>
    </w:p>
    <w:p>
      <w:pPr>
        <w:pStyle w:val="TextBody"/>
        <w:spacing w:lineRule="atLeast" w:line="230" w:before="160" w:after="283"/>
        <w:ind w:left="1393" w:right="0" w:firstLine="400"/>
        <w:jc w:val="both"/>
        <w:rPr>
          <w:caps w:val="false"/>
          <w:smallCaps w:val="false"/>
          <w:color w:val="000000"/>
          <w:spacing w:val="4"/>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xml:space="preserve">(2)      RSUs:   A RSU Award represents a Participant’s right to be issued on a future date the number of shares of Common Stock that is equal to the number of restricted stock units subject to the RSU Award. As a holder of a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 </w:t>
      </w:r>
    </w:p>
    <w:p>
      <w:pPr>
        <w:pStyle w:val="TextBody"/>
        <w:spacing w:lineRule="atLeast" w:line="240" w:before="160" w:after="283"/>
        <w:ind w:left="1793" w:right="0" w:hanging="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(ii)</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Consideration.</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ind w:left="1393" w:right="0" w:firstLine="400"/>
        <w:jc w:val="both"/>
        <w:rPr>
          <w:caps w:val="false"/>
          <w:smallCaps w:val="false"/>
          <w:color w:val="000000"/>
          <w:spacing w:val="4"/>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xml:space="preserve">(1)      RSA:   A Restricted Stock Award may be granted in consideration for (A) cash or check, bank draft or money order payable to the Company, (B) past services to the Company or an Affiliate, or (C) any other form of consideration (including future services) as the Board may determine and permissible under Applicable Law. </w:t>
      </w:r>
    </w:p>
    <w:p>
      <w:pPr>
        <w:pStyle w:val="TextBody"/>
        <w:spacing w:lineRule="atLeast" w:line="230" w:before="160" w:after="283"/>
        <w:ind w:left="1393" w:right="0" w:firstLine="400"/>
        <w:jc w:val="both"/>
        <w:rPr>
          <w:caps w:val="false"/>
          <w:smallCaps w:val="false"/>
          <w:color w:val="000000"/>
          <w:spacing w:val="4"/>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xml:space="preserve">(2)      RSU:   Unless otherwise determined by the Board at the time of grant, a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(iii)</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Vesting.</w:t>
      </w:r>
      <w:r>
        <w:rPr>
          <w:rFonts w:ascii="Times New Roman;Times;serif" w:hAnsi="Times New Roman;Times;serif"/>
          <w:b w:val="false"/>
          <w:i w:val="false"/>
          <w:caps w:val="false"/>
          <w:smallCaps w:val="false"/>
          <w:color w:val="000000"/>
          <w:spacing w:val="4"/>
          <w:sz w:val="20"/>
        </w:rPr>
        <w:t xml:space="preserve">   The Board may impose such restrictions on or conditions to the vesting of a Restricted Stock Award or RSU Award as determined by the Board. Except as otherwise provided in the Award Agreement or other written agreement between a Participant and the Company or an Affiliate, vesting of Restricted Stock Awards and RSU Awards will cease upon termination of the Participant’s Continuous Service.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(iv)</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Termination of Continuous Service.</w:t>
      </w:r>
      <w:r>
        <w:rPr>
          <w:rFonts w:ascii="Times New Roman;Times;serif" w:hAnsi="Times New Roman;Times;serif"/>
          <w:b w:val="false"/>
          <w:i w:val="false"/>
          <w:caps w:val="false"/>
          <w:smallCaps w:val="false"/>
          <w:color w:val="000000"/>
          <w:spacing w:val="4"/>
          <w:sz w:val="20"/>
        </w:rPr>
        <w:t xml:space="preserve">   Except as otherwise provided in the Award Agreement or other written agreement between a Participant and the Company or an Affiliate, if a Participant’s Continuous Service terminates for any reason, (i)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(ii)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(v)</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Dividends and Dividend Equivalents.</w:t>
      </w:r>
      <w:r>
        <w:rPr>
          <w:rFonts w:ascii="Times New Roman;Times;serif" w:hAnsi="Times New Roman;Times;serif"/>
          <w:b w:val="false"/>
          <w:i w:val="false"/>
          <w:caps w:val="false"/>
          <w:smallCaps w:val="false"/>
          <w:color w:val="000000"/>
          <w:spacing w:val="4"/>
          <w:sz w:val="20"/>
        </w:rPr>
        <w:t xml:space="preserve">   Subject to Section 3(b)(v), dividends or dividend equivalents may be paid or credited, as applicable, with respect to any shares of Common Stock subject to a Restricted Stock Award or RSU Award, as determined by the Board and specified in the Award Agreement.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(vi)</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Settlement of RSU Awards</w:t>
      </w:r>
      <w:r>
        <w:rPr>
          <w:rFonts w:ascii="Times New Roman;Times;serif" w:hAnsi="Times New Roman;Times;serif"/>
          <w:b w:val="false"/>
          <w:i w:val="false"/>
          <w:caps w:val="false"/>
          <w:smallCaps w:val="false"/>
          <w:color w:val="000000"/>
          <w:spacing w:val="4"/>
          <w:sz w:val="20"/>
        </w:rPr>
        <w:t xml:space="preserve">.   A RSU Award may be settled by the issuance of shares of Common Stock or cash (or any 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(b)</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Performance Awards</w:t>
      </w:r>
      <w:r>
        <w:rPr>
          <w:rFonts w:ascii="Times New Roman;Times;serif" w:hAnsi="Times New Roman;Times;serif"/>
          <w:b w:val="false"/>
          <w:i w:val="false"/>
          <w:caps w:val="false"/>
          <w:smallCaps w:val="false"/>
          <w:color w:val="000000"/>
          <w:spacing w:val="4"/>
          <w:sz w:val="20"/>
        </w:rPr>
        <w:t xml:space="preserve">.   With respect to any Performance Award, the length of any Performance Period, the Performance Goals to be achieved during the Performance Period, the other terms and conditions of such Award, and the measure of whether and to what degree such Performance Goals have been attained will be determined by the Board.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(c)</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Other Awards</w:t>
      </w:r>
      <w:r>
        <w:rPr>
          <w:rFonts w:ascii="Times New Roman;Times;serif" w:hAnsi="Times New Roman;Times;serif"/>
          <w:b w:val="false"/>
          <w:i w:val="false"/>
          <w:caps w:val="false"/>
          <w:smallCaps w:val="false"/>
          <w:color w:val="000000"/>
          <w:spacing w:val="4"/>
          <w:sz w:val="20"/>
        </w:rPr>
        <w:t xml:space="preserve">.   Other forms of Awards valued in whole or in part by reference to, or otherwise based on, Common Stock, including the appreciation in value thereof (e.g., options or stock rights with an exercise price or strike price less than 100% of the Fair Market Value at the time of grant)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 </w:t>
      </w:r>
    </w:p>
    <w:p>
      <w:pPr>
        <w:pStyle w:val="TextBody"/>
        <w:spacing w:lineRule="atLeast" w:line="240" w:before="16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6.      </w:t>
      </w:r>
      <w:r>
        <w:rPr>
          <w:rFonts w:ascii="Times New Roman;Times;serif" w:hAnsi="Times New Roman;Times;serif"/>
          <w:b/>
          <w:i w:val="false"/>
          <w:caps/>
          <w:color w:val="000000"/>
          <w:spacing w:val="4"/>
          <w:sz w:val="20"/>
        </w:rPr>
        <w:t>A</w:t>
      </w:r>
      <w:r>
        <w:rPr>
          <w:rFonts w:ascii="Times New Roman;Times;serif" w:hAnsi="Times New Roman;Times;serif"/>
          <w:b/>
          <w:i w:val="false"/>
          <w:caps/>
          <w:color w:val="000000"/>
          <w:spacing w:val="4"/>
          <w:sz w:val="14"/>
        </w:rPr>
        <w:t>djustments</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upon</w:t>
      </w:r>
      <w:r>
        <w:rPr>
          <w:rFonts w:ascii="Times New Roman;Times;serif" w:hAnsi="Times New Roman;Times;serif"/>
          <w:b/>
          <w:i w:val="false"/>
          <w:caps/>
          <w:color w:val="000000"/>
          <w:spacing w:val="4"/>
          <w:sz w:val="20"/>
        </w:rPr>
        <w:t xml:space="preserve"> C</w:t>
      </w:r>
      <w:r>
        <w:rPr>
          <w:rFonts w:ascii="Times New Roman;Times;serif" w:hAnsi="Times New Roman;Times;serif"/>
          <w:b/>
          <w:i w:val="false"/>
          <w:caps/>
          <w:color w:val="000000"/>
          <w:spacing w:val="4"/>
          <w:sz w:val="14"/>
        </w:rPr>
        <w:t>hanges</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in</w:t>
      </w:r>
      <w:r>
        <w:rPr>
          <w:rFonts w:ascii="Times New Roman;Times;serif" w:hAnsi="Times New Roman;Times;serif"/>
          <w:b/>
          <w:i w:val="false"/>
          <w:caps/>
          <w:color w:val="000000"/>
          <w:spacing w:val="4"/>
          <w:sz w:val="20"/>
        </w:rPr>
        <w:t xml:space="preserve"> C</w:t>
      </w:r>
      <w:r>
        <w:rPr>
          <w:rFonts w:ascii="Times New Roman;Times;serif" w:hAnsi="Times New Roman;Times;serif"/>
          <w:b/>
          <w:i w:val="false"/>
          <w:caps/>
          <w:color w:val="000000"/>
          <w:spacing w:val="4"/>
          <w:sz w:val="14"/>
        </w:rPr>
        <w:t>ommon</w:t>
      </w:r>
      <w:r>
        <w:rPr>
          <w:rFonts w:ascii="Times New Roman;Times;serif" w:hAnsi="Times New Roman;Times;serif"/>
          <w:b/>
          <w:i w:val="false"/>
          <w:caps/>
          <w:color w:val="000000"/>
          <w:spacing w:val="4"/>
          <w:sz w:val="20"/>
        </w:rPr>
        <w:t xml:space="preserve"> S</w:t>
      </w:r>
      <w:r>
        <w:rPr>
          <w:rFonts w:ascii="Times New Roman;Times;serif" w:hAnsi="Times New Roman;Times;serif"/>
          <w:b/>
          <w:i w:val="false"/>
          <w:caps/>
          <w:color w:val="000000"/>
          <w:spacing w:val="4"/>
          <w:sz w:val="14"/>
        </w:rPr>
        <w:t>tock</w:t>
      </w:r>
      <w:r>
        <w:rPr>
          <w:rFonts w:ascii="Times New Roman;Times;serif" w:hAnsi="Times New Roman;Times;serif"/>
          <w:b/>
          <w:i w:val="false"/>
          <w:caps/>
          <w:color w:val="000000"/>
          <w:spacing w:val="4"/>
          <w:sz w:val="20"/>
        </w:rPr>
        <w:t>; O</w:t>
      </w:r>
      <w:r>
        <w:rPr>
          <w:rFonts w:ascii="Times New Roman;Times;serif" w:hAnsi="Times New Roman;Times;serif"/>
          <w:b/>
          <w:i w:val="false"/>
          <w:caps/>
          <w:color w:val="000000"/>
          <w:spacing w:val="4"/>
          <w:sz w:val="14"/>
        </w:rPr>
        <w:t>ther</w:t>
      </w:r>
      <w:r>
        <w:rPr>
          <w:rFonts w:ascii="Times New Roman;Times;serif" w:hAnsi="Times New Roman;Times;serif"/>
          <w:b/>
          <w:i w:val="false"/>
          <w:caps/>
          <w:color w:val="000000"/>
          <w:spacing w:val="4"/>
          <w:sz w:val="20"/>
        </w:rPr>
        <w:t xml:space="preserve"> C</w:t>
      </w:r>
      <w:r>
        <w:rPr>
          <w:rFonts w:ascii="Times New Roman;Times;serif" w:hAnsi="Times New Roman;Times;serif"/>
          <w:b/>
          <w:i w:val="false"/>
          <w:caps/>
          <w:color w:val="000000"/>
          <w:spacing w:val="4"/>
          <w:sz w:val="14"/>
        </w:rPr>
        <w:t>orporate</w:t>
      </w:r>
      <w:r>
        <w:rPr>
          <w:rFonts w:ascii="Times New Roman;Times;serif" w:hAnsi="Times New Roman;Times;serif"/>
          <w:b/>
          <w:i w:val="false"/>
          <w:caps/>
          <w:color w:val="000000"/>
          <w:spacing w:val="4"/>
          <w:sz w:val="20"/>
        </w:rPr>
        <w:t xml:space="preserve"> E</w:t>
      </w:r>
      <w:r>
        <w:rPr>
          <w:rFonts w:ascii="Times New Roman;Times;serif" w:hAnsi="Times New Roman;Times;serif"/>
          <w:b/>
          <w:i w:val="false"/>
          <w:caps/>
          <w:color w:val="000000"/>
          <w:spacing w:val="4"/>
          <w:sz w:val="14"/>
        </w:rPr>
        <w:t>vents</w:t>
      </w:r>
      <w:r>
        <w:rPr>
          <w:rFonts w:ascii="Times New Roman;Times;serif" w:hAnsi="Times New Roman;Times;serif"/>
          <w:b/>
          <w:i w:val="false"/>
          <w:caps/>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(a)</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Capitalization Adjustments</w:t>
      </w:r>
      <w:r>
        <w:rPr>
          <w:rFonts w:ascii="Times New Roman;Times;serif" w:hAnsi="Times New Roman;Times;serif"/>
          <w:b w:val="false"/>
          <w:i w:val="false"/>
          <w:caps w:val="false"/>
          <w:smallCaps w:val="false"/>
          <w:color w:val="000000"/>
          <w:spacing w:val="4"/>
          <w:sz w:val="20"/>
        </w:rPr>
        <w:t xml:space="preserve">.   In the event of a Capitalization Adjustment, the Board shall appropriately and proportionately adjust: (i) the class(es) and maximum number of shares of Common Stock subject to the Plan pursuant to Section 2(a), (ii) the class(es) and maximum number of shares that may be issued pursuant to the exercise of Incentive Stock Options pursuant to Section 2(a),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(b)</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Dissolution or Liquidation</w:t>
      </w:r>
      <w:r>
        <w:rPr>
          <w:rFonts w:ascii="Times New Roman;Times;serif" w:hAnsi="Times New Roman;Times;serif"/>
          <w:b w:val="false"/>
          <w:i w:val="false"/>
          <w:caps w:val="false"/>
          <w:smallCaps w:val="false"/>
          <w:color w:val="000000"/>
          <w:spacing w:val="4"/>
          <w:sz w:val="20"/>
        </w:rPr>
        <w:t xml:space="preserve">.   Except as otherwise provided in the Award Agreement, in the event of a dissolution or liquidation of the 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(c)</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Corporate Transaction.</w:t>
      </w:r>
      <w:r>
        <w:rPr>
          <w:rFonts w:ascii="Times New Roman;Times;serif" w:hAnsi="Times New Roman;Times;serif"/>
          <w:b w:val="false"/>
          <w:i w:val="false"/>
          <w:caps w:val="false"/>
          <w:smallCaps w:val="false"/>
          <w:color w:val="000000"/>
          <w:spacing w:val="4"/>
          <w:sz w:val="20"/>
        </w:rPr>
        <w:t xml:space="preserve">   The following provisions will apply to Awards in the event of a Corporate Transaction unless otherwise provided in the instrument evidencing the Award or any other written agreement between the Company or any Affiliate and the Participant or unless otherwise expressly provided by the Board at the time of grant of an Award.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Awards May Be Assumed.</w:t>
      </w:r>
      <w:r>
        <w:rPr>
          <w:rFonts w:ascii="Times New Roman;Times;serif" w:hAnsi="Times New Roman;Times;serif"/>
          <w:b w:val="false"/>
          <w:i w:val="false"/>
          <w:caps w:val="false"/>
          <w:smallCaps w:val="false"/>
          <w:color w:val="000000"/>
          <w:spacing w:val="4"/>
          <w:sz w:val="20"/>
        </w:rPr>
        <w:t xml:space="preserve">   In the event of a Corporate Transaction, any surviving corporation or acquiring 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(ii)</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Awards Held by Current Participants.</w:t>
      </w:r>
      <w:r>
        <w:rPr>
          <w:rFonts w:ascii="Times New Roman;Times;serif" w:hAnsi="Times New Roman;Times;serif"/>
          <w:b w:val="false"/>
          <w:i w:val="false"/>
          <w:caps w:val="false"/>
          <w:smallCaps w:val="false"/>
          <w:color w:val="000000"/>
          <w:spacing w:val="4"/>
          <w:sz w:val="20"/>
        </w:rPr>
        <w:t>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Times;serif" w:hAnsi="Times New Roman;Times;serif"/>
          <w:b/>
          <w:i/>
          <w:caps w:val="false"/>
          <w:smallCaps w:val="false"/>
          <w:color w:val="000000"/>
          <w:spacing w:val="4"/>
          <w:sz w:val="20"/>
        </w:rPr>
        <w:t>Current Participants</w:t>
      </w:r>
      <w:r>
        <w:rPr>
          <w:rFonts w:ascii="Times New Roman;Times;serif" w:hAnsi="Times New Roman;Times;serif"/>
          <w:b w:val="false"/>
          <w:i w:val="false"/>
          <w:caps w:val="false"/>
          <w:smallCaps w:val="false"/>
          <w:color w:val="000000"/>
          <w:spacing w:val="4"/>
          <w:sz w:val="20"/>
        </w:rPr>
        <w:t xml:space="preserve">”),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(5)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(iii)</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Awards Held by Persons other than Current Participants.</w:t>
      </w:r>
      <w:r>
        <w:rPr>
          <w:rFonts w:ascii="Times New Roman;Times;serif" w:hAnsi="Times New Roman;Times;serif"/>
          <w:b w:val="false"/>
          <w:i w:val="false"/>
          <w:caps w:val="false"/>
          <w:smallCaps w:val="false"/>
          <w:color w:val="000000"/>
          <w:spacing w:val="4"/>
          <w:sz w:val="20"/>
        </w:rPr>
        <w:t xml:space="preserve">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(iv)</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Payment for Awards in Lieu of Exercise.</w:t>
      </w:r>
      <w:r>
        <w:rPr>
          <w:rFonts w:ascii="Times New Roman;Times;serif" w:hAnsi="Times New Roman;Times;serif"/>
          <w:b w:val="false"/>
          <w:i w:val="false"/>
          <w:caps w:val="false"/>
          <w:smallCaps w:val="false"/>
          <w:color w:val="000000"/>
          <w:spacing w:val="4"/>
          <w:sz w:val="20"/>
        </w:rPr>
        <w:t xml:space="preserve">   Notwithstanding the foregoing, in the event an Award will terminate if not exercised 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(d)</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Appointment of Stockholder Representative.</w:t>
      </w:r>
      <w:r>
        <w:rPr>
          <w:rFonts w:ascii="Times New Roman;Times;serif" w:hAnsi="Times New Roman;Times;serif"/>
          <w:b w:val="false"/>
          <w:i w:val="false"/>
          <w:caps w:val="false"/>
          <w:smallCaps w:val="false"/>
          <w:color w:val="000000"/>
          <w:spacing w:val="4"/>
          <w:sz w:val="20"/>
        </w:rPr>
        <w:t xml:space="preserve">   As a condition to the receipt of an Award under this Plan, a Participant will be deemed 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(e)</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No Restriction on Right to Undertake Transactions</w:t>
      </w:r>
      <w:r>
        <w:rPr>
          <w:rFonts w:ascii="Times New Roman;Times;serif" w:hAnsi="Times New Roman;Times;serif"/>
          <w:b w:val="false"/>
          <w:i w:val="false"/>
          <w:caps w:val="false"/>
          <w:smallCaps w:val="false"/>
          <w:color w:val="000000"/>
          <w:spacing w:val="4"/>
          <w:sz w:val="20"/>
        </w:rPr>
        <w:t xml:space="preserve">.   The grant of any Award under the Plan and the issuance of shares pursuant to any 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7.      </w:t>
      </w:r>
      <w:r>
        <w:rPr>
          <w:rFonts w:ascii="Times New Roman;Times;serif" w:hAnsi="Times New Roman;Times;serif"/>
          <w:b/>
          <w:i w:val="false"/>
          <w:caps/>
          <w:color w:val="000000"/>
          <w:spacing w:val="4"/>
          <w:sz w:val="20"/>
        </w:rPr>
        <w:t>A</w:t>
      </w:r>
      <w:r>
        <w:rPr>
          <w:rFonts w:ascii="Times New Roman;Times;serif" w:hAnsi="Times New Roman;Times;serif"/>
          <w:b/>
          <w:i w:val="false"/>
          <w:caps/>
          <w:color w:val="000000"/>
          <w:spacing w:val="4"/>
          <w:sz w:val="14"/>
        </w:rPr>
        <w:t>dministration</w:t>
      </w:r>
      <w:r>
        <w:rPr>
          <w:rFonts w:ascii="Times New Roman;Times;serif" w:hAnsi="Times New Roman;Times;serif"/>
          <w:b/>
          <w:i w:val="false"/>
          <w:caps/>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(a)</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Administration by Board.</w:t>
      </w:r>
      <w:r>
        <w:rPr>
          <w:rFonts w:ascii="Times New Roman;Times;serif" w:hAnsi="Times New Roman;Times;serif"/>
          <w:b w:val="false"/>
          <w:i w:val="false"/>
          <w:caps w:val="false"/>
          <w:smallCaps w:val="false"/>
          <w:color w:val="000000"/>
          <w:spacing w:val="4"/>
          <w:sz w:val="20"/>
        </w:rPr>
        <w:t xml:space="preserve">   The Board will administer the Plan unless and until the Board delegates administration of the Plan to a Committee or Committees, as provided in subsection (c) below.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(b)</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Powers of Board.</w:t>
      </w:r>
      <w:r>
        <w:rPr>
          <w:rFonts w:ascii="Times New Roman;Times;serif" w:hAnsi="Times New Roman;Times;serif"/>
          <w:b w:val="false"/>
          <w:i w:val="false"/>
          <w:caps w:val="false"/>
          <w:smallCaps w:val="false"/>
          <w:color w:val="000000"/>
          <w:spacing w:val="4"/>
          <w:sz w:val="20"/>
        </w:rPr>
        <w:t xml:space="preserve">   The Board will have the power, subject to, and within the limitations of, the express provisions of the Plan: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w:t>
      </w:r>
      <w:r>
        <w:rPr>
          <w:rFonts w:ascii="Times New Roman;Times;serif" w:hAnsi="Times New Roman;Times;serif"/>
          <w:b w:val="false"/>
          <w:i w:val="false"/>
          <w:caps w:val="false"/>
          <w:smallCaps w:val="false"/>
          <w:color w:val="000000"/>
          <w:spacing w:val="4"/>
          <w:sz w:val="20"/>
        </w:rPr>
        <w:t xml:space="preserve">      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and (6) the Fair Market Value applicable to an Award.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(ii)</w:t>
      </w:r>
      <w:r>
        <w:rPr>
          <w:rFonts w:ascii="Times New Roman;Times;serif" w:hAnsi="Times New Roman;Times;serif"/>
          <w:b w:val="false"/>
          <w:i w:val="false"/>
          <w:caps w:val="false"/>
          <w:smallCaps w:val="false"/>
          <w:color w:val="000000"/>
          <w:spacing w:val="4"/>
          <w:sz w:val="20"/>
        </w:rPr>
        <w:t xml:space="preserve">      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 </w:t>
      </w:r>
    </w:p>
    <w:p>
      <w:pPr>
        <w:pStyle w:val="TextBody"/>
        <w:spacing w:lineRule="atLeast" w:line="240" w:before="160" w:after="283"/>
        <w:ind w:left="1793" w:right="0" w:hanging="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(iii)</w:t>
      </w:r>
      <w:r>
        <w:rPr>
          <w:rFonts w:ascii="Times New Roman;Times;serif" w:hAnsi="Times New Roman;Times;serif"/>
          <w:b w:val="false"/>
          <w:i w:val="false"/>
          <w:caps w:val="false"/>
          <w:smallCaps w:val="false"/>
          <w:color w:val="000000"/>
          <w:spacing w:val="4"/>
          <w:sz w:val="20"/>
        </w:rPr>
        <w:t xml:space="preserve">      To settle all controversies regarding the Plan and Awards granted under it.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(iv)</w:t>
      </w:r>
      <w:r>
        <w:rPr>
          <w:rFonts w:ascii="Times New Roman;Times;serif" w:hAnsi="Times New Roman;Times;serif"/>
          <w:b w:val="false"/>
          <w:i w:val="false"/>
          <w:caps w:val="false"/>
          <w:smallCaps w:val="false"/>
          <w:color w:val="000000"/>
          <w:spacing w:val="4"/>
          <w:sz w:val="20"/>
        </w:rPr>
        <w:t xml:space="preserve">      To accelerate the time at which an Award may first be exercised or the time during which an Award or any part thereof will vest, notwithstanding the provisions in the Award Agreement stating the time at which it may first be exercised or the time during which it will vest.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(v)</w:t>
      </w:r>
      <w:r>
        <w:rPr>
          <w:rFonts w:ascii="Times New Roman;Times;serif" w:hAnsi="Times New Roman;Times;serif"/>
          <w:b w:val="false"/>
          <w:i w:val="false"/>
          <w:caps w:val="false"/>
          <w:smallCaps w:val="false"/>
          <w:color w:val="000000"/>
          <w:spacing w:val="4"/>
          <w:sz w:val="20"/>
        </w:rPr>
        <w:t xml:space="preserve">      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(vi)</w:t>
      </w:r>
      <w:r>
        <w:rPr>
          <w:rFonts w:ascii="Times New Roman;Times;serif" w:hAnsi="Times New Roman;Times;serif"/>
          <w:b w:val="false"/>
          <w:i w:val="false"/>
          <w:caps w:val="false"/>
          <w:smallCaps w:val="false"/>
          <w:color w:val="000000"/>
          <w:spacing w:val="4"/>
          <w:sz w:val="20"/>
        </w:rPr>
        <w:t xml:space="preserve">      To suspend or terminate the Plan at any time. Suspension or termination of the Plan will not Materially Impair rights and obligations under any Award granted while the Plan is in effect except with the written consent of the affected Participant.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(vii)</w:t>
      </w:r>
      <w:r>
        <w:rPr>
          <w:rFonts w:ascii="Times New Roman;Times;serif" w:hAnsi="Times New Roman;Times;serif"/>
          <w:b w:val="false"/>
          <w:i w:val="false"/>
          <w:caps w:val="false"/>
          <w:smallCaps w:val="false"/>
          <w:color w:val="000000"/>
          <w:spacing w:val="4"/>
          <w:sz w:val="20"/>
        </w:rPr>
        <w:t>      To amend the Plan in any respect the Board deems necessary or advisable; provided, however</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 </w:t>
      </w:r>
    </w:p>
    <w:p>
      <w:pPr>
        <w:pStyle w:val="TextBody"/>
        <w:spacing w:lineRule="atLeast" w:line="240" w:before="160" w:after="283"/>
        <w:ind w:left="1793" w:right="0" w:hanging="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(viii)</w:t>
      </w:r>
      <w:r>
        <w:rPr>
          <w:rFonts w:ascii="Times New Roman;Times;serif" w:hAnsi="Times New Roman;Times;serif"/>
          <w:b w:val="false"/>
          <w:i w:val="false"/>
          <w:caps w:val="false"/>
          <w:smallCaps w:val="false"/>
          <w:color w:val="000000"/>
          <w:spacing w:val="4"/>
          <w:sz w:val="20"/>
        </w:rPr>
        <w:t xml:space="preserve">      To submit any amendment to the Plan for stockholder approval.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(ix)</w:t>
      </w:r>
      <w:r>
        <w:rPr>
          <w:rFonts w:ascii="Times New Roman;Times;serif" w:hAnsi="Times New Roman;Times;serif"/>
          <w:b w:val="false"/>
          <w:i w:val="false"/>
          <w:caps w:val="false"/>
          <w:smallCaps w:val="false"/>
          <w:color w:val="000000"/>
          <w:spacing w:val="4"/>
          <w:sz w:val="20"/>
        </w:rPr>
        <w:t xml:space="preserve">      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a Participant’s rights under any Award will not be Materially Impaired by any such amendment unless (1) the Company requests the consent of the affected Participant, and (2) such Participant consents in writing.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(x)</w:t>
      </w:r>
      <w:r>
        <w:rPr>
          <w:rFonts w:ascii="Times New Roman;Times;serif" w:hAnsi="Times New Roman;Times;serif"/>
          <w:b w:val="false"/>
          <w:i w:val="false"/>
          <w:caps w:val="false"/>
          <w:smallCaps w:val="false"/>
          <w:color w:val="000000"/>
          <w:spacing w:val="4"/>
          <w:sz w:val="20"/>
        </w:rPr>
        <w:t xml:space="preserve">      Generally, to exercise such powers and to perform such acts as the Board deems necessary or expedient to promote the best interests of the Company and that are not in conflict with the provisions of the Plan or Awards.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(xi)</w:t>
      </w:r>
      <w:r>
        <w:rPr>
          <w:rFonts w:ascii="Times New Roman;Times;serif" w:hAnsi="Times New Roman;Times;serif"/>
          <w:b w:val="false"/>
          <w:i w:val="false"/>
          <w:caps w:val="false"/>
          <w:smallCaps w:val="false"/>
          <w:color w:val="000000"/>
          <w:spacing w:val="4"/>
          <w:sz w:val="20"/>
        </w:rPr>
        <w:t xml:space="preserve">      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793" w:right="0" w:hanging="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(c)</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Delegation to Committee.</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val="false"/>
          <w:i w:val="false"/>
          <w:caps w:val="false"/>
          <w:smallCaps w:val="false"/>
          <w:color w:val="000000"/>
          <w:spacing w:val="4"/>
          <w:sz w:val="20"/>
        </w:rPr>
        <w:t xml:space="preserve">   The Board may delegate some or all of the administration of the 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(ii)</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Rule 16b-3 Compliance.</w:t>
      </w:r>
      <w:r>
        <w:rPr>
          <w:rFonts w:ascii="Times New Roman;Times;serif" w:hAnsi="Times New Roman;Times;serif"/>
          <w:b w:val="false"/>
          <w:i w:val="false"/>
          <w:caps w:val="false"/>
          <w:smallCaps w:val="false"/>
          <w:color w:val="000000"/>
          <w:spacing w:val="4"/>
          <w:sz w:val="20"/>
        </w:rPr>
        <w:t xml:space="preserve">   To the extent an Award is intended to qualify for the exemption from Section 16(b) of the Exchange 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(d)</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Effect of Board’s Decision.</w:t>
      </w:r>
      <w:r>
        <w:rPr>
          <w:rFonts w:ascii="Times New Roman;Times;serif" w:hAnsi="Times New Roman;Times;serif"/>
          <w:b w:val="false"/>
          <w:i w:val="false"/>
          <w:caps w:val="false"/>
          <w:smallCaps w:val="false"/>
          <w:color w:val="000000"/>
          <w:spacing w:val="4"/>
          <w:sz w:val="20"/>
        </w:rPr>
        <w:t xml:space="preserve">   All determinations, interpretations and constructions made by the Board or any Committee in good faith will not be subject to review by any person and will be final, binding and conclusive on all persons.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(e)</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Cancellation and Re-Grant of Awards</w:t>
      </w:r>
      <w:r>
        <w:rPr>
          <w:rFonts w:ascii="Times New Roman;Times;serif" w:hAnsi="Times New Roman;Times;serif"/>
          <w:b w:val="false"/>
          <w:i w:val="false"/>
          <w:caps w:val="false"/>
          <w:smallCaps w:val="false"/>
          <w:color w:val="000000"/>
          <w:spacing w:val="4"/>
          <w:sz w:val="20"/>
        </w:rPr>
        <w:t xml:space="preserve">.   Neither the Board nor any Committee will have the authority to: (i) reduce the exercise price or strike price of any outstanding Options or SARs under the Plan, or (ii) cancel any outstanding Options or SARs that have an exercise price or strike price greater than the current Fair Market Value in exchange for cash or other Awards under the Plan, unless the stockholders of the Company have approved such an action within twelve months prior to such an event.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Delegation to an Officer.</w:t>
      </w:r>
      <w:r>
        <w:rPr>
          <w:rFonts w:ascii="Times New Roman;Times;serif" w:hAnsi="Times New Roman;Times;serif"/>
          <w:b w:val="false"/>
          <w:i w:val="false"/>
          <w:caps w:val="false"/>
          <w:smallCaps w:val="false"/>
          <w:color w:val="000000"/>
          <w:spacing w:val="4"/>
          <w:sz w:val="20"/>
        </w:rPr>
        <w:t xml:space="preserve">   The Board or any Committee may delegate to one or more Officers the authority to do one or both of the following (i) designate Employees who are not Officers to be recipients of Options and SARs (and, to the extent permitted by Applicable Law, other types of 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 </w:t>
      </w:r>
    </w:p>
    <w:p>
      <w:pPr>
        <w:pStyle w:val="TextBody"/>
        <w:spacing w:lineRule="atLeast" w:line="240" w:before="16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8.      </w:t>
      </w:r>
      <w:r>
        <w:rPr>
          <w:rFonts w:ascii="Times New Roman;Times;serif" w:hAnsi="Times New Roman;Times;serif"/>
          <w:b/>
          <w:i w:val="false"/>
          <w:caps/>
          <w:color w:val="000000"/>
          <w:spacing w:val="4"/>
          <w:sz w:val="20"/>
        </w:rPr>
        <w:t>T</w:t>
      </w:r>
      <w:r>
        <w:rPr>
          <w:rFonts w:ascii="Times New Roman;Times;serif" w:hAnsi="Times New Roman;Times;serif"/>
          <w:b/>
          <w:i w:val="false"/>
          <w:caps/>
          <w:color w:val="000000"/>
          <w:spacing w:val="4"/>
          <w:sz w:val="14"/>
        </w:rPr>
        <w:t>ax</w:t>
      </w:r>
      <w:r>
        <w:rPr>
          <w:rFonts w:ascii="Times New Roman;Times;serif" w:hAnsi="Times New Roman;Times;serif"/>
          <w:b/>
          <w:i w:val="false"/>
          <w:caps/>
          <w:color w:val="000000"/>
          <w:spacing w:val="4"/>
          <w:sz w:val="20"/>
        </w:rPr>
        <w:t xml:space="preserve"> W</w:t>
      </w:r>
      <w:r>
        <w:rPr>
          <w:rFonts w:ascii="Times New Roman;Times;serif" w:hAnsi="Times New Roman;Times;serif"/>
          <w:b/>
          <w:i w:val="false"/>
          <w:caps/>
          <w:color w:val="000000"/>
          <w:spacing w:val="4"/>
          <w:sz w:val="14"/>
        </w:rPr>
        <w:t>ithholding</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(a)</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Withholding Authorization.</w:t>
      </w:r>
      <w:r>
        <w:rPr>
          <w:rFonts w:ascii="Times New Roman;Times;serif" w:hAnsi="Times New Roman;Times;serif"/>
          <w:b w:val="false"/>
          <w:i w:val="false"/>
          <w:caps w:val="false"/>
          <w:smallCaps w:val="false"/>
          <w:color w:val="000000"/>
          <w:spacing w:val="4"/>
          <w:sz w:val="20"/>
        </w:rPr>
        <w:t xml:space="preserve">   As a condition to acceptance of any Award under the Plan, a Participant authorizes withholding from payroll and any other amounts payable to such Participant, and otherwise agrees to make adequate provision for (including), any sums required to satisfy any U.S. federal, state, local and/or foreign tax or social insurance contribution withholding obligations of the Company or an Affiliate, if any, which arise in connection with the grant,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(b)</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Satisfaction of Withholding Obligation.</w:t>
      </w:r>
      <w:r>
        <w:rPr>
          <w:rFonts w:ascii="Times New Roman;Times;serif" w:hAnsi="Times New Roman;Times;serif"/>
          <w:b w:val="false"/>
          <w:i w:val="false"/>
          <w:caps w:val="false"/>
          <w:smallCaps w:val="false"/>
          <w:color w:val="000000"/>
          <w:spacing w:val="4"/>
          <w:sz w:val="20"/>
        </w:rPr>
        <w:t xml:space="preserve">   To the extent permitted by the terms of an Award Agreement, the Company may, in its sole discretion, satisfy any U.S. federal, state, local and/or foreign tax or social insurance withholding obligation relating to an Award by any of the following means or by a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(c)</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No Obligation to Notify or Minimize Taxes; No Liability to Claims.</w:t>
      </w:r>
      <w:r>
        <w:rPr>
          <w:rFonts w:ascii="Times New Roman;Times;serif" w:hAnsi="Times New Roman;Times;serif"/>
          <w:b w:val="false"/>
          <w:i w:val="false"/>
          <w:caps w:val="false"/>
          <w:smallCaps w:val="false"/>
          <w:color w:val="000000"/>
          <w:spacing w:val="4"/>
          <w:sz w:val="20"/>
        </w:rPr>
        <w:t xml:space="preserve">   Except as required by Applicable Law the Company has 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(d)</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Withholding Indemnification.</w:t>
      </w:r>
      <w:r>
        <w:rPr>
          <w:rFonts w:ascii="Times New Roman;Times;serif" w:hAnsi="Times New Roman;Times;serif"/>
          <w:b w:val="false"/>
          <w:i w:val="false"/>
          <w:caps w:val="false"/>
          <w:smallCaps w:val="false"/>
          <w:color w:val="000000"/>
          <w:spacing w:val="4"/>
          <w:sz w:val="20"/>
        </w:rPr>
        <w:t xml:space="preserve">   As a condition to accepting an Award under the 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 </w:t>
      </w:r>
    </w:p>
    <w:p>
      <w:pPr>
        <w:pStyle w:val="TextBody"/>
        <w:spacing w:lineRule="atLeast" w:line="240" w:before="16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9.      </w:t>
      </w:r>
      <w:r>
        <w:rPr>
          <w:rFonts w:ascii="Times New Roman;Times;serif" w:hAnsi="Times New Roman;Times;serif"/>
          <w:b/>
          <w:i w:val="false"/>
          <w:caps/>
          <w:color w:val="000000"/>
          <w:spacing w:val="4"/>
          <w:sz w:val="20"/>
        </w:rPr>
        <w:t>M</w:t>
      </w:r>
      <w:r>
        <w:rPr>
          <w:rFonts w:ascii="Times New Roman;Times;serif" w:hAnsi="Times New Roman;Times;serif"/>
          <w:b/>
          <w:i w:val="false"/>
          <w:caps/>
          <w:color w:val="000000"/>
          <w:spacing w:val="4"/>
          <w:sz w:val="14"/>
        </w:rPr>
        <w:t>iscellaneous</w:t>
      </w:r>
      <w:r>
        <w:rPr>
          <w:rFonts w:ascii="Times New Roman;Times;serif" w:hAnsi="Times New Roman;Times;serif"/>
          <w:b/>
          <w:i w:val="false"/>
          <w:caps/>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(a)</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Source of Shares.</w:t>
      </w:r>
      <w:r>
        <w:rPr>
          <w:rFonts w:ascii="Times New Roman;Times;serif" w:hAnsi="Times New Roman;Times;serif"/>
          <w:b w:val="false"/>
          <w:i w:val="false"/>
          <w:caps w:val="false"/>
          <w:smallCaps w:val="false"/>
          <w:color w:val="000000"/>
          <w:spacing w:val="4"/>
          <w:sz w:val="20"/>
        </w:rPr>
        <w:t xml:space="preserve">   The stock issuable under the Plan will be shares of authorized but unissued or reacquired Common Stock, including shares repurchased by the Company on the open market or otherwise.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(b)</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Use of Proceeds from Sales of Common Stock.</w:t>
      </w:r>
      <w:r>
        <w:rPr>
          <w:rFonts w:ascii="Times New Roman;Times;serif" w:hAnsi="Times New Roman;Times;serif"/>
          <w:b w:val="false"/>
          <w:i w:val="false"/>
          <w:caps w:val="false"/>
          <w:smallCaps w:val="false"/>
          <w:color w:val="000000"/>
          <w:spacing w:val="4"/>
          <w:sz w:val="20"/>
        </w:rPr>
        <w:t xml:space="preserve">   Proceeds from the sale of shares of Common Stock pursuant to Awards will constitute general funds of the Company.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(c)</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Corporate Action Constituting Grant of Awards.</w:t>
      </w:r>
      <w:r>
        <w:rPr>
          <w:rFonts w:ascii="Times New Roman;Times;serif" w:hAnsi="Times New Roman;Times;serif"/>
          <w:b w:val="false"/>
          <w:i w:val="false"/>
          <w:caps w:val="false"/>
          <w:smallCaps w:val="false"/>
          <w:color w:val="000000"/>
          <w:spacing w:val="4"/>
          <w:sz w:val="20"/>
        </w:rPr>
        <w:t xml:space="preserve">   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(d)</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Stockholder Rights.</w:t>
      </w:r>
      <w:r>
        <w:rPr>
          <w:rFonts w:ascii="Times New Roman;Times;serif" w:hAnsi="Times New Roman;Times;serif"/>
          <w:b w:val="false"/>
          <w:i w:val="false"/>
          <w:caps w:val="false"/>
          <w:smallCaps w:val="false"/>
          <w:color w:val="000000"/>
          <w:spacing w:val="4"/>
          <w:sz w:val="20"/>
        </w:rPr>
        <w:t xml:space="preserve">   No Participant will be deemed to be the holder of, or to have any of the rights of a holder with respect to, any shares of Common Stock subject to such Award unless and until (i) such Participant has satisfied all requirements for exercise of the Award pursuant to its terms, if applicable, and (ii) the issuance of the Common Stock subject to such Award is reflected in the records of the Company.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(e)</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No Employment or Other Service Rights.</w:t>
      </w:r>
      <w:r>
        <w:rPr>
          <w:rFonts w:ascii="Times New Roman;Times;serif" w:hAnsi="Times New Roman;Times;serif"/>
          <w:b w:val="false"/>
          <w:i w:val="false"/>
          <w:caps w:val="false"/>
          <w:smallCaps w:val="false"/>
          <w:color w:val="000000"/>
          <w:spacing w:val="4"/>
          <w:sz w:val="20"/>
        </w:rPr>
        <w:t xml:space="preserve">   Nothing in the Plan, any Award Agreement or any other instrument executed thereunder or in connection with any Award granted pursuant thereto will confer upon any Participant any right to continue to serve the Company or an Affiliate in the capacity in effect at the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Change in Time Commitment</w:t>
      </w:r>
      <w:r>
        <w:rPr>
          <w:rFonts w:ascii="Times New Roman;Times;serif" w:hAnsi="Times New Roman;Times;serif"/>
          <w:b w:val="false"/>
          <w:i w:val="false"/>
          <w:caps w:val="false"/>
          <w:smallCaps w:val="false"/>
          <w:color w:val="000000"/>
          <w:spacing w:val="4"/>
          <w:sz w:val="20"/>
        </w:rPr>
        <w:t xml:space="preserve">.   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(g)</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Execution of Additional Documents.</w:t>
      </w:r>
      <w:r>
        <w:rPr>
          <w:rFonts w:ascii="Times New Roman;Times;serif" w:hAnsi="Times New Roman;Times;serif"/>
          <w:b w:val="false"/>
          <w:i w:val="false"/>
          <w:caps w:val="false"/>
          <w:smallCaps w:val="false"/>
          <w:color w:val="000000"/>
          <w:spacing w:val="4"/>
          <w:sz w:val="20"/>
        </w:rPr>
        <w:t xml:space="preserve">   As a condition to accepting an Award under the Plan, the Participant agrees to 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(h)</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Electronic Delivery and Participation</w:t>
      </w:r>
      <w:r>
        <w:rPr>
          <w:rFonts w:ascii="Times New Roman;Times;serif" w:hAnsi="Times New Roman;Times;serif"/>
          <w:b w:val="false"/>
          <w:i w:val="false"/>
          <w:caps w:val="false"/>
          <w:smallCaps w:val="false"/>
          <w:color w:val="000000"/>
          <w:spacing w:val="4"/>
          <w:sz w:val="20"/>
        </w:rPr>
        <w:t xml:space="preserve">.   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Clawback/Recovery</w:t>
      </w:r>
      <w:r>
        <w:rPr>
          <w:rFonts w:ascii="Times New Roman;Times;serif" w:hAnsi="Times New Roman;Times;serif"/>
          <w:b w:val="false"/>
          <w:i w:val="false"/>
          <w:caps w:val="false"/>
          <w:smallCaps w:val="false"/>
          <w:color w:val="000000"/>
          <w:spacing w:val="4"/>
          <w:sz w:val="20"/>
        </w:rPr>
        <w:t xml:space="preserve">.   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voluntary terminate employment upon a “resignation for good reason,” or for a “constructive termination” or any similar term under any plan of or agreement with the Company.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(j)</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Securities Law Compliance.</w:t>
      </w:r>
      <w:r>
        <w:rPr>
          <w:rFonts w:ascii="Times New Roman;Times;serif" w:hAnsi="Times New Roman;Times;serif"/>
          <w:b w:val="false"/>
          <w:i w:val="false"/>
          <w:caps w:val="false"/>
          <w:smallCaps w:val="false"/>
          <w:color w:val="000000"/>
          <w:spacing w:val="4"/>
          <w:sz w:val="20"/>
        </w:rPr>
        <w:t xml:space="preserve">   A Participant will not be issued any shares in respect of an Award unless either (i) 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(k)</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Transfer or Assignment of Awards; Issued Shares.</w:t>
      </w:r>
      <w:r>
        <w:rPr>
          <w:rFonts w:ascii="Times New Roman;Times;serif" w:hAnsi="Times New Roman;Times;serif"/>
          <w:b w:val="false"/>
          <w:i w:val="false"/>
          <w:caps w:val="false"/>
          <w:smallCaps w:val="false"/>
          <w:color w:val="000000"/>
          <w:spacing w:val="4"/>
          <w:sz w:val="20"/>
        </w:rPr>
        <w:t xml:space="preserve">   Except as expressly provided in the Plan or the form of Award Agreement, Awards granted under the Plan may not be transferred or assigned by the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(l)</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Effect on Other Employee Benefit Plans.</w:t>
      </w:r>
      <w:r>
        <w:rPr>
          <w:rFonts w:ascii="Times New Roman;Times;serif" w:hAnsi="Times New Roman;Times;serif"/>
          <w:b w:val="false"/>
          <w:i w:val="false"/>
          <w:caps w:val="false"/>
          <w:smallCaps w:val="false"/>
          <w:color w:val="000000"/>
          <w:spacing w:val="4"/>
          <w:sz w:val="20"/>
        </w:rPr>
        <w:t xml:space="preserve">   The value of any Award granted under the Plan, as determined upon grant, vesting 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(m)</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Deferrals.</w:t>
      </w:r>
      <w:r>
        <w:rPr>
          <w:rFonts w:ascii="Times New Roman;Times;serif" w:hAnsi="Times New Roman;Times;serif"/>
          <w:b w:val="false"/>
          <w:i w:val="false"/>
          <w:caps w:val="false"/>
          <w:smallCaps w:val="false"/>
          <w:color w:val="000000"/>
          <w:spacing w:val="4"/>
          <w:sz w:val="20"/>
        </w:rPr>
        <w:t xml:space="preserve">   To the extent permitted by Applicable Law, the Board, in its sole discretion, may determine that the delivery of Common Stock or the payment of cash, upon the exercise, vesting or settlement of all or a portion of any Award may be deferred and may also establish programs and procedures for deferral elections to be made by Participants. Deferrals by will be made in accordance with the requirements of Section 409A.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(n)</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Section 409A.</w:t>
      </w:r>
      <w:r>
        <w:rPr>
          <w:rFonts w:ascii="Times New Roman;Times;serif" w:hAnsi="Times New Roman;Times;serif"/>
          <w:b w:val="false"/>
          <w:i w:val="false"/>
          <w:caps w:val="false"/>
          <w:smallCaps w:val="false"/>
          <w:color w:val="000000"/>
          <w:spacing w:val="4"/>
          <w:sz w:val="20"/>
        </w:rPr>
        <w:t xml:space="preserve">   Unless otherwise expressly provided for in an Award Agreement, the Plan and Award Agreements will be 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(o)</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color w:val="000000"/>
          <w:spacing w:val="4"/>
          <w:sz w:val="20"/>
        </w:rPr>
        <w:t>C</w:t>
      </w:r>
      <w:r>
        <w:rPr>
          <w:rFonts w:ascii="Times New Roman;Times;serif" w:hAnsi="Times New Roman;Times;serif"/>
          <w:b/>
          <w:i w:val="false"/>
          <w:caps/>
          <w:color w:val="000000"/>
          <w:spacing w:val="4"/>
          <w:sz w:val="14"/>
        </w:rPr>
        <w:t>hoice</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of</w:t>
      </w:r>
      <w:r>
        <w:rPr>
          <w:rFonts w:ascii="Times New Roman;Times;serif" w:hAnsi="Times New Roman;Times;serif"/>
          <w:b/>
          <w:i w:val="false"/>
          <w:caps/>
          <w:color w:val="000000"/>
          <w:spacing w:val="4"/>
          <w:sz w:val="20"/>
        </w:rPr>
        <w:t xml:space="preserve"> L</w:t>
      </w:r>
      <w:r>
        <w:rPr>
          <w:rFonts w:ascii="Times New Roman;Times;serif" w:hAnsi="Times New Roman;Times;serif"/>
          <w:b/>
          <w:i w:val="false"/>
          <w:caps/>
          <w:color w:val="000000"/>
          <w:spacing w:val="4"/>
          <w:sz w:val="14"/>
        </w:rPr>
        <w:t>aw</w:t>
      </w:r>
      <w:r>
        <w:rPr>
          <w:rFonts w:ascii="Times New Roman;Times;serif" w:hAnsi="Times New Roman;Times;serif"/>
          <w:b/>
          <w:i w:val="false"/>
          <w:caps/>
          <w:color w:val="000000"/>
          <w:spacing w:val="4"/>
          <w:sz w:val="20"/>
        </w:rPr>
        <w:t>.</w:t>
      </w:r>
      <w:r>
        <w:rPr>
          <w:rFonts w:ascii="Times New Roman;Times;serif" w:hAnsi="Times New Roman;Times;serif"/>
          <w:b w:val="false"/>
          <w:i w:val="false"/>
          <w:caps w:val="false"/>
          <w:smallCaps w:val="false"/>
          <w:color w:val="000000"/>
          <w:spacing w:val="4"/>
          <w:sz w:val="20"/>
        </w:rPr>
        <w:t xml:space="preserve">   This Plan and any controversy arising out of or relating to this Plan shall be governed by, and construed in accordance with, the internal laws of the State of Delaware, without regard to conflict of law principles that would result in any application of any law other than the law of the State of Delaware. </w:t>
      </w:r>
    </w:p>
    <w:p>
      <w:pPr>
        <w:pStyle w:val="TextBody"/>
        <w:spacing w:lineRule="atLeast" w:line="240" w:before="16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10.      </w:t>
      </w:r>
      <w:r>
        <w:rPr>
          <w:rFonts w:ascii="Times New Roman;Times;serif" w:hAnsi="Times New Roman;Times;serif"/>
          <w:b/>
          <w:i w:val="false"/>
          <w:caps/>
          <w:color w:val="000000"/>
          <w:spacing w:val="4"/>
          <w:sz w:val="20"/>
        </w:rPr>
        <w:t>C</w:t>
      </w:r>
      <w:r>
        <w:rPr>
          <w:rFonts w:ascii="Times New Roman;Times;serif" w:hAnsi="Times New Roman;Times;serif"/>
          <w:b/>
          <w:i w:val="false"/>
          <w:caps/>
          <w:color w:val="000000"/>
          <w:spacing w:val="4"/>
          <w:sz w:val="14"/>
        </w:rPr>
        <w:t>ovenants</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of</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the</w:t>
      </w:r>
      <w:r>
        <w:rPr>
          <w:rFonts w:ascii="Times New Roman;Times;serif" w:hAnsi="Times New Roman;Times;serif"/>
          <w:b/>
          <w:i w:val="false"/>
          <w:caps/>
          <w:color w:val="000000"/>
          <w:spacing w:val="4"/>
          <w:sz w:val="20"/>
        </w:rPr>
        <w:t xml:space="preserve"> C</w:t>
      </w:r>
      <w:r>
        <w:rPr>
          <w:rFonts w:ascii="Times New Roman;Times;serif" w:hAnsi="Times New Roman;Times;serif"/>
          <w:b/>
          <w:i w:val="false"/>
          <w:caps/>
          <w:color w:val="000000"/>
          <w:spacing w:val="4"/>
          <w:sz w:val="14"/>
        </w:rPr>
        <w:t>ompany</w:t>
      </w:r>
      <w:r>
        <w:rPr>
          <w:rFonts w:ascii="Times New Roman;Times;serif" w:hAnsi="Times New Roman;Times;serif"/>
          <w:b/>
          <w:i w:val="false"/>
          <w:caps/>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(a)</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Compliance with Law.</w:t>
      </w:r>
      <w:r>
        <w:rPr>
          <w:rFonts w:ascii="Times New Roman;Times;serif" w:hAnsi="Times New Roman;Times;serif"/>
          <w:b w:val="false"/>
          <w:i w:val="false"/>
          <w:caps w:val="false"/>
          <w:smallCaps w:val="false"/>
          <w:color w:val="000000"/>
          <w:spacing w:val="4"/>
          <w:sz w:val="20"/>
        </w:rPr>
        <w:t xml:space="preserve"> 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 </w:t>
      </w:r>
    </w:p>
    <w:p>
      <w:pPr>
        <w:pStyle w:val="TextBody"/>
        <w:spacing w:lineRule="atLeast" w:line="240" w:before="16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11.      </w:t>
      </w:r>
      <w:r>
        <w:rPr>
          <w:rFonts w:ascii="Times New Roman;Times;serif" w:hAnsi="Times New Roman;Times;serif"/>
          <w:b/>
          <w:i w:val="false"/>
          <w:caps/>
          <w:color w:val="000000"/>
          <w:spacing w:val="4"/>
          <w:sz w:val="20"/>
        </w:rPr>
        <w:t>S</w:t>
      </w:r>
      <w:r>
        <w:rPr>
          <w:rFonts w:ascii="Times New Roman;Times;serif" w:hAnsi="Times New Roman;Times;serif"/>
          <w:b/>
          <w:i w:val="false"/>
          <w:caps/>
          <w:color w:val="000000"/>
          <w:spacing w:val="4"/>
          <w:sz w:val="14"/>
        </w:rPr>
        <w:t>everability</w:t>
      </w:r>
      <w:r>
        <w:rPr>
          <w:rFonts w:ascii="Times New Roman;Times;serif" w:hAnsi="Times New Roman;Times;serif"/>
          <w:b/>
          <w:i w:val="false"/>
          <w:caps/>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jc w:val="both"/>
        <w:rPr>
          <w:caps w:val="false"/>
          <w:smallCaps w:val="false"/>
          <w:color w:val="000000"/>
          <w:spacing w:val="4"/>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xml:space="preserve">If all or any part of the Plan or any Award Agreement is declared by any court or governmental authority to be unlawful or invalid, such unlawfulness or invalidity shall not invalidate any portion of the Plan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 </w:t>
      </w:r>
    </w:p>
    <w:p>
      <w:pPr>
        <w:pStyle w:val="TextBody"/>
        <w:spacing w:lineRule="atLeast" w:line="240" w:before="16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12.      </w:t>
      </w:r>
      <w:r>
        <w:rPr>
          <w:rFonts w:ascii="Times New Roman;Times;serif" w:hAnsi="Times New Roman;Times;serif"/>
          <w:b/>
          <w:i w:val="false"/>
          <w:caps/>
          <w:color w:val="000000"/>
          <w:spacing w:val="4"/>
          <w:sz w:val="20"/>
        </w:rPr>
        <w:t>T</w:t>
      </w:r>
      <w:r>
        <w:rPr>
          <w:rFonts w:ascii="Times New Roman;Times;serif" w:hAnsi="Times New Roman;Times;serif"/>
          <w:b/>
          <w:i w:val="false"/>
          <w:caps/>
          <w:color w:val="000000"/>
          <w:spacing w:val="4"/>
          <w:sz w:val="14"/>
        </w:rPr>
        <w:t>ermination</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of</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the</w:t>
      </w:r>
      <w:r>
        <w:rPr>
          <w:rFonts w:ascii="Times New Roman;Times;serif" w:hAnsi="Times New Roman;Times;serif"/>
          <w:b/>
          <w:i w:val="false"/>
          <w:caps/>
          <w:color w:val="000000"/>
          <w:spacing w:val="4"/>
          <w:sz w:val="20"/>
        </w:rPr>
        <w:t xml:space="preserve"> P</w:t>
      </w:r>
      <w:r>
        <w:rPr>
          <w:rFonts w:ascii="Times New Roman;Times;serif" w:hAnsi="Times New Roman;Times;serif"/>
          <w:b/>
          <w:i w:val="false"/>
          <w:caps/>
          <w:color w:val="000000"/>
          <w:spacing w:val="4"/>
          <w:sz w:val="14"/>
        </w:rPr>
        <w:t>lan</w:t>
      </w:r>
      <w:r>
        <w:rPr>
          <w:rFonts w:ascii="Times New Roman;Times;serif" w:hAnsi="Times New Roman;Times;serif"/>
          <w:b/>
          <w:i w:val="false"/>
          <w:caps/>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jc w:val="both"/>
        <w:rPr>
          <w:caps w:val="false"/>
          <w:smallCaps w:val="false"/>
          <w:color w:val="000000"/>
          <w:spacing w:val="4"/>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xml:space="preserve">The Board may suspend or terminate the Plan at any time. No Incentive Stock Options may be granted after the tenth anniversary of the earlier of: (i) the Adoption Date, or (ii) the Effective Date. No Awards may be granted under the Plan while the Plan is suspended or after it is terminated. </w:t>
      </w:r>
    </w:p>
    <w:p>
      <w:pPr>
        <w:pStyle w:val="TextBody"/>
        <w:spacing w:lineRule="atLeast" w:line="240" w:before="16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13.      </w:t>
      </w:r>
      <w:r>
        <w:rPr>
          <w:rFonts w:ascii="Times New Roman;Times;serif" w:hAnsi="Times New Roman;Times;serif"/>
          <w:b/>
          <w:i w:val="false"/>
          <w:caps/>
          <w:color w:val="000000"/>
          <w:spacing w:val="4"/>
          <w:sz w:val="20"/>
        </w:rPr>
        <w:t>D</w:t>
      </w:r>
      <w:r>
        <w:rPr>
          <w:rFonts w:ascii="Times New Roman;Times;serif" w:hAnsi="Times New Roman;Times;serif"/>
          <w:b/>
          <w:i w:val="false"/>
          <w:caps/>
          <w:color w:val="000000"/>
          <w:spacing w:val="4"/>
          <w:sz w:val="14"/>
        </w:rPr>
        <w:t>efinitions</w:t>
      </w:r>
      <w:r>
        <w:rPr>
          <w:rFonts w:ascii="Times New Roman;Times;serif" w:hAnsi="Times New Roman;Times;serif"/>
          <w:b/>
          <w:i w:val="false"/>
          <w:caps/>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793" w:right="0" w:hanging="0"/>
        <w:jc w:val="both"/>
        <w:rPr>
          <w:caps w:val="false"/>
          <w:smallCaps w:val="false"/>
          <w:color w:val="000000"/>
          <w:spacing w:val="4"/>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xml:space="preserve">As used in the Plan, the following definitions apply to the capitalized terms indicated below: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(a)</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Acquiring Entity</w:t>
      </w:r>
      <w:r>
        <w:rPr>
          <w:rFonts w:ascii="Times New Roman;Times;serif" w:hAnsi="Times New Roman;Times;serif"/>
          <w:b w:val="false"/>
          <w:i w:val="false"/>
          <w:caps w:val="false"/>
          <w:smallCaps w:val="false"/>
          <w:color w:val="000000"/>
          <w:spacing w:val="4"/>
          <w:sz w:val="20"/>
        </w:rPr>
        <w:t xml:space="preserve">” means the surviving or acquiring corporation (or its parent company) in connection with a Corporate Transaction.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(b)</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Adoption Date</w:t>
      </w:r>
      <w:r>
        <w:rPr>
          <w:rFonts w:ascii="Times New Roman;Times;serif" w:hAnsi="Times New Roman;Times;serif"/>
          <w:b w:val="false"/>
          <w:i w:val="false"/>
          <w:caps w:val="false"/>
          <w:smallCaps w:val="false"/>
          <w:color w:val="000000"/>
          <w:spacing w:val="4"/>
          <w:sz w:val="20"/>
        </w:rPr>
        <w:t xml:space="preserve">” means the date the Plan is first approved by the Board or Compensation Committee.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(c)</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Affiliate</w:t>
      </w:r>
      <w:r>
        <w:rPr>
          <w:rFonts w:ascii="Times New Roman;Times;serif" w:hAnsi="Times New Roman;Times;serif"/>
          <w:b w:val="false"/>
          <w:i w:val="false"/>
          <w:caps w:val="false"/>
          <w:smallCaps w:val="false"/>
          <w:color w:val="000000"/>
          <w:spacing w:val="4"/>
          <w:sz w:val="20"/>
        </w:rPr>
        <w:t xml:space="preserve">” means, at the time of determination, any “parent” or “subsidiary” of the Company as such terms are defined in Rule 405 promulgated under the Securities Act. The Board may determine the time or times at which “parent” or “subsidiary” status is determined within the foregoing definition.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(d)</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Applicable Law</w:t>
      </w:r>
      <w:r>
        <w:rPr>
          <w:rFonts w:ascii="Times New Roman;Times;serif" w:hAnsi="Times New Roman;Times;serif"/>
          <w:b w:val="false"/>
          <w:i w:val="false"/>
          <w:caps w:val="false"/>
          <w:smallCaps w:val="false"/>
          <w:color w:val="000000"/>
          <w:spacing w:val="4"/>
          <w:sz w:val="20"/>
        </w:rPr>
        <w:t xml:space="preserve">” means shall mean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(e)</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Award</w:t>
      </w:r>
      <w:r>
        <w:rPr>
          <w:rFonts w:ascii="Times New Roman;Times;serif" w:hAnsi="Times New Roman;Times;serif"/>
          <w:b w:val="false"/>
          <w:i w:val="false"/>
          <w:caps w:val="false"/>
          <w:smallCaps w:val="false"/>
          <w:color w:val="000000"/>
          <w:spacing w:val="4"/>
          <w:sz w:val="20"/>
        </w:rPr>
        <w:t xml:space="preserve">” means any right to receive Common Stock, cash or other property granted under the Plan (including an Incentive Stock Option, a Nonstatutory Stock Option, a Restricted Stock Award, a RSU Award, a SAR, a Performance Award or any Other Award).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Award Agreement</w:t>
      </w:r>
      <w:r>
        <w:rPr>
          <w:rFonts w:ascii="Times New Roman;Times;serif" w:hAnsi="Times New Roman;Times;serif"/>
          <w:b w:val="false"/>
          <w:i w:val="false"/>
          <w:caps w:val="false"/>
          <w:smallCaps w:val="false"/>
          <w:color w:val="000000"/>
          <w:spacing w:val="4"/>
          <w:sz w:val="20"/>
        </w:rPr>
        <w:t xml:space="preserve">” means a written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to a Participant along with the Grant Notice.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(g)</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Board</w:t>
      </w:r>
      <w:r>
        <w:rPr>
          <w:rFonts w:ascii="Times New Roman;Times;serif" w:hAnsi="Times New Roman;Times;serif"/>
          <w:b w:val="false"/>
          <w:i w:val="false"/>
          <w:caps w:val="false"/>
          <w:smallCaps w:val="false"/>
          <w:color w:val="000000"/>
          <w:spacing w:val="4"/>
          <w:sz w:val="20"/>
        </w:rPr>
        <w:t xml:space="preserve">”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(h)</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Capitalization Adjustment</w:t>
      </w:r>
      <w:r>
        <w:rPr>
          <w:rFonts w:ascii="Times New Roman;Times;serif" w:hAnsi="Times New Roman;Times;serif"/>
          <w:b w:val="false"/>
          <w:i w:val="false"/>
          <w:caps w:val="false"/>
          <w:smallCaps w:val="false"/>
          <w:color w:val="000000"/>
          <w:spacing w:val="4"/>
          <w:sz w:val="20"/>
        </w:rPr>
        <w:t xml:space="preserve">” means any change that is made in, or other events that occur with respect to, the Common Stock subject to the 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Cause</w:t>
      </w:r>
      <w:r>
        <w:rPr>
          <w:rFonts w:ascii="Times New Roman;Times;serif" w:hAnsi="Times New Roman;Times;serif"/>
          <w:b w:val="false"/>
          <w:i w:val="false"/>
          <w:caps w:val="false"/>
          <w:smallCaps w:val="false"/>
          <w:color w:val="000000"/>
          <w:spacing w:val="4"/>
          <w:sz w:val="20"/>
        </w:rPr>
        <w:t xml:space="preserve">” has the meaning ascribed to such term in any written agreement between the Participant and the Company defining such term and, in the absence of such agreement, such term means, with respect to a Participant, the occurrence of any of the following events: (i) such Participant’s attempted commission of, or participation in, a fraud or act of dishonesty against the Company; (ii) such Participant’s intentional, material violation of any contract or agreement between the Participant and the Company or of any statutory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duty owed to the Company; (iii) such Participant’s unauthorized use or disclosure of the Company’s confidential information or trade secrets; or (iv) such Participant’s gross misconduct.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 </w:t>
      </w:r>
    </w:p>
    <w:p>
      <w:pPr>
        <w:pStyle w:val="TextBody"/>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(j)</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Change in Control</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caps w:val="false"/>
          <w:smallCaps w:val="false"/>
          <w:color w:val="000000"/>
          <w:spacing w:val="4"/>
          <w:sz w:val="20"/>
        </w:rPr>
        <w:t>Change of Control</w:t>
      </w:r>
      <w:r>
        <w:rPr>
          <w:rFonts w:ascii="Times New Roman;Times;serif" w:hAnsi="Times New Roman;Times;serif"/>
          <w:b w:val="false"/>
          <w:i w:val="false"/>
          <w:caps w:val="false"/>
          <w:smallCaps w:val="false"/>
          <w:color w:val="000000"/>
          <w:spacing w:val="4"/>
          <w:sz w:val="20"/>
        </w:rPr>
        <w:t xml:space="preserve">” means the occurrence, in a single transaction or in a series of related transactions, of any one or more of the following events; provided, however, to the extent necessary to avoid adverse personal income tax consequences to the Participant in connection with an Award, also constitutes a Section 409A Change in Control: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w:t>
      </w:r>
      <w:r>
        <w:rPr>
          <w:rFonts w:ascii="Times New Roman;Times;serif" w:hAnsi="Times New Roman;Times;serif"/>
          <w:b w:val="false"/>
          <w:i w:val="false"/>
          <w:caps w:val="false"/>
          <w:smallCaps w:val="false"/>
          <w:color w:val="000000"/>
          <w:spacing w:val="4"/>
          <w:sz w:val="20"/>
        </w:rPr>
        <w:t>      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Times;serif" w:hAnsi="Times New Roman;Times;serif"/>
          <w:b w:val="false"/>
          <w:i/>
          <w:caps w:val="false"/>
          <w:smallCaps w:val="false"/>
          <w:color w:val="000000"/>
          <w:spacing w:val="4"/>
          <w:sz w:val="20"/>
        </w:rPr>
        <w:t>Subject Person</w:t>
      </w:r>
      <w:r>
        <w:rPr>
          <w:rFonts w:ascii="Times New Roman;Times;serif" w:hAnsi="Times New Roman;Times;serif"/>
          <w:b w:val="false"/>
          <w:i w:val="false"/>
          <w:caps w:val="false"/>
          <w:smallCaps w:val="false"/>
          <w:color w:val="000000"/>
          <w:spacing w:val="4"/>
          <w:sz w:val="20"/>
        </w:rPr>
        <w:t xml:space="preserve">”)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(ii)</w:t>
      </w:r>
      <w:r>
        <w:rPr>
          <w:rFonts w:ascii="Times New Roman;Times;serif" w:hAnsi="Times New Roman;Times;serif"/>
          <w:b w:val="false"/>
          <w:i w:val="false"/>
          <w:caps w:val="false"/>
          <w:smallCaps w:val="false"/>
          <w:color w:val="000000"/>
          <w:spacing w:val="4"/>
          <w:sz w:val="20"/>
        </w:rPr>
        <w:t xml:space="preserve">      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(iii)</w:t>
      </w:r>
      <w:r>
        <w:rPr>
          <w:rFonts w:ascii="Times New Roman;Times;serif" w:hAnsi="Times New Roman;Times;serif"/>
          <w:b w:val="false"/>
          <w:i w:val="false"/>
          <w:caps w:val="false"/>
          <w:smallCaps w:val="false"/>
          <w:color w:val="000000"/>
          <w:spacing w:val="4"/>
          <w:sz w:val="20"/>
        </w:rPr>
        <w:t xml:space="preserve">      the stockholders of the Company approve or the Board approves a plan of complete dissolution or liquidation of the Company, or a complete dissolution or liquidation of the Company shall otherwise occur, except for a liquidation into a parent corporation;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(iv)</w:t>
      </w:r>
      <w:r>
        <w:rPr>
          <w:rFonts w:ascii="Times New Roman;Times;serif" w:hAnsi="Times New Roman;Times;serif"/>
          <w:b w:val="false"/>
          <w:i w:val="false"/>
          <w:caps w:val="false"/>
          <w:smallCaps w:val="false"/>
          <w:color w:val="000000"/>
          <w:spacing w:val="4"/>
          <w:sz w:val="20"/>
        </w:rPr>
        <w:t xml:space="preserve">      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(v)</w:t>
      </w:r>
      <w:r>
        <w:rPr>
          <w:rFonts w:ascii="Times New Roman;Times;serif" w:hAnsi="Times New Roman;Times;serif"/>
          <w:b w:val="false"/>
          <w:i w:val="false"/>
          <w:caps w:val="false"/>
          <w:smallCaps w:val="false"/>
          <w:color w:val="000000"/>
          <w:spacing w:val="4"/>
          <w:sz w:val="20"/>
        </w:rPr>
        <w:t>      individuals who, on the date the Plan is adopted by the Board, are members of the Board (the “</w:t>
      </w:r>
      <w:r>
        <w:rPr>
          <w:rFonts w:ascii="Times New Roman;Times;serif" w:hAnsi="Times New Roman;Times;serif"/>
          <w:b/>
          <w:i/>
          <w:caps w:val="false"/>
          <w:smallCaps w:val="false"/>
          <w:color w:val="000000"/>
          <w:spacing w:val="4"/>
          <w:sz w:val="20"/>
        </w:rPr>
        <w:t>Incumbent Board</w:t>
      </w:r>
      <w:r>
        <w:rPr>
          <w:rFonts w:ascii="Times New Roman;Times;serif" w:hAnsi="Times New Roman;Times;serif"/>
          <w:b w:val="false"/>
          <w:i w:val="false"/>
          <w:caps w:val="false"/>
          <w:smallCaps w:val="false"/>
          <w:color w:val="000000"/>
          <w:spacing w:val="4"/>
          <w:sz w:val="20"/>
        </w:rPr>
        <w:t xml:space="preserve">”)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(k)</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Code</w:t>
      </w:r>
      <w:r>
        <w:rPr>
          <w:rFonts w:ascii="Times New Roman;Times;serif" w:hAnsi="Times New Roman;Times;serif"/>
          <w:b w:val="false"/>
          <w:i w:val="false"/>
          <w:caps w:val="false"/>
          <w:smallCaps w:val="false"/>
          <w:color w:val="000000"/>
          <w:spacing w:val="4"/>
          <w:sz w:val="20"/>
        </w:rPr>
        <w:t xml:space="preserve">” means the Internal Revenue Code of 1986, as amended, including any applicable regulations and guidance thereunder.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(l)</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Committee</w:t>
      </w:r>
      <w:r>
        <w:rPr>
          <w:rFonts w:ascii="Times New Roman;Times;serif" w:hAnsi="Times New Roman;Times;serif"/>
          <w:b w:val="false"/>
          <w:i w:val="false"/>
          <w:caps w:val="false"/>
          <w:smallCaps w:val="false"/>
          <w:color w:val="000000"/>
          <w:spacing w:val="4"/>
          <w:sz w:val="20"/>
        </w:rPr>
        <w:t xml:space="preserve">” means the Compensation Committee and any other committee of Directors to whom authority has been delegated by the Board or Compensation Committee in accordance with the Plan. </w:t>
      </w:r>
    </w:p>
    <w:p>
      <w:pPr>
        <w:pStyle w:val="TextBody"/>
        <w:spacing w:lineRule="atLeast" w:line="240" w:before="160" w:after="283"/>
        <w:ind w:left="1793" w:right="0" w:hanging="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(m)</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Common Stock</w:t>
      </w:r>
      <w:r>
        <w:rPr>
          <w:rFonts w:ascii="Times New Roman;Times;serif" w:hAnsi="Times New Roman;Times;serif"/>
          <w:b w:val="false"/>
          <w:i w:val="false"/>
          <w:caps w:val="false"/>
          <w:smallCaps w:val="false"/>
          <w:color w:val="000000"/>
          <w:spacing w:val="4"/>
          <w:sz w:val="20"/>
        </w:rPr>
        <w:t xml:space="preserve">” means the common stock of the Company. </w:t>
      </w:r>
    </w:p>
    <w:p>
      <w:pPr>
        <w:pStyle w:val="TextBody"/>
        <w:spacing w:lineRule="atLeast" w:line="240" w:before="160" w:after="283"/>
        <w:ind w:left="1793" w:right="0" w:hanging="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(n)</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xml:space="preserve">” means </w:t>
      </w:r>
      <w:r>
        <w:rPr>
          <w:rFonts w:ascii="Times New Roman;Times;serif" w:hAnsi="Times New Roman;Times;serif"/>
          <w:b/>
          <w:i w:val="false"/>
          <w:caps w:val="false"/>
          <w:smallCaps w:val="false"/>
          <w:color w:val="000000"/>
          <w:spacing w:val="4"/>
          <w:sz w:val="20"/>
        </w:rPr>
        <w:t>Marker Therapeutics, Inc.,</w:t>
      </w:r>
      <w:r>
        <w:rPr>
          <w:rFonts w:ascii="Times New Roman;Times;serif" w:hAnsi="Times New Roman;Times;serif"/>
          <w:b w:val="false"/>
          <w:i w:val="false"/>
          <w:caps w:val="false"/>
          <w:smallCaps w:val="false"/>
          <w:color w:val="000000"/>
          <w:spacing w:val="4"/>
          <w:sz w:val="20"/>
        </w:rPr>
        <w:t xml:space="preserve"> a Delaware corporation. </w:t>
      </w:r>
    </w:p>
    <w:p>
      <w:pPr>
        <w:pStyle w:val="TextBody"/>
        <w:spacing w:lineRule="atLeast" w:line="240" w:before="160" w:after="283"/>
        <w:ind w:left="1793" w:right="0" w:hanging="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(o)</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Compensation Committee</w:t>
      </w:r>
      <w:r>
        <w:rPr>
          <w:rFonts w:ascii="Times New Roman;Times;serif" w:hAnsi="Times New Roman;Times;serif"/>
          <w:b w:val="false"/>
          <w:i w:val="false"/>
          <w:caps w:val="false"/>
          <w:smallCaps w:val="false"/>
          <w:color w:val="000000"/>
          <w:spacing w:val="4"/>
          <w:sz w:val="20"/>
        </w:rPr>
        <w:t xml:space="preserve">” means the Compensation Committee of the Board.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(p)</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Consultant</w:t>
      </w:r>
      <w:r>
        <w:rPr>
          <w:rFonts w:ascii="Times New Roman;Times;serif" w:hAnsi="Times New Roman;Times;serif"/>
          <w:b w:val="false"/>
          <w:i w:val="false"/>
          <w:caps w:val="false"/>
          <w:smallCaps w:val="false"/>
          <w:color w:val="000000"/>
          <w:spacing w:val="4"/>
          <w:sz w:val="20"/>
        </w:rPr>
        <w:t xml:space="preserve">”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(q)</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Continuous Service</w:t>
      </w:r>
      <w:r>
        <w:rPr>
          <w:rFonts w:ascii="Times New Roman;Times;serif" w:hAnsi="Times New Roman;Times;serif"/>
          <w:b w:val="false"/>
          <w:i w:val="false"/>
          <w:caps w:val="false"/>
          <w:smallCaps w:val="false"/>
          <w:color w:val="000000"/>
          <w:spacing w:val="4"/>
          <w:sz w:val="20"/>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Corporate Transaction</w:t>
      </w:r>
      <w:r>
        <w:rPr>
          <w:rFonts w:ascii="Times New Roman;Times;serif" w:hAnsi="Times New Roman;Times;serif"/>
          <w:b w:val="false"/>
          <w:i w:val="false"/>
          <w:caps w:val="false"/>
          <w:smallCaps w:val="false"/>
          <w:color w:val="000000"/>
          <w:spacing w:val="4"/>
          <w:sz w:val="20"/>
        </w:rPr>
        <w:t xml:space="preserve">” means the consummation, in a single transaction or in a series of related transactions, of any one or more of the following events: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w:t>
      </w:r>
      <w:r>
        <w:rPr>
          <w:rFonts w:ascii="Times New Roman;Times;serif" w:hAnsi="Times New Roman;Times;serif"/>
          <w:b w:val="false"/>
          <w:i w:val="false"/>
          <w:caps w:val="false"/>
          <w:smallCaps w:val="false"/>
          <w:color w:val="000000"/>
          <w:spacing w:val="4"/>
          <w:sz w:val="20"/>
        </w:rPr>
        <w:t xml:space="preserve">      a sale or other disposition of all or substantially all, as determined by the Board, of the consolidated assets of the Company and its Subsidiaries;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(ii)</w:t>
      </w:r>
      <w:r>
        <w:rPr>
          <w:rFonts w:ascii="Times New Roman;Times;serif" w:hAnsi="Times New Roman;Times;serif"/>
          <w:b w:val="false"/>
          <w:i w:val="false"/>
          <w:caps w:val="false"/>
          <w:smallCaps w:val="false"/>
          <w:color w:val="000000"/>
          <w:spacing w:val="4"/>
          <w:sz w:val="20"/>
        </w:rPr>
        <w:t xml:space="preserve">      a sale or other disposition of at least 50% of the outstanding securities of the Company;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(iii)</w:t>
      </w:r>
      <w:r>
        <w:rPr>
          <w:rFonts w:ascii="Times New Roman;Times;serif" w:hAnsi="Times New Roman;Times;serif"/>
          <w:b w:val="false"/>
          <w:i w:val="false"/>
          <w:caps w:val="false"/>
          <w:smallCaps w:val="false"/>
          <w:color w:val="000000"/>
          <w:spacing w:val="4"/>
          <w:sz w:val="20"/>
        </w:rPr>
        <w:t xml:space="preserve">      a merger, consolidation or similar transaction following which the Company is not the surviving corporation; or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(iv)</w:t>
      </w:r>
      <w:r>
        <w:rPr>
          <w:rFonts w:ascii="Times New Roman;Times;serif" w:hAnsi="Times New Roman;Times;serif"/>
          <w:b w:val="false"/>
          <w:i w:val="false"/>
          <w:caps w:val="false"/>
          <w:smallCaps w:val="false"/>
          <w:color w:val="000000"/>
          <w:spacing w:val="4"/>
          <w:sz w:val="20"/>
        </w:rPr>
        <w:t xml:space="preserve">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 </w:t>
      </w:r>
    </w:p>
    <w:p>
      <w:pPr>
        <w:pStyle w:val="TextBody"/>
        <w:spacing w:lineRule="atLeast" w:line="240" w:before="160" w:after="283"/>
        <w:ind w:left="1793" w:right="0" w:hanging="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(s)</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Director</w:t>
      </w:r>
      <w:r>
        <w:rPr>
          <w:rFonts w:ascii="Times New Roman;Times;serif" w:hAnsi="Times New Roman;Times;serif"/>
          <w:b w:val="false"/>
          <w:i w:val="false"/>
          <w:caps w:val="false"/>
          <w:smallCaps w:val="false"/>
          <w:color w:val="000000"/>
          <w:spacing w:val="4"/>
          <w:sz w:val="20"/>
        </w:rPr>
        <w:t xml:space="preserve">” means a member of the Board.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(t)</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determine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i/>
          <w:caps w:val="false"/>
          <w:smallCaps w:val="false"/>
          <w:color w:val="000000"/>
          <w:spacing w:val="4"/>
          <w:sz w:val="20"/>
        </w:rPr>
        <w:t>or</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i/>
          <w:caps w:val="false"/>
          <w:smallCaps w:val="false"/>
          <w:color w:val="000000"/>
          <w:spacing w:val="4"/>
          <w:sz w:val="20"/>
        </w:rPr>
        <w:t>determined</w:t>
      </w:r>
      <w:r>
        <w:rPr>
          <w:rFonts w:ascii="Times New Roman;Times;serif" w:hAnsi="Times New Roman;Times;serif"/>
          <w:b w:val="false"/>
          <w:i w:val="false"/>
          <w:caps w:val="false"/>
          <w:smallCaps w:val="false"/>
          <w:color w:val="000000"/>
          <w:spacing w:val="4"/>
          <w:sz w:val="20"/>
        </w:rPr>
        <w:t xml:space="preserve">” means as determined by the Board or the Committee (or its designee) in its sole discretion.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(u)</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Disability</w:t>
      </w:r>
      <w:r>
        <w:rPr>
          <w:rFonts w:ascii="Times New Roman;Times;serif" w:hAnsi="Times New Roman;Times;serif"/>
          <w:b w:val="false"/>
          <w:i w:val="false"/>
          <w:caps w:val="false"/>
          <w:smallCaps w:val="false"/>
          <w:color w:val="000000"/>
          <w:spacing w:val="4"/>
          <w:sz w:val="20"/>
        </w:rPr>
        <w:t xml:space="preserve">”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(v)</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Effective Date</w:t>
      </w:r>
      <w:r>
        <w:rPr>
          <w:rFonts w:ascii="Times New Roman;Times;serif" w:hAnsi="Times New Roman;Times;serif"/>
          <w:b w:val="false"/>
          <w:i w:val="false"/>
          <w:caps w:val="false"/>
          <w:smallCaps w:val="false"/>
          <w:color w:val="000000"/>
          <w:spacing w:val="4"/>
          <w:sz w:val="20"/>
        </w:rPr>
        <w:t xml:space="preserve">” means the date of the annual meeting of stockholders of the Company held in 2020 provided this Plan is approved by the Company’s stockholders at such meeting.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(w)</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Employee</w:t>
      </w:r>
      <w:r>
        <w:rPr>
          <w:rFonts w:ascii="Times New Roman;Times;serif" w:hAnsi="Times New Roman;Times;serif"/>
          <w:b w:val="false"/>
          <w:i w:val="false"/>
          <w:caps w:val="false"/>
          <w:smallCaps w:val="false"/>
          <w:color w:val="000000"/>
          <w:spacing w:val="4"/>
          <w:sz w:val="20"/>
        </w:rPr>
        <w:t xml:space="preserve">” means any person employed by the Company or an Affiliate. However, service solely as a Director, or payment of a fee for such services, will not cause a Director to be considered an “Employee” for purposes of the Plan.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(x)</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Employer</w:t>
      </w:r>
      <w:r>
        <w:rPr>
          <w:rFonts w:ascii="Times New Roman;Times;serif" w:hAnsi="Times New Roman;Times;serif"/>
          <w:b w:val="false"/>
          <w:i w:val="false"/>
          <w:caps w:val="false"/>
          <w:smallCaps w:val="false"/>
          <w:color w:val="000000"/>
          <w:spacing w:val="4"/>
          <w:sz w:val="20"/>
        </w:rPr>
        <w:t xml:space="preserve">” means the Company or the Affiliate of the Company that employs the Participant. </w:t>
      </w:r>
    </w:p>
    <w:p>
      <w:pPr>
        <w:pStyle w:val="TextBody"/>
        <w:spacing w:lineRule="atLeast" w:line="240" w:before="160" w:after="283"/>
        <w:ind w:left="1793" w:right="0" w:hanging="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(y)</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Entity</w:t>
      </w:r>
      <w:r>
        <w:rPr>
          <w:rFonts w:ascii="Times New Roman;Times;serif" w:hAnsi="Times New Roman;Times;serif"/>
          <w:b w:val="false"/>
          <w:i w:val="false"/>
          <w:caps w:val="false"/>
          <w:smallCaps w:val="false"/>
          <w:color w:val="000000"/>
          <w:spacing w:val="4"/>
          <w:sz w:val="20"/>
        </w:rPr>
        <w:t xml:space="preserve">” means a corporation, partnership, limited liability company or other entity.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(z)</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Exchange Act</w:t>
      </w:r>
      <w:r>
        <w:rPr>
          <w:rFonts w:ascii="Times New Roman;Times;serif" w:hAnsi="Times New Roman;Times;serif"/>
          <w:b w:val="false"/>
          <w:i w:val="false"/>
          <w:caps w:val="false"/>
          <w:smallCaps w:val="false"/>
          <w:color w:val="000000"/>
          <w:spacing w:val="4"/>
          <w:sz w:val="20"/>
        </w:rPr>
        <w:t xml:space="preserve">” means the Securities Exchange Act of 1934, as amended, and the rules and regulations promulgated thereunder.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(aa)</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Exchange Act Person</w:t>
      </w:r>
      <w:r>
        <w:rPr>
          <w:rFonts w:ascii="Times New Roman;Times;serif" w:hAnsi="Times New Roman;Times;serif"/>
          <w:b w:val="false"/>
          <w:i w:val="false"/>
          <w:caps w:val="false"/>
          <w:smallCaps w:val="false"/>
          <w:color w:val="000000"/>
          <w:spacing w:val="4"/>
          <w:sz w:val="20"/>
        </w:rPr>
        <w:t xml:space="preserve">”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(bb)</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Fair Market Value</w:t>
      </w:r>
      <w:r>
        <w:rPr>
          <w:rFonts w:ascii="Times New Roman;Times;serif" w:hAnsi="Times New Roman;Times;serif"/>
          <w:b w:val="false"/>
          <w:i w:val="false"/>
          <w:caps w:val="false"/>
          <w:smallCaps w:val="false"/>
          <w:color w:val="000000"/>
          <w:spacing w:val="4"/>
          <w:sz w:val="20"/>
        </w:rPr>
        <w:t xml:space="preserve">” means, as of any date, unless otherwise determined by the Board, the value of the Common Stock (as determined on a per share or aggregate basis, as applicable) determined as follows: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w:t>
      </w:r>
      <w:r>
        <w:rPr>
          <w:rFonts w:ascii="Times New Roman;Times;serif" w:hAnsi="Times New Roman;Times;serif"/>
          <w:b w:val="false"/>
          <w:i w:val="false"/>
          <w:caps w:val="false"/>
          <w:smallCaps w:val="false"/>
          <w:color w:val="000000"/>
          <w:spacing w:val="4"/>
          <w:sz w:val="20"/>
        </w:rPr>
        <w:t xml:space="preserve">      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(ii)</w:t>
      </w:r>
      <w:r>
        <w:rPr>
          <w:rFonts w:ascii="Times New Roman;Times;serif" w:hAnsi="Times New Roman;Times;serif"/>
          <w:b w:val="false"/>
          <w:i w:val="false"/>
          <w:caps w:val="false"/>
          <w:smallCaps w:val="false"/>
          <w:color w:val="000000"/>
          <w:spacing w:val="4"/>
          <w:sz w:val="20"/>
        </w:rPr>
        <w:t xml:space="preserve">      If there is no closing sales price for the Common Stock on the date of determination, then the Fair Market Value will be the closing selling price on the last preceding date for which such quotation exists.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(iii)</w:t>
      </w:r>
      <w:r>
        <w:rPr>
          <w:rFonts w:ascii="Times New Roman;Times;serif" w:hAnsi="Times New Roman;Times;serif"/>
          <w:b w:val="false"/>
          <w:i w:val="false"/>
          <w:caps w:val="false"/>
          <w:smallCaps w:val="false"/>
          <w:color w:val="000000"/>
          <w:spacing w:val="4"/>
          <w:sz w:val="20"/>
        </w:rPr>
        <w:t xml:space="preserve">      In the absence of such markets for the Common Stock, or if otherwise determined by the Board, the Fair Market Value will be determined by the Board in good faith and in a manner that complies with Sections 409A and 422 of the Code.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(cc)</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Governmental Body</w:t>
      </w:r>
      <w:r>
        <w:rPr>
          <w:rFonts w:ascii="Times New Roman;Times;serif" w:hAnsi="Times New Roman;Times;serif"/>
          <w:b w:val="false"/>
          <w:i w:val="false"/>
          <w:caps w:val="false"/>
          <w:smallCaps w:val="false"/>
          <w:color w:val="000000"/>
          <w:spacing w:val="4"/>
          <w:sz w:val="20"/>
        </w:rPr>
        <w:t xml:space="preserve">” means any: (a) nation, state, commonwealth, province, territory, county, municipality, district or other jurisdiction of any nature; (b) federal, state, local, municipal, foreign or other government; (c) governmental or regulatory body, or quasi-governmental body of any nature (including any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New York Stock Exchange, and the Financial Industry Regulatory Authority).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(dd)</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Grant Notice</w:t>
      </w:r>
      <w:r>
        <w:rPr>
          <w:rFonts w:ascii="Times New Roman;Times;serif" w:hAnsi="Times New Roman;Times;serif"/>
          <w:b w:val="false"/>
          <w:i w:val="false"/>
          <w:caps w:val="false"/>
          <w:smallCaps w:val="false"/>
          <w:color w:val="000000"/>
          <w:spacing w:val="4"/>
          <w:sz w:val="20"/>
        </w:rPr>
        <w:t xml:space="preserve">”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(ee)</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Incentive Stock Option</w:t>
      </w:r>
      <w:r>
        <w:rPr>
          <w:rFonts w:ascii="Times New Roman;Times;serif" w:hAnsi="Times New Roman;Times;serif"/>
          <w:b w:val="false"/>
          <w:i w:val="false"/>
          <w:caps w:val="false"/>
          <w:smallCaps w:val="false"/>
          <w:color w:val="000000"/>
          <w:spacing w:val="4"/>
          <w:sz w:val="20"/>
        </w:rPr>
        <w:t xml:space="preserve">” means an option granted pursuant to Section 4 of the Plan that is intended to be, and qualifies as, an “incentive stock option” within the meaning of Section 422 of the Code.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(ff)</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Materially Impair</w:t>
      </w:r>
      <w:r>
        <w:rPr>
          <w:rFonts w:ascii="Times New Roman;Times;serif" w:hAnsi="Times New Roman;Times;serif"/>
          <w:b w:val="false"/>
          <w:i w:val="false"/>
          <w:caps w:val="false"/>
          <w:smallCaps w:val="false"/>
          <w:color w:val="000000"/>
          <w:spacing w:val="4"/>
          <w:sz w:val="20"/>
        </w:rPr>
        <w:t xml:space="preserve">”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(gg)</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Non-Employee Director</w:t>
      </w:r>
      <w:r>
        <w:rPr>
          <w:rFonts w:ascii="Times New Roman;Times;serif" w:hAnsi="Times New Roman;Times;serif"/>
          <w:b w:val="false"/>
          <w:i w:val="false"/>
          <w:caps w:val="false"/>
          <w:smallCaps w:val="false"/>
          <w:color w:val="000000"/>
          <w:spacing w:val="4"/>
          <w:sz w:val="20"/>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Times;serif" w:hAnsi="Times New Roman;Times;serif"/>
          <w:b/>
          <w:i/>
          <w:caps w:val="false"/>
          <w:smallCaps w:val="false"/>
          <w:color w:val="000000"/>
          <w:spacing w:val="4"/>
          <w:sz w:val="20"/>
        </w:rPr>
        <w:t>Regulation S-K</w:t>
      </w:r>
      <w:r>
        <w:rPr>
          <w:rFonts w:ascii="Times New Roman;Times;serif" w:hAnsi="Times New Roman;Times;serif"/>
          <w:b w:val="false"/>
          <w:i w:val="false"/>
          <w:caps w:val="false"/>
          <w:smallCaps w:val="false"/>
          <w:color w:val="000000"/>
          <w:spacing w:val="4"/>
          <w:sz w:val="20"/>
        </w:rPr>
        <w:t xml:space="preserve">”)),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(hh)</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Nonstatutory Stock Option</w:t>
      </w:r>
      <w:r>
        <w:rPr>
          <w:rFonts w:ascii="Times New Roman;Times;serif" w:hAnsi="Times New Roman;Times;serif"/>
          <w:b w:val="false"/>
          <w:i w:val="false"/>
          <w:caps w:val="false"/>
          <w:smallCaps w:val="false"/>
          <w:color w:val="000000"/>
          <w:spacing w:val="4"/>
          <w:sz w:val="20"/>
        </w:rPr>
        <w:t xml:space="preserve">” means any option granted pursuant to Section 4 of the Plan that does not qualify as an Incentive Stock Option.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(ii)</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Officer</w:t>
      </w:r>
      <w:r>
        <w:rPr>
          <w:rFonts w:ascii="Times New Roman;Times;serif" w:hAnsi="Times New Roman;Times;serif"/>
          <w:b w:val="false"/>
          <w:i w:val="false"/>
          <w:caps w:val="false"/>
          <w:smallCaps w:val="false"/>
          <w:color w:val="000000"/>
          <w:spacing w:val="4"/>
          <w:sz w:val="20"/>
        </w:rPr>
        <w:t xml:space="preserve">” means a person who is an officer of the Company within the meaning of Section 16 of the Exchange Act.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(jj)</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Option</w:t>
      </w:r>
      <w:r>
        <w:rPr>
          <w:rFonts w:ascii="Times New Roman;Times;serif" w:hAnsi="Times New Roman;Times;serif"/>
          <w:b w:val="false"/>
          <w:i w:val="false"/>
          <w:caps w:val="false"/>
          <w:smallCaps w:val="false"/>
          <w:color w:val="000000"/>
          <w:spacing w:val="4"/>
          <w:sz w:val="20"/>
        </w:rPr>
        <w:t xml:space="preserve">” means an Incentive Stock Option or a Nonstatutory Stock Option to purchase shares of Common Stock granted pursuant to the Plan.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(kk)</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Option Agreement</w:t>
      </w:r>
      <w:r>
        <w:rPr>
          <w:rFonts w:ascii="Times New Roman;Times;serif" w:hAnsi="Times New Roman;Times;serif"/>
          <w:b w:val="false"/>
          <w:i w:val="false"/>
          <w:caps w:val="false"/>
          <w:smallCaps w:val="false"/>
          <w:color w:val="000000"/>
          <w:spacing w:val="4"/>
          <w:sz w:val="20"/>
        </w:rPr>
        <w:t xml:space="preserve">” means a written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to a Participant along with the Grant Notice. Each Option Agreement will be subject to the terms and conditions of the Plan.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(ll)</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Optionholder</w:t>
      </w:r>
      <w:r>
        <w:rPr>
          <w:rFonts w:ascii="Times New Roman;Times;serif" w:hAnsi="Times New Roman;Times;serif"/>
          <w:b w:val="false"/>
          <w:i w:val="false"/>
          <w:caps w:val="false"/>
          <w:smallCaps w:val="false"/>
          <w:color w:val="000000"/>
          <w:spacing w:val="4"/>
          <w:sz w:val="20"/>
        </w:rPr>
        <w:t xml:space="preserve">” means a person to whom an Option is granted pursuant to the Plan or, if applicable, such other person who holds an outstanding Option.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(mm)</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Other Award</w:t>
      </w:r>
      <w:r>
        <w:rPr>
          <w:rFonts w:ascii="Times New Roman;Times;serif" w:hAnsi="Times New Roman;Times;serif"/>
          <w:b w:val="false"/>
          <w:i w:val="false"/>
          <w:caps w:val="false"/>
          <w:smallCaps w:val="false"/>
          <w:color w:val="000000"/>
          <w:spacing w:val="4"/>
          <w:sz w:val="20"/>
        </w:rPr>
        <w:t xml:space="preserve">” means an award based in whole or in part by reference to the Common Stock which is granted pursuant to the terms and conditions of Section 5(c).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(nn)</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Other Award Agreement</w:t>
      </w:r>
      <w:r>
        <w:rPr>
          <w:rFonts w:ascii="Times New Roman;Times;serif" w:hAnsi="Times New Roman;Times;serif"/>
          <w:b w:val="false"/>
          <w:i w:val="false"/>
          <w:caps w:val="false"/>
          <w:smallCaps w:val="false"/>
          <w:color w:val="000000"/>
          <w:spacing w:val="4"/>
          <w:sz w:val="20"/>
        </w:rPr>
        <w:t xml:space="preserve">” means a written agreement between the Company and a holder of an Other Award evidencing the terms and conditions of an Other Award grant. Each Other Award Agreement will be subject to the terms and conditions of the Plan.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20" w:before="12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(oo)</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Own,</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Owned,</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Owner,</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Ownership</w:t>
      </w:r>
      <w:r>
        <w:rPr>
          <w:rFonts w:ascii="Times New Roman;Times;serif" w:hAnsi="Times New Roman;Times;serif"/>
          <w:b w:val="false"/>
          <w:i w:val="false"/>
          <w:caps w:val="false"/>
          <w:smallCaps w:val="false"/>
          <w:color w:val="000000"/>
          <w:spacing w:val="4"/>
          <w:sz w:val="20"/>
        </w:rPr>
        <w:t xml:space="preserve">”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 </w:t>
      </w:r>
    </w:p>
    <w:p>
      <w:pPr>
        <w:pStyle w:val="TextBody"/>
        <w:spacing w:lineRule="atLeast" w:line="22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(pp)</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Participant</w:t>
      </w:r>
      <w:r>
        <w:rPr>
          <w:rFonts w:ascii="Times New Roman;Times;serif" w:hAnsi="Times New Roman;Times;serif"/>
          <w:b w:val="false"/>
          <w:i w:val="false"/>
          <w:caps w:val="false"/>
          <w:smallCaps w:val="false"/>
          <w:color w:val="000000"/>
          <w:spacing w:val="4"/>
          <w:sz w:val="20"/>
        </w:rPr>
        <w:t xml:space="preserve">” means an Employee, Director or Consultant to whom an Award is granted pursuant to the Plan or, if applicable, such other person who holds an outstanding Award.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(qq)</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Performance Award</w:t>
      </w:r>
      <w:r>
        <w:rPr>
          <w:rFonts w:ascii="Times New Roman;Times;serif" w:hAnsi="Times New Roman;Times;serif"/>
          <w:b w:val="false"/>
          <w:i w:val="false"/>
          <w:caps w:val="false"/>
          <w:smallCaps w:val="false"/>
          <w:color w:val="000000"/>
          <w:spacing w:val="4"/>
          <w:sz w:val="20"/>
        </w:rPr>
        <w:t xml:space="preserve">”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(rr)</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Performance Criteria</w:t>
      </w:r>
      <w:r>
        <w:rPr>
          <w:rFonts w:ascii="Times New Roman;Times;serif" w:hAnsi="Times New Roman;Times;serif"/>
          <w:b w:val="false"/>
          <w:i w:val="false"/>
          <w:caps w:val="false"/>
          <w:smallCaps w:val="false"/>
          <w:color w:val="000000"/>
          <w:spacing w:val="4"/>
          <w:sz w:val="20"/>
        </w:rPr>
        <w:t xml:space="preserve">” means the one or more criteria that the Board will select for purposes of establishing the Performance Goals for a Performance Period. The Performance Criteria that will be used to establish such Performance Goals may be based on any measure of performance selected by the Board.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(ss)</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Performance Goals</w:t>
      </w:r>
      <w:r>
        <w:rPr>
          <w:rFonts w:ascii="Times New Roman;Times;serif" w:hAnsi="Times New Roman;Times;serif"/>
          <w:b w:val="false"/>
          <w:i w:val="false"/>
          <w:caps w:val="false"/>
          <w:smallCaps w:val="false"/>
          <w:color w:val="000000"/>
          <w:spacing w:val="4"/>
          <w:sz w:val="20"/>
        </w:rPr>
        <w:t xml:space="preserve">”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expensed under generally accepted accounting principles; (11) to exclude the goodwill and intangible asset impairment charges that are required to be recorded under generally accepted accounting principles; and (12) to exclude the effects of the timing of acceptance for review and/or approval of submissions to the U.S. Food and Drug Administration or any other regulatory body.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(tt)</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Performance Period</w:t>
      </w:r>
      <w:r>
        <w:rPr>
          <w:rFonts w:ascii="Times New Roman;Times;serif" w:hAnsi="Times New Roman;Times;serif"/>
          <w:b w:val="false"/>
          <w:i w:val="false"/>
          <w:caps w:val="false"/>
          <w:smallCaps w:val="false"/>
          <w:color w:val="000000"/>
          <w:spacing w:val="4"/>
          <w:sz w:val="20"/>
        </w:rPr>
        <w:t xml:space="preserve">”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 </w:t>
      </w:r>
    </w:p>
    <w:p>
      <w:pPr>
        <w:pStyle w:val="TextBody"/>
        <w:spacing w:lineRule="atLeast" w:line="240" w:before="160" w:after="283"/>
        <w:ind w:left="1793" w:right="0" w:hanging="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(uu)</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Plan</w:t>
      </w:r>
      <w:r>
        <w:rPr>
          <w:rFonts w:ascii="Times New Roman;Times;serif" w:hAnsi="Times New Roman;Times;serif"/>
          <w:b w:val="false"/>
          <w:i w:val="false"/>
          <w:caps w:val="false"/>
          <w:smallCaps w:val="false"/>
          <w:color w:val="000000"/>
          <w:spacing w:val="4"/>
          <w:sz w:val="20"/>
        </w:rPr>
        <w:t xml:space="preserve">” means this Marker Therapeutics, Inc. 2020 Equity Incentive Plan.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(vv)</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Plan Administrator</w:t>
      </w:r>
      <w:r>
        <w:rPr>
          <w:rFonts w:ascii="Times New Roman;Times;serif" w:hAnsi="Times New Roman;Times;serif"/>
          <w:b w:val="false"/>
          <w:i w:val="false"/>
          <w:caps w:val="false"/>
          <w:smallCaps w:val="false"/>
          <w:color w:val="000000"/>
          <w:spacing w:val="4"/>
          <w:sz w:val="20"/>
        </w:rPr>
        <w:t xml:space="preserve">” means the person, persons, and/or third-party administrator designated by the Company to administer the day to day operations of the Plan and the Company’s other equity incentive programs.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(ww)</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Post-Termination Exercise Period</w:t>
      </w:r>
      <w:r>
        <w:rPr>
          <w:rFonts w:ascii="Times New Roman;Times;serif" w:hAnsi="Times New Roman;Times;serif"/>
          <w:b w:val="false"/>
          <w:i w:val="false"/>
          <w:caps w:val="false"/>
          <w:smallCaps w:val="false"/>
          <w:color w:val="000000"/>
          <w:spacing w:val="4"/>
          <w:sz w:val="20"/>
        </w:rPr>
        <w:t xml:space="preserve">” means the period following termination of a Participant’s Continuous Service within which an Option or SAR is exercisable, as specified in Section 4(h).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(xx)</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Prior Plans’ Available Reserve</w:t>
      </w:r>
      <w:r>
        <w:rPr>
          <w:rFonts w:ascii="Times New Roman;Times;serif" w:hAnsi="Times New Roman;Times;serif"/>
          <w:b w:val="false"/>
          <w:i w:val="false"/>
          <w:caps w:val="false"/>
          <w:smallCaps w:val="false"/>
          <w:color w:val="000000"/>
          <w:spacing w:val="4"/>
          <w:sz w:val="20"/>
        </w:rPr>
        <w:t xml:space="preserve">” means the number of shares available for the grant of new awards under the Prior Plans as of immediately prior to the Effective Date.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(yy)</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Prior Plans</w:t>
      </w:r>
      <w:r>
        <w:rPr>
          <w:rFonts w:ascii="Times New Roman;Times;serif" w:hAnsi="Times New Roman;Times;serif"/>
          <w:b w:val="false"/>
          <w:i w:val="false"/>
          <w:caps w:val="false"/>
          <w:smallCaps w:val="false"/>
          <w:color w:val="000000"/>
          <w:spacing w:val="4"/>
          <w:sz w:val="20"/>
        </w:rPr>
        <w:t xml:space="preserve">” mean the TapImmune Inc. 2014 Omnibus Stock Ownership Plan and the Tap Immune Inc. 2009 Stock Incentive Plan, each as amended.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(zz)</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Prospectus</w:t>
      </w:r>
      <w:r>
        <w:rPr>
          <w:rFonts w:ascii="Times New Roman;Times;serif" w:hAnsi="Times New Roman;Times;serif"/>
          <w:b w:val="false"/>
          <w:i w:val="false"/>
          <w:caps w:val="false"/>
          <w:smallCaps w:val="false"/>
          <w:color w:val="000000"/>
          <w:spacing w:val="4"/>
          <w:sz w:val="20"/>
        </w:rPr>
        <w:t xml:space="preserve">” means the document containing the Plan information specified in Section 10(a) of the Securities Act.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(aaa)</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Restricted Stock Award</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caps w:val="false"/>
          <w:smallCaps w:val="false"/>
          <w:color w:val="000000"/>
          <w:spacing w:val="4"/>
          <w:sz w:val="20"/>
        </w:rPr>
        <w:t>RSA</w:t>
      </w:r>
      <w:r>
        <w:rPr>
          <w:rFonts w:ascii="Times New Roman;Times;serif" w:hAnsi="Times New Roman;Times;serif"/>
          <w:b w:val="false"/>
          <w:i w:val="false"/>
          <w:caps w:val="false"/>
          <w:smallCaps w:val="false"/>
          <w:color w:val="000000"/>
          <w:spacing w:val="4"/>
          <w:sz w:val="20"/>
        </w:rPr>
        <w:t xml:space="preserve">”means an Award of shares of Common Stock which is granted pursuant to the terms and conditions of Section 5(a).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(bbb)</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Restricted Stock Award Agreement</w:t>
      </w:r>
      <w:r>
        <w:rPr>
          <w:rFonts w:ascii="Times New Roman;Times;serif" w:hAnsi="Times New Roman;Times;serif"/>
          <w:b w:val="false"/>
          <w:i w:val="false"/>
          <w:caps w:val="false"/>
          <w:smallCaps w:val="false"/>
          <w:color w:val="000000"/>
          <w:spacing w:val="4"/>
          <w:sz w:val="20"/>
        </w:rPr>
        <w:t xml:space="preserve">” means a written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Participant along with the Grant Notice. Each Restricted Stock Award Agreement will be subject to the terms and conditions of the Plan.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(ccc)</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Returning Shares</w:t>
      </w:r>
      <w:r>
        <w:rPr>
          <w:rFonts w:ascii="Times New Roman;Times;serif" w:hAnsi="Times New Roman;Times;serif"/>
          <w:b w:val="false"/>
          <w:i w:val="false"/>
          <w:caps w:val="false"/>
          <w:smallCaps w:val="false"/>
          <w:color w:val="000000"/>
          <w:spacing w:val="4"/>
          <w:sz w:val="20"/>
        </w:rPr>
        <w:t xml:space="preserve">” means shares subject to outstanding stock awards granted under the Prior Plans and that following the Effective Date: (A) 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 shares; (D) are withheld or reacquired to satisfy the exercise, strike or purchase price; or (E) are withheld or reacquired to satisfy a tax withholding obligation.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(ddd)</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RSU Award</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caps w:val="false"/>
          <w:smallCaps w:val="false"/>
          <w:color w:val="000000"/>
          <w:spacing w:val="4"/>
          <w:sz w:val="20"/>
        </w:rPr>
        <w:t>RSU</w:t>
      </w:r>
      <w:r>
        <w:rPr>
          <w:rFonts w:ascii="Times New Roman;Times;serif" w:hAnsi="Times New Roman;Times;serif"/>
          <w:b w:val="false"/>
          <w:i w:val="false"/>
          <w:caps w:val="false"/>
          <w:smallCaps w:val="false"/>
          <w:color w:val="000000"/>
          <w:spacing w:val="4"/>
          <w:sz w:val="20"/>
        </w:rPr>
        <w:t xml:space="preserve">” means an Award of restricted stock units representing the right to receive an issuance of shares of Common Stock which is granted pursuant to the terms and conditions of Section 5(a).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(eee)</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RSU Award Agreement</w:t>
      </w:r>
      <w:r>
        <w:rPr>
          <w:rFonts w:ascii="Times New Roman;Times;serif" w:hAnsi="Times New Roman;Times;serif"/>
          <w:b w:val="false"/>
          <w:i w:val="false"/>
          <w:caps w:val="false"/>
          <w:smallCaps w:val="false"/>
          <w:color w:val="000000"/>
          <w:spacing w:val="4"/>
          <w:sz w:val="20"/>
        </w:rPr>
        <w:t xml:space="preserve">” means a written agreement between the Company and a holder of a RSU Award evidencing the terms and conditions of a RSU Award grant. The RSU Award Agreement includes the Grant Notice for the RSU Award and the agreement containing the written summary of the general terms and conditions applicable to the RSU Award and which is provided to a Participant along with the Grant Notice. Each RSU Award Agreement will be subject to the terms and conditions of the Plan.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(fff)</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Rule 16b-3</w:t>
      </w:r>
      <w:r>
        <w:rPr>
          <w:rFonts w:ascii="Times New Roman;Times;serif" w:hAnsi="Times New Roman;Times;serif"/>
          <w:b w:val="false"/>
          <w:i w:val="false"/>
          <w:caps w:val="false"/>
          <w:smallCaps w:val="false"/>
          <w:color w:val="000000"/>
          <w:spacing w:val="4"/>
          <w:sz w:val="20"/>
        </w:rPr>
        <w:t xml:space="preserve">” means Rule 16b-3 promulgated under the Exchange Act or any successor to Rule 16b-3, as in effect from time to time. </w:t>
      </w:r>
    </w:p>
    <w:p>
      <w:pPr>
        <w:pStyle w:val="TextBody"/>
        <w:spacing w:lineRule="atLeast" w:line="240" w:before="160" w:after="283"/>
        <w:ind w:left="1793" w:right="0" w:hanging="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(ggg)</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Rule 405</w:t>
      </w:r>
      <w:r>
        <w:rPr>
          <w:rFonts w:ascii="Times New Roman;Times;serif" w:hAnsi="Times New Roman;Times;serif"/>
          <w:b w:val="false"/>
          <w:i w:val="false"/>
          <w:caps w:val="false"/>
          <w:smallCaps w:val="false"/>
          <w:color w:val="000000"/>
          <w:spacing w:val="4"/>
          <w:sz w:val="20"/>
        </w:rPr>
        <w:t xml:space="preserve">” means Rule 405 promulgated under the Securities Act.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(hhh)</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Section 409A</w:t>
      </w:r>
      <w:r>
        <w:rPr>
          <w:rFonts w:ascii="Times New Roman;Times;serif" w:hAnsi="Times New Roman;Times;serif"/>
          <w:b w:val="false"/>
          <w:i w:val="false"/>
          <w:caps w:val="false"/>
          <w:smallCaps w:val="false"/>
          <w:color w:val="000000"/>
          <w:spacing w:val="4"/>
          <w:sz w:val="20"/>
        </w:rPr>
        <w:t xml:space="preserve">” means Section 409A of the Code and the regulations and other guidance thereunder.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(iii)</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Section 409A Change in Control</w:t>
      </w:r>
      <w:r>
        <w:rPr>
          <w:rFonts w:ascii="Times New Roman;Times;serif" w:hAnsi="Times New Roman;Times;serif"/>
          <w:b w:val="false"/>
          <w:i w:val="false"/>
          <w:caps w:val="false"/>
          <w:smallCaps w:val="false"/>
          <w:color w:val="000000"/>
          <w:spacing w:val="4"/>
          <w:sz w:val="20"/>
        </w:rPr>
        <w:t xml:space="preserve">” means a change in the ownership or effective control of the Company, or in the ownership of a substantial portion of the Company’s assets, as provided in Section 409A(a)(2)(A)(v) of the Code and Treasury Regulations Section 1.409A-3(i)(5) (without regard to any alternative definition thereunder). </w:t>
      </w:r>
    </w:p>
    <w:p>
      <w:pPr>
        <w:pStyle w:val="TextBody"/>
        <w:spacing w:lineRule="atLeast" w:line="240" w:before="160" w:after="283"/>
        <w:ind w:left="1793" w:right="0" w:hanging="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(jjj)</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Securities Act</w:t>
      </w:r>
      <w:r>
        <w:rPr>
          <w:rFonts w:ascii="Times New Roman;Times;serif" w:hAnsi="Times New Roman;Times;serif"/>
          <w:b w:val="false"/>
          <w:i w:val="false"/>
          <w:caps w:val="false"/>
          <w:smallCaps w:val="false"/>
          <w:color w:val="000000"/>
          <w:spacing w:val="4"/>
          <w:sz w:val="20"/>
        </w:rPr>
        <w:t xml:space="preserve">” means the Securities Act of 1933, as amended.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(kkk)</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Share Reserve</w:t>
      </w:r>
      <w:r>
        <w:rPr>
          <w:rFonts w:ascii="Times New Roman;Times;serif" w:hAnsi="Times New Roman;Times;serif"/>
          <w:b w:val="false"/>
          <w:i w:val="false"/>
          <w:caps w:val="false"/>
          <w:smallCaps w:val="false"/>
          <w:color w:val="000000"/>
          <w:spacing w:val="4"/>
          <w:sz w:val="20"/>
        </w:rPr>
        <w:t xml:space="preserve">” means the number of shares available for issuance under the Plan as set forth in Section 2(a).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(lll)</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Stock Appreciation Right</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caps w:val="false"/>
          <w:smallCaps w:val="false"/>
          <w:color w:val="000000"/>
          <w:spacing w:val="4"/>
          <w:sz w:val="20"/>
        </w:rPr>
        <w:t>SAR</w:t>
      </w:r>
      <w:r>
        <w:rPr>
          <w:rFonts w:ascii="Times New Roman;Times;serif" w:hAnsi="Times New Roman;Times;serif"/>
          <w:b w:val="false"/>
          <w:i w:val="false"/>
          <w:caps w:val="false"/>
          <w:smallCaps w:val="false"/>
          <w:color w:val="000000"/>
          <w:spacing w:val="4"/>
          <w:sz w:val="20"/>
        </w:rPr>
        <w:t xml:space="preserve">” means a right to receive the appreciation on Common Stock that is granted pursuant to the terms and conditions of Section 4.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7760"/>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(mmm)</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SAR Agreement</w:t>
      </w:r>
      <w:r>
        <w:rPr>
          <w:rFonts w:ascii="Times New Roman;Times;serif" w:hAnsi="Times New Roman;Times;serif"/>
          <w:b w:val="false"/>
          <w:i w:val="false"/>
          <w:caps w:val="false"/>
          <w:smallCaps w:val="false"/>
          <w:color w:val="000000"/>
          <w:spacing w:val="4"/>
          <w:sz w:val="20"/>
        </w:rPr>
        <w:t xml:space="preserve">” means a written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to a Participant along with the Grant Notice. Each SAR Agreement will be subject to the terms and conditions of the Plan.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(nnn)</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Subsidiary</w:t>
      </w:r>
      <w:r>
        <w:rPr>
          <w:rFonts w:ascii="Times New Roman;Times;serif" w:hAnsi="Times New Roman;Times;serif"/>
          <w:b w:val="false"/>
          <w:i w:val="false"/>
          <w:caps w:val="false"/>
          <w:smallCaps w:val="false"/>
          <w:color w:val="000000"/>
          <w:spacing w:val="4"/>
          <w:sz w:val="20"/>
        </w:rPr>
        <w:t xml:space="preserve">”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(ooo)</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Ten Percent Stockholder</w:t>
      </w:r>
      <w:r>
        <w:rPr>
          <w:rFonts w:ascii="Times New Roman;Times;serif" w:hAnsi="Times New Roman;Times;serif"/>
          <w:b w:val="false"/>
          <w:i w:val="false"/>
          <w:caps w:val="false"/>
          <w:smallCaps w:val="false"/>
          <w:color w:val="000000"/>
          <w:spacing w:val="4"/>
          <w:sz w:val="20"/>
        </w:rPr>
        <w:t xml:space="preserve">” means a person who Owns (or is deemed to Own pursuant to Section 424(d) of the Code) stock possessing more than 10% of the total combined voting power of all classes of stock of the Company or any Affiliate.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(ppp)</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Trading Policy</w:t>
      </w:r>
      <w:r>
        <w:rPr>
          <w:rFonts w:ascii="Times New Roman;Times;serif" w:hAnsi="Times New Roman;Times;serif"/>
          <w:b w:val="false"/>
          <w:i w:val="false"/>
          <w:caps w:val="false"/>
          <w:smallCaps w:val="false"/>
          <w:color w:val="000000"/>
          <w:spacing w:val="4"/>
          <w:sz w:val="20"/>
        </w:rPr>
        <w:t>” means the Company’s policy permitting certain individuals to sell Company shares only during certain “window” periods and/or otherwise restricts the ability of certain individuals to transfer or encumber Company shares, as in effect from time to time.</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094038/000110465920032463/tm205467-1_10k.htm" TargetMode="External"/><Relationship Id="rId3" Type="http://schemas.openxmlformats.org/officeDocument/2006/relationships/hyperlink" Target="http://www.sec.gov/Archives/edgar/data/1094038/000110465920048175/tm2013946-2_def14a.htm" TargetMode="External"/><Relationship Id="rId4" Type="http://schemas.openxmlformats.org/officeDocument/2006/relationships/hyperlink" Target="http://www.sec.gov/Archives/edgar/data/1094038/000110465920059515/tm2014593d1_10q.htm" TargetMode="External"/><Relationship Id="rId5" Type="http://schemas.openxmlformats.org/officeDocument/2006/relationships/hyperlink" Target="http://www.sec.gov/Archives/edgar/data/1094038/000110465920015276/tm207425d1_8k.htm" TargetMode="External"/><Relationship Id="rId6" Type="http://schemas.openxmlformats.org/officeDocument/2006/relationships/hyperlink" Target="http://www.sec.gov/Archives/edgar/data/1094038/000110465920027550/tm2011380d1_8k.htm" TargetMode="External"/><Relationship Id="rId7" Type="http://schemas.openxmlformats.org/officeDocument/2006/relationships/hyperlink" Target="http://www.sec.gov/Archives/edgar/data/1094038/000110465920053395/tm2018132-1_8k.htm" TargetMode="External"/><Relationship Id="rId8" Type="http://schemas.openxmlformats.org/officeDocument/2006/relationships/hyperlink" Target="http://www.sec.gov/Archives/edgar/data/1094038/000110465920064746/tm2020584d1_8k.htm" TargetMode="External"/><Relationship Id="rId9" Type="http://schemas.openxmlformats.org/officeDocument/2006/relationships/hyperlink" Target="http://www.sec.gov/Archives/edgar/data/1094038/000110465920067357/tm2021337d1_8k.htm" TargetMode="External"/><Relationship Id="rId10" Type="http://schemas.openxmlformats.org/officeDocument/2006/relationships/hyperlink" Target="http://www.sec.gov/Archives/edgar/data/1094038/000114420416131272/v452031_8a12b.htm" TargetMode="External"/><Relationship Id="rId11" Type="http://schemas.openxmlformats.org/officeDocument/2006/relationships/hyperlink" Target="http://www.sec.gov/Archives/edgar/data/1094038/000114420418054210/tv504949_ex4-1.htm" TargetMode="External"/><Relationship Id="rId12" Type="http://schemas.openxmlformats.org/officeDocument/2006/relationships/hyperlink" Target="http://www.sec.gov/Archives/edgar/data/1094038/000114420418054210/tv504949_ex4-1.htm" TargetMode="External"/><Relationship Id="rId13" Type="http://schemas.openxmlformats.org/officeDocument/2006/relationships/hyperlink" Target="http://www.sec.gov/Archives/edgar/data/1094038/000114420418054210/tv504949_ex4-1.htm" TargetMode="External"/><Relationship Id="rId14" Type="http://schemas.openxmlformats.org/officeDocument/2006/relationships/hyperlink" Target="http://www.sec.gov/Archives/edgar/data/1094038/000114420418054210/tv504949_ex4-1.htm" TargetMode="External"/><Relationship Id="rId15" Type="http://schemas.openxmlformats.org/officeDocument/2006/relationships/hyperlink" Target="http://www.sec.gov/Archives/edgar/data/1094038/000114420418054210/tv504949_ex4-1.htm" TargetMode="External"/><Relationship Id="rId16" Type="http://schemas.openxmlformats.org/officeDocument/2006/relationships/hyperlink" Target="http://www.sec.gov/Archives/edgar/data/1094038/000114420418054210/tv504949_ex4-1.htm" TargetMode="External"/><Relationship Id="rId17" Type="http://schemas.openxmlformats.org/officeDocument/2006/relationships/hyperlink" Target="http://www.sec.gov/Archives/edgar/data/1094038/000142488414000086/exhibit4-1.htm" TargetMode="External"/><Relationship Id="rId18" Type="http://schemas.openxmlformats.org/officeDocument/2006/relationships/hyperlink" Target="http://www.sec.gov/Archives/edgar/data/1094038/000142488414000086/exhibit4-1.htm" TargetMode="External"/><Relationship Id="rId19" Type="http://schemas.openxmlformats.org/officeDocument/2006/relationships/hyperlink" Target="http://www.sec.gov/Archives/edgar/data/1094038/000142488414000086/exhibit4-1.htm" TargetMode="External"/><Relationship Id="rId20" Type="http://schemas.openxmlformats.org/officeDocument/2006/relationships/hyperlink" Target="http://www.sec.gov/Archives/edgar/data/1094038/000142488414000086/exhibit4-1.htm" TargetMode="External"/><Relationship Id="rId21" Type="http://schemas.openxmlformats.org/officeDocument/2006/relationships/hyperlink" Target="http://www.sec.gov/Archives/edgar/data/1094038/000142488414000086/exhibit4-1.htm" TargetMode="External"/><Relationship Id="rId22" Type="http://schemas.openxmlformats.org/officeDocument/2006/relationships/hyperlink" Target="http://www.sec.gov/Archives/edgar/data/1094038/000142488414000086/exhibit4-1.htm" TargetMode="External"/><Relationship Id="rId23" Type="http://schemas.openxmlformats.org/officeDocument/2006/relationships/hyperlink" Target="http://www.sec.gov/Archives/edgar/data/1094038/000142488415000006/exhibit4-6.htm" TargetMode="External"/><Relationship Id="rId24" Type="http://schemas.openxmlformats.org/officeDocument/2006/relationships/hyperlink" Target="http://www.sec.gov/Archives/edgar/data/1094038/000142488415000006/exhibit4-6.htm" TargetMode="External"/><Relationship Id="rId25" Type="http://schemas.openxmlformats.org/officeDocument/2006/relationships/hyperlink" Target="http://www.sec.gov/Archives/edgar/data/1094038/000142488415000006/exhibit4-6.htm" TargetMode="External"/><Relationship Id="rId26" Type="http://schemas.openxmlformats.org/officeDocument/2006/relationships/hyperlink" Target="http://www.sec.gov/Archives/edgar/data/1094038/000142488415000006/exhibit4-6.htm" TargetMode="External"/><Relationship Id="rId27" Type="http://schemas.openxmlformats.org/officeDocument/2006/relationships/hyperlink" Target="http://www.sec.gov/Archives/edgar/data/1094038/000142488415000006/exhibit4-6.htm" TargetMode="External"/><Relationship Id="rId28" Type="http://schemas.openxmlformats.org/officeDocument/2006/relationships/hyperlink" Target="http://www.sec.gov/Archives/edgar/data/1094038/000142488415000006/exhibit4-6.htm" TargetMode="External"/><Relationship Id="rId29" Type="http://schemas.openxmlformats.org/officeDocument/2006/relationships/hyperlink" Target="http://www.sec.gov/Archives/edgar/data/1094038/000142488415000006/exhibit4-8.htm" TargetMode="External"/><Relationship Id="rId30" Type="http://schemas.openxmlformats.org/officeDocument/2006/relationships/hyperlink" Target="http://www.sec.gov/Archives/edgar/data/1094038/000142488415000006/exhibit4-8.htm" TargetMode="External"/><Relationship Id="rId31" Type="http://schemas.openxmlformats.org/officeDocument/2006/relationships/hyperlink" Target="http://www.sec.gov/Archives/edgar/data/1094038/000142488415000006/exhibit4-8.htm" TargetMode="External"/><Relationship Id="rId32" Type="http://schemas.openxmlformats.org/officeDocument/2006/relationships/hyperlink" Target="http://www.sec.gov/Archives/edgar/data/1094038/000142488415000006/exhibit4-8.htm" TargetMode="External"/><Relationship Id="rId33" Type="http://schemas.openxmlformats.org/officeDocument/2006/relationships/hyperlink" Target="http://www.sec.gov/Archives/edgar/data/1094038/000142488415000006/exhibit4-8.htm" TargetMode="External"/><Relationship Id="rId34" Type="http://schemas.openxmlformats.org/officeDocument/2006/relationships/hyperlink" Target="http://www.sec.gov/Archives/edgar/data/1094038/000142488415000006/exhibit4-8.htm" TargetMode="External"/><Relationship Id="rId35" Type="http://schemas.openxmlformats.org/officeDocument/2006/relationships/hyperlink" Target="http://www.sec.gov/Archives/edgar/data/1094038/000142488415000006/exhibit4-8.htm" TargetMode="External"/><Relationship Id="rId36" Type="http://schemas.openxmlformats.org/officeDocument/2006/relationships/hyperlink" Target="http://www.sec.gov/Archives/edgar/data/1094038/000142488415000006/exhibit4-8.htm" TargetMode="External"/><Relationship Id="rId37" Type="http://schemas.openxmlformats.org/officeDocument/2006/relationships/hyperlink" Target="http://www.sec.gov/Archives/edgar/data/1094038/000142488415000006/exhibit4-8.htm" TargetMode="External"/><Relationship Id="rId38" Type="http://schemas.openxmlformats.org/officeDocument/2006/relationships/hyperlink" Target="http://www.sec.gov/Archives/edgar/data/1094038/000142488415000006/exhibit4-8.htm" TargetMode="External"/><Relationship Id="rId39" Type="http://schemas.openxmlformats.org/officeDocument/2006/relationships/hyperlink" Target="http://www.sec.gov/Archives/edgar/data/1094038/000142488415000006/exhibit4-8.htm" TargetMode="External"/><Relationship Id="rId40" Type="http://schemas.openxmlformats.org/officeDocument/2006/relationships/hyperlink" Target="http://www.sec.gov/Archives/edgar/data/1094038/000142488415000006/exhibit4-8.htm" TargetMode="External"/><Relationship Id="rId41" Type="http://schemas.openxmlformats.org/officeDocument/2006/relationships/hyperlink" Target="http://www.sec.gov/Archives/edgar/data/1094038/000142488415000006/exhibit4-10.htm" TargetMode="External"/><Relationship Id="rId42" Type="http://schemas.openxmlformats.org/officeDocument/2006/relationships/hyperlink" Target="http://www.sec.gov/Archives/edgar/data/1094038/000142488415000006/exhibit4-10.htm" TargetMode="External"/><Relationship Id="rId43" Type="http://schemas.openxmlformats.org/officeDocument/2006/relationships/hyperlink" Target="http://www.sec.gov/Archives/edgar/data/1094038/000142488415000006/exhibit4-10.htm" TargetMode="External"/><Relationship Id="rId44" Type="http://schemas.openxmlformats.org/officeDocument/2006/relationships/hyperlink" Target="http://www.sec.gov/Archives/edgar/data/1094038/000142488415000006/exhibit4-10.htm" TargetMode="External"/><Relationship Id="rId45" Type="http://schemas.openxmlformats.org/officeDocument/2006/relationships/hyperlink" Target="http://www.sec.gov/Archives/edgar/data/1094038/000142488415000006/exhibit4-10.htm" TargetMode="External"/><Relationship Id="rId46" Type="http://schemas.openxmlformats.org/officeDocument/2006/relationships/hyperlink" Target="http://www.sec.gov/Archives/edgar/data/1094038/000142488415000006/exhibit4-10.htm" TargetMode="External"/><Relationship Id="rId47" Type="http://schemas.openxmlformats.org/officeDocument/2006/relationships/hyperlink" Target="http://www.sec.gov/Archives/edgar/data/1094038/000142488415000030/exhibit4-6.htm" TargetMode="External"/><Relationship Id="rId48" Type="http://schemas.openxmlformats.org/officeDocument/2006/relationships/hyperlink" Target="http://www.sec.gov/Archives/edgar/data/1094038/000142488415000030/exhibit4-6.htm" TargetMode="External"/><Relationship Id="rId49" Type="http://schemas.openxmlformats.org/officeDocument/2006/relationships/hyperlink" Target="http://www.sec.gov/Archives/edgar/data/1094038/000142488415000030/exhibit4-6.htm" TargetMode="External"/><Relationship Id="rId50" Type="http://schemas.openxmlformats.org/officeDocument/2006/relationships/hyperlink" Target="http://www.sec.gov/Archives/edgar/data/1094038/000142488415000030/exhibit4-6.htm" TargetMode="External"/><Relationship Id="rId51" Type="http://schemas.openxmlformats.org/officeDocument/2006/relationships/hyperlink" Target="http://www.sec.gov/Archives/edgar/data/1094038/000142488415000030/exhibit4-6.htm" TargetMode="External"/><Relationship Id="rId52" Type="http://schemas.openxmlformats.org/officeDocument/2006/relationships/hyperlink" Target="http://www.sec.gov/Archives/edgar/data/1094038/000142488415000030/exhibit4-6.htm" TargetMode="External"/><Relationship Id="rId53" Type="http://schemas.openxmlformats.org/officeDocument/2006/relationships/hyperlink" Target="http://www.sec.gov/Archives/edgar/data/1094038/000142488415000030/exhibit4-10.htm" TargetMode="External"/><Relationship Id="rId54" Type="http://schemas.openxmlformats.org/officeDocument/2006/relationships/hyperlink" Target="http://www.sec.gov/Archives/edgar/data/1094038/000142488415000030/exhibit4-10.htm" TargetMode="External"/><Relationship Id="rId55" Type="http://schemas.openxmlformats.org/officeDocument/2006/relationships/hyperlink" Target="http://www.sec.gov/Archives/edgar/data/1094038/000142488415000030/exhibit4-10.htm" TargetMode="External"/><Relationship Id="rId56" Type="http://schemas.openxmlformats.org/officeDocument/2006/relationships/hyperlink" Target="http://www.sec.gov/Archives/edgar/data/1094038/000142488415000030/exhibit4-10.htm" TargetMode="External"/><Relationship Id="rId57" Type="http://schemas.openxmlformats.org/officeDocument/2006/relationships/hyperlink" Target="http://www.sec.gov/Archives/edgar/data/1094038/000142488415000030/exhibit4-10.htm" TargetMode="External"/><Relationship Id="rId58" Type="http://schemas.openxmlformats.org/officeDocument/2006/relationships/hyperlink" Target="http://www.sec.gov/Archives/edgar/data/1094038/000142488415000030/exhibit4-10.htm" TargetMode="External"/><Relationship Id="rId59" Type="http://schemas.openxmlformats.org/officeDocument/2006/relationships/hyperlink" Target="http://www.sec.gov/Archives/edgar/data/1094038/000119312516678673/d161424dex42.htm" TargetMode="External"/><Relationship Id="rId60" Type="http://schemas.openxmlformats.org/officeDocument/2006/relationships/hyperlink" Target="http://www.sec.gov/Archives/edgar/data/1094038/000119312516678673/d161424dex42.htm" TargetMode="External"/><Relationship Id="rId61" Type="http://schemas.openxmlformats.org/officeDocument/2006/relationships/hyperlink" Target="http://www.sec.gov/Archives/edgar/data/1094038/000119312516678673/d161424dex42.htm" TargetMode="External"/><Relationship Id="rId62" Type="http://schemas.openxmlformats.org/officeDocument/2006/relationships/hyperlink" Target="http://www.sec.gov/Archives/edgar/data/1094038/000119312516678673/d161424dex42.htm" TargetMode="External"/><Relationship Id="rId63" Type="http://schemas.openxmlformats.org/officeDocument/2006/relationships/hyperlink" Target="http://www.sec.gov/Archives/edgar/data/1094038/000119312516678673/d161424dex42.htm" TargetMode="External"/><Relationship Id="rId64" Type="http://schemas.openxmlformats.org/officeDocument/2006/relationships/hyperlink" Target="http://www.sec.gov/Archives/edgar/data/1094038/000119312516678673/d161424dex42.htm" TargetMode="External"/><Relationship Id="rId65" Type="http://schemas.openxmlformats.org/officeDocument/2006/relationships/hyperlink" Target="http://www.sec.gov/Archives/edgar/data/1094038/000119312516678673/d161424dex43.htm" TargetMode="External"/><Relationship Id="rId66" Type="http://schemas.openxmlformats.org/officeDocument/2006/relationships/hyperlink" Target="http://www.sec.gov/Archives/edgar/data/1094038/000119312516678673/d161424dex43.htm" TargetMode="External"/><Relationship Id="rId67" Type="http://schemas.openxmlformats.org/officeDocument/2006/relationships/hyperlink" Target="http://www.sec.gov/Archives/edgar/data/1094038/000119312516678673/d161424dex43.htm" TargetMode="External"/><Relationship Id="rId68" Type="http://schemas.openxmlformats.org/officeDocument/2006/relationships/hyperlink" Target="http://www.sec.gov/Archives/edgar/data/1094038/000119312516678673/d161424dex43.htm" TargetMode="External"/><Relationship Id="rId69" Type="http://schemas.openxmlformats.org/officeDocument/2006/relationships/hyperlink" Target="http://www.sec.gov/Archives/edgar/data/1094038/000119312516678673/d161424dex43.htm" TargetMode="External"/><Relationship Id="rId70" Type="http://schemas.openxmlformats.org/officeDocument/2006/relationships/hyperlink" Target="http://www.sec.gov/Archives/edgar/data/1094038/000119312516678673/d161424dex43.htm" TargetMode="External"/><Relationship Id="rId71" Type="http://schemas.openxmlformats.org/officeDocument/2006/relationships/hyperlink" Target="http://www.sec.gov/Archives/edgar/data/1094038/000119312516678673/d161424dex44.htm" TargetMode="External"/><Relationship Id="rId72" Type="http://schemas.openxmlformats.org/officeDocument/2006/relationships/hyperlink" Target="http://www.sec.gov/Archives/edgar/data/1094038/000119312516678673/d161424dex44.htm" TargetMode="External"/><Relationship Id="rId73" Type="http://schemas.openxmlformats.org/officeDocument/2006/relationships/hyperlink" Target="http://www.sec.gov/Archives/edgar/data/1094038/000119312516678673/d161424dex44.htm" TargetMode="External"/><Relationship Id="rId74" Type="http://schemas.openxmlformats.org/officeDocument/2006/relationships/hyperlink" Target="http://www.sec.gov/Archives/edgar/data/1094038/000119312516678673/d161424dex44.htm" TargetMode="External"/><Relationship Id="rId75" Type="http://schemas.openxmlformats.org/officeDocument/2006/relationships/hyperlink" Target="http://www.sec.gov/Archives/edgar/data/1094038/000119312516678673/d161424dex44.htm" TargetMode="External"/><Relationship Id="rId76" Type="http://schemas.openxmlformats.org/officeDocument/2006/relationships/hyperlink" Target="http://www.sec.gov/Archives/edgar/data/1094038/000119312516678673/d161424dex44.htm" TargetMode="External"/><Relationship Id="rId77" Type="http://schemas.openxmlformats.org/officeDocument/2006/relationships/hyperlink" Target="http://www.sec.gov/Archives/edgar/data/1094038/000119312516678673/d161424dex45.htm" TargetMode="External"/><Relationship Id="rId78" Type="http://schemas.openxmlformats.org/officeDocument/2006/relationships/hyperlink" Target="http://www.sec.gov/Archives/edgar/data/1094038/000119312516678673/d161424dex45.htm" TargetMode="External"/><Relationship Id="rId79" Type="http://schemas.openxmlformats.org/officeDocument/2006/relationships/hyperlink" Target="http://www.sec.gov/Archives/edgar/data/1094038/000119312516678673/d161424dex45.htm" TargetMode="External"/><Relationship Id="rId80" Type="http://schemas.openxmlformats.org/officeDocument/2006/relationships/hyperlink" Target="http://www.sec.gov/Archives/edgar/data/1094038/000119312516678673/d161424dex45.htm" TargetMode="External"/><Relationship Id="rId81" Type="http://schemas.openxmlformats.org/officeDocument/2006/relationships/hyperlink" Target="http://www.sec.gov/Archives/edgar/data/1094038/000119312516678673/d161424dex45.htm" TargetMode="External"/><Relationship Id="rId82" Type="http://schemas.openxmlformats.org/officeDocument/2006/relationships/hyperlink" Target="http://www.sec.gov/Archives/edgar/data/1094038/000119312516678673/d161424dex45.htm" TargetMode="External"/><Relationship Id="rId83" Type="http://schemas.openxmlformats.org/officeDocument/2006/relationships/hyperlink" Target="http://www.sec.gov/Archives/edgar/data/1094038/000119312516678673/d161424dex46.htm" TargetMode="External"/><Relationship Id="rId84" Type="http://schemas.openxmlformats.org/officeDocument/2006/relationships/hyperlink" Target="http://www.sec.gov/Archives/edgar/data/1094038/000119312516678673/d161424dex46.htm" TargetMode="External"/><Relationship Id="rId85" Type="http://schemas.openxmlformats.org/officeDocument/2006/relationships/hyperlink" Target="http://www.sec.gov/Archives/edgar/data/1094038/000119312516678673/d161424dex46.htm" TargetMode="External"/><Relationship Id="rId86" Type="http://schemas.openxmlformats.org/officeDocument/2006/relationships/hyperlink" Target="http://www.sec.gov/Archives/edgar/data/1094038/000119312516678673/d161424dex46.htm" TargetMode="External"/><Relationship Id="rId87" Type="http://schemas.openxmlformats.org/officeDocument/2006/relationships/hyperlink" Target="http://www.sec.gov/Archives/edgar/data/1094038/000119312516678673/d161424dex46.htm" TargetMode="External"/><Relationship Id="rId88" Type="http://schemas.openxmlformats.org/officeDocument/2006/relationships/hyperlink" Target="http://www.sec.gov/Archives/edgar/data/1094038/000119312516678673/d161424dex46.htm" TargetMode="External"/><Relationship Id="rId89" Type="http://schemas.openxmlformats.org/officeDocument/2006/relationships/hyperlink" Target="http://www.sec.gov/Archives/edgar/data/1094038/000119312516678673/d161424dex47.htm" TargetMode="External"/><Relationship Id="rId90" Type="http://schemas.openxmlformats.org/officeDocument/2006/relationships/hyperlink" Target="http://www.sec.gov/Archives/edgar/data/1094038/000119312516678673/d161424dex47.htm" TargetMode="External"/><Relationship Id="rId91" Type="http://schemas.openxmlformats.org/officeDocument/2006/relationships/hyperlink" Target="http://www.sec.gov/Archives/edgar/data/1094038/000119312516678673/d161424dex47.htm" TargetMode="External"/><Relationship Id="rId92" Type="http://schemas.openxmlformats.org/officeDocument/2006/relationships/hyperlink" Target="http://www.sec.gov/Archives/edgar/data/1094038/000119312516678673/d161424dex47.htm" TargetMode="External"/><Relationship Id="rId93" Type="http://schemas.openxmlformats.org/officeDocument/2006/relationships/hyperlink" Target="http://www.sec.gov/Archives/edgar/data/1094038/000119312516678673/d161424dex47.htm" TargetMode="External"/><Relationship Id="rId94" Type="http://schemas.openxmlformats.org/officeDocument/2006/relationships/hyperlink" Target="http://www.sec.gov/Archives/edgar/data/1094038/000119312516678673/d161424dex47.htm" TargetMode="External"/><Relationship Id="rId95" Type="http://schemas.openxmlformats.org/officeDocument/2006/relationships/hyperlink" Target="http://www.sec.gov/Archives/edgar/data/1094038/000119312516678673/d161424dex49.htm" TargetMode="External"/><Relationship Id="rId96" Type="http://schemas.openxmlformats.org/officeDocument/2006/relationships/hyperlink" Target="http://www.sec.gov/Archives/edgar/data/1094038/000119312516678673/d161424dex49.htm" TargetMode="External"/><Relationship Id="rId97" Type="http://schemas.openxmlformats.org/officeDocument/2006/relationships/hyperlink" Target="http://www.sec.gov/Archives/edgar/data/1094038/000119312516678673/d161424dex49.htm" TargetMode="External"/><Relationship Id="rId98" Type="http://schemas.openxmlformats.org/officeDocument/2006/relationships/hyperlink" Target="http://www.sec.gov/Archives/edgar/data/1094038/000119312516678673/d161424dex49.htm" TargetMode="External"/><Relationship Id="rId99" Type="http://schemas.openxmlformats.org/officeDocument/2006/relationships/hyperlink" Target="http://www.sec.gov/Archives/edgar/data/1094038/000119312516678673/d161424dex49.htm" TargetMode="External"/><Relationship Id="rId100" Type="http://schemas.openxmlformats.org/officeDocument/2006/relationships/hyperlink" Target="http://www.sec.gov/Archives/edgar/data/1094038/000119312516678673/d161424dex49.htm" TargetMode="External"/><Relationship Id="rId101" Type="http://schemas.openxmlformats.org/officeDocument/2006/relationships/hyperlink" Target="http://www.sec.gov/Archives/edgar/data/1094038/000119312516678673/d161424dex410.htm" TargetMode="External"/><Relationship Id="rId102" Type="http://schemas.openxmlformats.org/officeDocument/2006/relationships/hyperlink" Target="http://www.sec.gov/Archives/edgar/data/1094038/000119312516678673/d161424dex410.htm" TargetMode="External"/><Relationship Id="rId103" Type="http://schemas.openxmlformats.org/officeDocument/2006/relationships/hyperlink" Target="http://www.sec.gov/Archives/edgar/data/1094038/000119312516678673/d161424dex410.htm" TargetMode="External"/><Relationship Id="rId104" Type="http://schemas.openxmlformats.org/officeDocument/2006/relationships/hyperlink" Target="http://www.sec.gov/Archives/edgar/data/1094038/000119312516678673/d161424dex410.htm" TargetMode="External"/><Relationship Id="rId105" Type="http://schemas.openxmlformats.org/officeDocument/2006/relationships/hyperlink" Target="http://www.sec.gov/Archives/edgar/data/1094038/000119312516678673/d161424dex410.htm" TargetMode="External"/><Relationship Id="rId106" Type="http://schemas.openxmlformats.org/officeDocument/2006/relationships/hyperlink" Target="http://www.sec.gov/Archives/edgar/data/1094038/000119312516678673/d161424dex410.htm" TargetMode="External"/><Relationship Id="rId107" Type="http://schemas.openxmlformats.org/officeDocument/2006/relationships/hyperlink" Target="http://www.sec.gov/Archives/edgar/data/1094038/000119312516678673/d161424dex41.htm" TargetMode="External"/><Relationship Id="rId108" Type="http://schemas.openxmlformats.org/officeDocument/2006/relationships/hyperlink" Target="http://www.sec.gov/Archives/edgar/data/1094038/000119312516678673/d161424dex41.htm" TargetMode="External"/><Relationship Id="rId109" Type="http://schemas.openxmlformats.org/officeDocument/2006/relationships/hyperlink" Target="http://www.sec.gov/Archives/edgar/data/1094038/000119312516678673/d161424dex41.htm" TargetMode="External"/><Relationship Id="rId110" Type="http://schemas.openxmlformats.org/officeDocument/2006/relationships/hyperlink" Target="http://www.sec.gov/Archives/edgar/data/1094038/000119312516678673/d161424dex41.htm" TargetMode="External"/><Relationship Id="rId111" Type="http://schemas.openxmlformats.org/officeDocument/2006/relationships/hyperlink" Target="http://www.sec.gov/Archives/edgar/data/1094038/000119312516678673/d161424dex41.htm" TargetMode="External"/><Relationship Id="rId112" Type="http://schemas.openxmlformats.org/officeDocument/2006/relationships/hyperlink" Target="http://www.sec.gov/Archives/edgar/data/1094038/000119312516678673/d161424dex41.htm" TargetMode="External"/><Relationship Id="rId113" Type="http://schemas.openxmlformats.org/officeDocument/2006/relationships/hyperlink" Target="http://www.sec.gov/Archives/edgar/data/1094038/000119312516678673/d161424dex411.htm" TargetMode="External"/><Relationship Id="rId114" Type="http://schemas.openxmlformats.org/officeDocument/2006/relationships/hyperlink" Target="http://www.sec.gov/Archives/edgar/data/1094038/000119312516678673/d161424dex411.htm" TargetMode="External"/><Relationship Id="rId115" Type="http://schemas.openxmlformats.org/officeDocument/2006/relationships/hyperlink" Target="http://www.sec.gov/Archives/edgar/data/1094038/000119312516678673/d161424dex411.htm" TargetMode="External"/><Relationship Id="rId116" Type="http://schemas.openxmlformats.org/officeDocument/2006/relationships/hyperlink" Target="http://www.sec.gov/Archives/edgar/data/1094038/000119312516678673/d161424dex411.htm" TargetMode="External"/><Relationship Id="rId117" Type="http://schemas.openxmlformats.org/officeDocument/2006/relationships/hyperlink" Target="http://www.sec.gov/Archives/edgar/data/1094038/000119312516678673/d161424dex411.htm" TargetMode="External"/><Relationship Id="rId118" Type="http://schemas.openxmlformats.org/officeDocument/2006/relationships/hyperlink" Target="http://www.sec.gov/Archives/edgar/data/1094038/000119312516678673/d161424dex411.htm" TargetMode="External"/><Relationship Id="rId119" Type="http://schemas.openxmlformats.org/officeDocument/2006/relationships/hyperlink" Target="http://www.sec.gov/Archives/edgar/data/1094038/000114420417033502/v469341_ex4-1.htm" TargetMode="External"/><Relationship Id="rId120" Type="http://schemas.openxmlformats.org/officeDocument/2006/relationships/hyperlink" Target="http://www.sec.gov/Archives/edgar/data/1094038/000114420417033502/v469341_ex4-1.htm" TargetMode="External"/><Relationship Id="rId121" Type="http://schemas.openxmlformats.org/officeDocument/2006/relationships/hyperlink" Target="http://www.sec.gov/Archives/edgar/data/1094038/000114420417033502/v469341_ex4-1.htm" TargetMode="External"/><Relationship Id="rId122" Type="http://schemas.openxmlformats.org/officeDocument/2006/relationships/hyperlink" Target="http://www.sec.gov/Archives/edgar/data/1094038/000114420417033502/v469341_ex4-1.htm" TargetMode="External"/><Relationship Id="rId123" Type="http://schemas.openxmlformats.org/officeDocument/2006/relationships/hyperlink" Target="http://www.sec.gov/Archives/edgar/data/1094038/000114420417033502/v469341_ex4-1.htm" TargetMode="External"/><Relationship Id="rId124" Type="http://schemas.openxmlformats.org/officeDocument/2006/relationships/hyperlink" Target="http://www.sec.gov/Archives/edgar/data/1094038/000114420417033502/v469341_ex4-1.htm" TargetMode="External"/><Relationship Id="rId125" Type="http://schemas.openxmlformats.org/officeDocument/2006/relationships/hyperlink" Target="http://www.sec.gov/Archives/edgar/data/1094038/000114420417033502/v469341_ex4-2.htm" TargetMode="External"/><Relationship Id="rId126" Type="http://schemas.openxmlformats.org/officeDocument/2006/relationships/hyperlink" Target="http://www.sec.gov/Archives/edgar/data/1094038/000114420417033502/v469341_ex4-2.htm" TargetMode="External"/><Relationship Id="rId127" Type="http://schemas.openxmlformats.org/officeDocument/2006/relationships/hyperlink" Target="http://www.sec.gov/Archives/edgar/data/1094038/000114420417033502/v469341_ex4-2.htm" TargetMode="External"/><Relationship Id="rId128" Type="http://schemas.openxmlformats.org/officeDocument/2006/relationships/hyperlink" Target="http://www.sec.gov/Archives/edgar/data/1094038/000114420417033502/v469341_ex4-2.htm" TargetMode="External"/><Relationship Id="rId129" Type="http://schemas.openxmlformats.org/officeDocument/2006/relationships/hyperlink" Target="http://www.sec.gov/Archives/edgar/data/1094038/000114420417033502/v469341_ex4-2.htm" TargetMode="External"/><Relationship Id="rId130" Type="http://schemas.openxmlformats.org/officeDocument/2006/relationships/hyperlink" Target="http://www.sec.gov/Archives/edgar/data/1094038/000114420417033502/v469341_ex4-2.htm" TargetMode="External"/><Relationship Id="rId131" Type="http://schemas.openxmlformats.org/officeDocument/2006/relationships/hyperlink" Target="http://www.sec.gov/Archives/edgar/data/1094038/000119312516678673/d161424dex103.htm" TargetMode="External"/><Relationship Id="rId132" Type="http://schemas.openxmlformats.org/officeDocument/2006/relationships/hyperlink" Target="http://www.sec.gov/Archives/edgar/data/1094038/000119312516678673/d161424dex103.htm" TargetMode="External"/><Relationship Id="rId133" Type="http://schemas.openxmlformats.org/officeDocument/2006/relationships/hyperlink" Target="http://www.sec.gov/Archives/edgar/data/1094038/000119312516678673/d161424dex103.htm" TargetMode="External"/><Relationship Id="rId134" Type="http://schemas.openxmlformats.org/officeDocument/2006/relationships/hyperlink" Target="http://www.sec.gov/Archives/edgar/data/1094038/000119312516678673/d161424dex103.htm" TargetMode="External"/><Relationship Id="rId135" Type="http://schemas.openxmlformats.org/officeDocument/2006/relationships/hyperlink" Target="http://www.sec.gov/Archives/edgar/data/1094038/000119312516678673/d161424dex103.htm" TargetMode="External"/><Relationship Id="rId136" Type="http://schemas.openxmlformats.org/officeDocument/2006/relationships/hyperlink" Target="http://www.sec.gov/Archives/edgar/data/1094038/000119312516678673/d161424dex103.htm" TargetMode="External"/><Relationship Id="rId137" Type="http://schemas.openxmlformats.org/officeDocument/2006/relationships/hyperlink" Target="http://www.sec.gov/Archives/edgar/data/1094038/000114420417033502/v469341_ex10-3.htm" TargetMode="External"/><Relationship Id="rId138" Type="http://schemas.openxmlformats.org/officeDocument/2006/relationships/hyperlink" Target="http://www.sec.gov/Archives/edgar/data/1094038/000114420417033502/v469341_ex10-3.htm" TargetMode="External"/><Relationship Id="rId139" Type="http://schemas.openxmlformats.org/officeDocument/2006/relationships/hyperlink" Target="http://www.sec.gov/Archives/edgar/data/1094038/000114420417033502/v469341_ex10-3.htm" TargetMode="External"/><Relationship Id="rId140" Type="http://schemas.openxmlformats.org/officeDocument/2006/relationships/hyperlink" Target="http://www.sec.gov/Archives/edgar/data/1094038/000114420417033502/v469341_ex10-3.htm" TargetMode="External"/><Relationship Id="rId141" Type="http://schemas.openxmlformats.org/officeDocument/2006/relationships/hyperlink" Target="http://www.sec.gov/Archives/edgar/data/1094038/000114420417033502/v469341_ex10-3.htm" TargetMode="External"/><Relationship Id="rId142" Type="http://schemas.openxmlformats.org/officeDocument/2006/relationships/hyperlink" Target="http://www.sec.gov/Archives/edgar/data/1094038/000114420417033502/v469341_ex10-3.htm" TargetMode="External"/><Relationship Id="rId143" Type="http://schemas.openxmlformats.org/officeDocument/2006/relationships/hyperlink" Target="http://www.sec.gov/Archives/edgar/data/1094038/000114420418033374/tv496182_ex4-1.htm" TargetMode="External"/><Relationship Id="rId144" Type="http://schemas.openxmlformats.org/officeDocument/2006/relationships/hyperlink" Target="http://www.sec.gov/Archives/edgar/data/1094038/000114420418033374/tv496182_ex4-1.htm" TargetMode="External"/><Relationship Id="rId145" Type="http://schemas.openxmlformats.org/officeDocument/2006/relationships/hyperlink" Target="http://www.sec.gov/Archives/edgar/data/1094038/000114420418033374/tv496182_ex4-1.htm" TargetMode="External"/><Relationship Id="rId146" Type="http://schemas.openxmlformats.org/officeDocument/2006/relationships/hyperlink" Target="http://www.sec.gov/Archives/edgar/data/1094038/000114420418033374/tv496182_ex4-1.htm" TargetMode="External"/><Relationship Id="rId147" Type="http://schemas.openxmlformats.org/officeDocument/2006/relationships/hyperlink" Target="http://www.sec.gov/Archives/edgar/data/1094038/000114420418033374/tv496182_ex4-1.htm" TargetMode="External"/><Relationship Id="rId148" Type="http://schemas.openxmlformats.org/officeDocument/2006/relationships/hyperlink" Target="http://www.sec.gov/Archives/edgar/data/1094038/000114420418033374/tv496182_ex4-1.htm" TargetMode="External"/><Relationship Id="rId149" Type="http://schemas.openxmlformats.org/officeDocument/2006/relationships/hyperlink" Target="http://www.sec.gov/Archives/edgar/data/1094038/000114420418033374/tv496182_ex4-2.htm" TargetMode="External"/><Relationship Id="rId150" Type="http://schemas.openxmlformats.org/officeDocument/2006/relationships/hyperlink" Target="http://www.sec.gov/Archives/edgar/data/1094038/000114420418033374/tv496182_ex4-2.htm" TargetMode="External"/><Relationship Id="rId151" Type="http://schemas.openxmlformats.org/officeDocument/2006/relationships/hyperlink" Target="http://www.sec.gov/Archives/edgar/data/1094038/000114420418033374/tv496182_ex4-2.htm" TargetMode="External"/><Relationship Id="rId152" Type="http://schemas.openxmlformats.org/officeDocument/2006/relationships/hyperlink" Target="http://www.sec.gov/Archives/edgar/data/1094038/000114420418033374/tv496182_ex4-2.htm" TargetMode="External"/><Relationship Id="rId153" Type="http://schemas.openxmlformats.org/officeDocument/2006/relationships/hyperlink" Target="http://www.sec.gov/Archives/edgar/data/1094038/000114420418033374/tv496182_ex4-2.htm" TargetMode="External"/><Relationship Id="rId154" Type="http://schemas.openxmlformats.org/officeDocument/2006/relationships/hyperlink" Target="http://www.sec.gov/Archives/edgar/data/1094038/000114420418033374/tv496182_ex4-2.htm" TargetMode="External"/><Relationship Id="rId155" Type="http://schemas.openxmlformats.org/officeDocument/2006/relationships/hyperlink" Target="http://www.sec.gov/Archives/edgar/data/1094038/000114420418028370/tv494002_ex2-1.htm" TargetMode="External"/><Relationship Id="rId156" Type="http://schemas.openxmlformats.org/officeDocument/2006/relationships/hyperlink" Target="http://www.sec.gov/Archives/edgar/data/1094038/000114420418028370/tv494002_ex2-1.htm" TargetMode="External"/><Relationship Id="rId157" Type="http://schemas.openxmlformats.org/officeDocument/2006/relationships/hyperlink" Target="http://www.sec.gov/Archives/edgar/data/1094038/000114420418028370/tv494002_ex2-1.htm" TargetMode="External"/><Relationship Id="rId158" Type="http://schemas.openxmlformats.org/officeDocument/2006/relationships/hyperlink" Target="http://www.sec.gov/Archives/edgar/data/1094038/000114420418028370/tv494002_ex2-1.htm" TargetMode="External"/><Relationship Id="rId159" Type="http://schemas.openxmlformats.org/officeDocument/2006/relationships/hyperlink" Target="http://www.sec.gov/Archives/edgar/data/1094038/000114420418028370/tv494002_ex2-1.htm" TargetMode="External"/><Relationship Id="rId160" Type="http://schemas.openxmlformats.org/officeDocument/2006/relationships/hyperlink" Target="http://www.sec.gov/Archives/edgar/data/1094038/000114420418028370/tv494002_ex2-1.htm" TargetMode="External"/><Relationship Id="rId161" Type="http://schemas.openxmlformats.org/officeDocument/2006/relationships/hyperlink" Target="http://www.sec.gov/Archives/edgar/data/1094038/000110465920032463/tm205467d1_ex4-25.htm" TargetMode="External"/><Relationship Id="rId162" Type="http://schemas.openxmlformats.org/officeDocument/2006/relationships/hyperlink" Target="http://www.sec.gov/Archives/edgar/data/1094038/000110465920032463/tm205467d1_ex4-25.htm" TargetMode="External"/><Relationship Id="rId163" Type="http://schemas.openxmlformats.org/officeDocument/2006/relationships/hyperlink" Target="http://www.sec.gov/Archives/edgar/data/1094038/000110465920032463/tm205467d1_ex4-25.htm" TargetMode="External"/><Relationship Id="rId164" Type="http://schemas.openxmlformats.org/officeDocument/2006/relationships/hyperlink" Target="http://www.sec.gov/Archives/edgar/data/1094038/000110465920032463/tm205467d1_ex4-25.htm" TargetMode="External"/><Relationship Id="rId165" Type="http://schemas.openxmlformats.org/officeDocument/2006/relationships/hyperlink" Target="http://www.sec.gov/Archives/edgar/data/1094038/000110465920032463/tm205467d1_ex4-25.htm" TargetMode="External"/><Relationship Id="rId166" Type="http://schemas.openxmlformats.org/officeDocument/2006/relationships/hyperlink" Target="http://www.sec.gov/Archives/edgar/data/1094038/000110465920032463/tm205467d1_ex4-25.htm" TargetMode="External"/><Relationship Id="rId167" Type="http://schemas.openxmlformats.org/officeDocument/2006/relationships/image" Target="media/image1.jpeg"/><Relationship Id="rId168" Type="http://schemas.openxmlformats.org/officeDocument/2006/relationships/image" Target="media/image2.jpeg"/><Relationship Id="rId169" Type="http://schemas.openxmlformats.org/officeDocument/2006/relationships/fontTable" Target="fontTable.xml"/><Relationship Id="rId17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19920</Words>
  <CharactersWithSpaces>125083</CharactersWithSpaces>
  <Paragraphs>1106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