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forddef14-c.htm"/>
      <w:bookmarkStart w:id="1" w:name="ksforddef14c"/>
      <w:bookmarkEnd w:id="0"/>
      <w:bookmarkEnd w:id="1"/>
      <w:r>
        <w:rPr/>
        <w:t> </w:t>
      </w:r>
    </w:p>
    <w:p>
      <w:pPr>
        <w:pStyle w:val="TextBody"/>
        <w:spacing w:before="0" w:after="0"/>
        <w:rPr/>
      </w:pPr>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SCHEDULE 14C</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Information Statement Pursuant to Section 14(c)</w:t>
      </w:r>
    </w:p>
    <w:p>
      <w:pPr>
        <w:pStyle w:val="TextBody"/>
        <w:spacing w:before="0" w:after="0"/>
        <w:ind w:left="0" w:right="0" w:hanging="0"/>
        <w:jc w:val="center"/>
        <w:rPr>
          <w:rFonts w:ascii="Times New Roman" w:hAnsi="Times New Roman"/>
          <w:b/>
          <w:sz w:val="20"/>
        </w:rPr>
      </w:pPr>
      <w:r>
        <w:rPr>
          <w:rFonts w:ascii="Times New Roman" w:hAnsi="Times New Roman"/>
          <w:b/>
          <w:sz w:val="20"/>
        </w:rPr>
        <w:t>of the Securities Exchange Act of 1934</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91"/>
        <w:gridCol w:w="9814"/>
      </w:tblGrid>
      <w:tr>
        <w:trPr/>
        <w:tc>
          <w:tcPr>
            <w:tcW w:w="10205"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Check the appropriate box:</w:t>
            </w:r>
          </w:p>
        </w:tc>
      </w:tr>
      <w:tr>
        <w:trPr/>
        <w:tc>
          <w:tcPr>
            <w:tcW w:w="391" w:type="dxa"/>
            <w:tcBorders/>
            <w:shd w:fill="auto" w:val="clear"/>
          </w:tcPr>
          <w:p>
            <w:pPr>
              <w:pStyle w:val="TableContents"/>
              <w:spacing w:before="0" w:after="283"/>
              <w:jc w:val="left"/>
              <w:rPr/>
            </w:pPr>
            <w:r>
              <w:rPr/>
              <w:t xml:space="preserve">  </w:t>
            </w:r>
          </w:p>
        </w:tc>
        <w:tc>
          <w:tcPr>
            <w:tcW w:w="9814" w:type="dxa"/>
            <w:tcBorders/>
            <w:shd w:fill="auto" w:val="clear"/>
          </w:tcPr>
          <w:p>
            <w:pPr>
              <w:pStyle w:val="TableContents"/>
              <w:spacing w:before="0" w:after="283"/>
              <w:jc w:val="left"/>
              <w:rPr/>
            </w:pPr>
            <w:r>
              <w:rPr/>
              <w:t xml:space="preserve">  </w:t>
            </w:r>
          </w:p>
        </w:tc>
      </w:tr>
      <w:tr>
        <w:trPr/>
        <w:tc>
          <w:tcPr>
            <w:tcW w:w="39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X</w:t>
            </w:r>
          </w:p>
        </w:tc>
        <w:tc>
          <w:tcPr>
            <w:tcW w:w="981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Preliminary Information Statement</w:t>
            </w:r>
          </w:p>
        </w:tc>
      </w:tr>
      <w:tr>
        <w:trPr/>
        <w:tc>
          <w:tcPr>
            <w:tcW w:w="391" w:type="dxa"/>
            <w:tcBorders/>
            <w:shd w:fill="auto" w:val="clear"/>
          </w:tcPr>
          <w:p>
            <w:pPr>
              <w:pStyle w:val="TableContents"/>
              <w:spacing w:before="0" w:after="0"/>
              <w:ind w:left="0" w:right="0" w:hanging="0"/>
              <w:jc w:val="left"/>
              <w:rPr/>
            </w:pPr>
            <w:r>
              <w:rPr/>
              <w:t>□</w:t>
            </w:r>
          </w:p>
        </w:tc>
        <w:tc>
          <w:tcPr>
            <w:tcW w:w="981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Confidential, for Use of the Commission Only (as permitted by Rule 14c-5(d)(2))</w:t>
            </w:r>
          </w:p>
        </w:tc>
      </w:tr>
      <w:tr>
        <w:trPr/>
        <w:tc>
          <w:tcPr>
            <w:tcW w:w="391" w:type="dxa"/>
            <w:tcBorders/>
            <w:shd w:fill="auto" w:val="clear"/>
          </w:tcPr>
          <w:p>
            <w:pPr>
              <w:pStyle w:val="TableContents"/>
              <w:spacing w:before="0" w:after="0"/>
              <w:ind w:left="0" w:right="0" w:hanging="0"/>
              <w:jc w:val="left"/>
              <w:rPr/>
            </w:pPr>
            <w:r>
              <w:rPr/>
              <w:t>□</w:t>
            </w:r>
          </w:p>
        </w:tc>
        <w:tc>
          <w:tcPr>
            <w:tcW w:w="981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Definitive Information Statement</w:t>
            </w:r>
          </w:p>
        </w:tc>
      </w:tr>
    </w:tbl>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(Name of Registrant as Specified in the Charter)</w:t>
      </w:r>
    </w:p>
    <w:p>
      <w:pPr>
        <w:pStyle w:val="TextBody"/>
        <w:spacing w:before="0" w:after="0"/>
        <w:ind w:left="0" w:right="0" w:hanging="0"/>
        <w:jc w:val="center"/>
        <w:rPr/>
      </w:pPr>
      <w:r>
        <w:rPr/>
        <w:br/>
        <w:t> </w:t>
      </w:r>
    </w:p>
    <w:p>
      <w:pPr>
        <w:pStyle w:val="TextBody"/>
        <w:spacing w:before="0" w:after="0"/>
        <w:rPr>
          <w:rFonts w:ascii="Times New Roman" w:hAnsi="Times New Roman"/>
          <w:sz w:val="20"/>
        </w:rPr>
      </w:pPr>
      <w:r>
        <w:rPr>
          <w:rFonts w:ascii="Times New Roman" w:hAnsi="Times New Roman"/>
          <w:sz w:val="20"/>
        </w:rPr>
        <w:t>Payment of Filing Fee (Check the appropriate box):</w:t>
      </w:r>
    </w:p>
    <w:p>
      <w:pPr>
        <w:pStyle w:val="TextBody"/>
        <w:spacing w:before="0" w:after="0"/>
        <w:ind w:left="0" w:right="0" w:hanging="0"/>
        <w:jc w:val="left"/>
        <w:rPr/>
      </w:pPr>
      <w:r>
        <w:rPr/>
        <w:br/>
        <w:t> </w:t>
      </w:r>
    </w:p>
    <w:p>
      <w:pPr>
        <w:pStyle w:val="TextBody"/>
        <w:spacing w:before="0" w:after="0"/>
        <w:ind w:left="0" w:right="0" w:hanging="0"/>
        <w:jc w:val="left"/>
        <w:rPr>
          <w:rFonts w:ascii="Times New Roman" w:hAnsi="Times New Roman"/>
          <w:sz w:val="20"/>
        </w:rPr>
      </w:pPr>
      <w:r>
        <w:rPr>
          <w:rFonts w:ascii="Times New Roman" w:hAnsi="Times New Roman"/>
          <w:sz w:val="20"/>
        </w:rPr>
        <w:t>X           No fee required.</w:t>
      </w:r>
    </w:p>
    <w:p>
      <w:pPr>
        <w:pStyle w:val="TextBody"/>
        <w:spacing w:before="0" w:after="0"/>
        <w:ind w:left="0" w:right="0" w:hanging="0"/>
        <w:jc w:val="left"/>
        <w:rPr/>
      </w:pPr>
      <w:r>
        <w:rPr/>
        <w:br/>
        <w:t> </w:t>
      </w:r>
    </w:p>
    <w:p>
      <w:pPr>
        <w:pStyle w:val="TextBody"/>
        <w:spacing w:before="0" w:after="0"/>
        <w:ind w:left="0" w:right="0" w:hanging="0"/>
        <w:jc w:val="left"/>
        <w:rPr/>
      </w:pPr>
      <w:r>
        <w:rPr/>
        <w:t>□           </w:t>
      </w:r>
      <w:r>
        <w:rPr>
          <w:rFonts w:ascii="Times New Roman" w:hAnsi="Times New Roman"/>
          <w:sz w:val="20"/>
        </w:rPr>
        <w:t>Fee computed on table below per Exchange Act Rules 14c-5(g) and 0-11.</w:t>
      </w:r>
    </w:p>
    <w:p>
      <w:pPr>
        <w:pStyle w:val="TextBody"/>
        <w:spacing w:before="0" w:after="0"/>
        <w:ind w:left="180" w:right="0" w:hanging="0"/>
        <w:jc w:val="left"/>
        <w:rPr/>
      </w:pPr>
      <w:r>
        <w:rPr/>
        <w:t>           </w:t>
      </w:r>
      <w:r>
        <w:rPr>
          <w:rFonts w:ascii="Times New Roman" w:hAnsi="Times New Roman"/>
          <w:sz w:val="20"/>
        </w:rPr>
        <w:t>(1)  Title of each class of securities to which transaction applies:                                                                                                </w:t>
      </w:r>
    </w:p>
    <w:p>
      <w:pPr>
        <w:pStyle w:val="TextBody"/>
        <w:spacing w:before="0" w:after="0"/>
        <w:ind w:left="180" w:right="0" w:hanging="0"/>
        <w:jc w:val="left"/>
        <w:rPr/>
      </w:pPr>
      <w:r>
        <w:rPr/>
        <w:br/>
        <w:t>           </w:t>
      </w:r>
      <w:r>
        <w:rPr>
          <w:rFonts w:ascii="Times New Roman" w:hAnsi="Times New Roman"/>
          <w:sz w:val="20"/>
        </w:rPr>
        <w:t>(2)  Aggregate number of securities to which transaction applies:                                                                                                           </w:t>
      </w:r>
    </w:p>
    <w:p>
      <w:pPr>
        <w:pStyle w:val="TextBody"/>
        <w:spacing w:before="0" w:after="0"/>
        <w:ind w:left="180" w:right="0" w:hanging="0"/>
        <w:jc w:val="left"/>
        <w:rPr/>
      </w:pPr>
      <w:r>
        <w:rPr/>
        <w:br/>
        <w:t>          </w:t>
      </w:r>
      <w:r>
        <w:rPr>
          <w:rFonts w:ascii="Times New Roman" w:hAnsi="Times New Roman"/>
          <w:sz w:val="20"/>
        </w:rPr>
        <w:t>(3)   Per unit price or other underlying value of transaction computed pursuant to Exchange Act Rule 0-11 </w:t>
      </w:r>
    </w:p>
    <w:p>
      <w:pPr>
        <w:pStyle w:val="TextBody"/>
        <w:spacing w:before="0" w:after="0"/>
        <w:ind w:left="180" w:right="0" w:hanging="0"/>
        <w:jc w:val="left"/>
        <w:rPr/>
      </w:pPr>
      <w:r>
        <w:rPr/>
        <w:t xml:space="preserve">                   </w:t>
      </w:r>
      <w:r>
        <w:rPr>
          <w:rFonts w:ascii="Times New Roman" w:hAnsi="Times New Roman"/>
          <w:sz w:val="20"/>
        </w:rPr>
        <w:t>(Set forth the amount on which the filing fee is calculated and state how it was determined):</w:t>
      </w:r>
    </w:p>
    <w:p>
      <w:pPr>
        <w:pStyle w:val="TextBody"/>
        <w:spacing w:before="0" w:after="0"/>
        <w:ind w:left="180" w:right="0" w:hanging="0"/>
        <w:jc w:val="left"/>
        <w:rPr/>
      </w:pPr>
      <w:r>
        <w:rPr/>
        <w:br/>
        <w:t>           </w:t>
      </w:r>
      <w:r>
        <w:rPr>
          <w:rFonts w:ascii="Times New Roman" w:hAnsi="Times New Roman"/>
          <w:sz w:val="20"/>
        </w:rPr>
        <w:t>(4)  Proposed maximum aggregate value of transaction:</w:t>
      </w:r>
    </w:p>
    <w:p>
      <w:pPr>
        <w:pStyle w:val="TextBody"/>
        <w:spacing w:before="0" w:after="0"/>
        <w:ind w:left="180" w:right="0" w:hanging="0"/>
        <w:jc w:val="left"/>
        <w:rPr/>
      </w:pPr>
      <w:r>
        <w:rPr/>
        <w:br/>
        <w:t>           </w:t>
      </w:r>
      <w:r>
        <w:rPr>
          <w:rFonts w:ascii="Times New Roman" w:hAnsi="Times New Roman"/>
          <w:sz w:val="20"/>
        </w:rPr>
        <w:t>(5)  Total fee paid:</w:t>
      </w:r>
    </w:p>
    <w:p>
      <w:pPr>
        <w:pStyle w:val="TextBody"/>
        <w:spacing w:before="0" w:after="0"/>
        <w:ind w:left="0" w:right="0" w:hanging="0"/>
        <w:jc w:val="left"/>
        <w:rPr/>
      </w:pPr>
      <w:r>
        <w:rPr/>
        <w:t> </w:t>
      </w:r>
    </w:p>
    <w:p>
      <w:pPr>
        <w:pStyle w:val="TextBody"/>
        <w:spacing w:before="0" w:after="0"/>
        <w:ind w:left="0" w:right="0" w:hanging="0"/>
        <w:jc w:val="left"/>
        <w:rPr/>
      </w:pPr>
      <w:r>
        <w:rPr/>
        <w:t>□           </w:t>
      </w:r>
      <w:r>
        <w:rPr>
          <w:rFonts w:ascii="Times New Roman" w:hAnsi="Times New Roman"/>
          <w:sz w:val="20"/>
        </w:rPr>
        <w:t>Fee paid previously with preliminary materials.</w:t>
      </w:r>
    </w:p>
    <w:p>
      <w:pPr>
        <w:pStyle w:val="TextBody"/>
        <w:spacing w:before="0" w:after="0"/>
        <w:ind w:left="0" w:right="0" w:hanging="0"/>
        <w:jc w:val="left"/>
        <w:rPr/>
      </w:pPr>
      <w:r>
        <w:rPr/>
        <w:t> </w:t>
      </w:r>
    </w:p>
    <w:p>
      <w:pPr>
        <w:pStyle w:val="TextBody"/>
        <w:spacing w:before="0" w:after="0"/>
        <w:ind w:left="0" w:right="0" w:hanging="0"/>
        <w:jc w:val="left"/>
        <w:rPr/>
      </w:pPr>
      <w:r>
        <w:rPr/>
        <w:t>□          </w:t>
      </w:r>
      <w:r>
        <w:rPr>
          <w:rFonts w:ascii="Times New Roman" w:hAnsi="Times New Roman"/>
          <w:sz w:val="20"/>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pStyle w:val="TextBody"/>
        <w:spacing w:before="0" w:after="0"/>
        <w:ind w:left="0" w:right="0" w:hanging="0"/>
        <w:jc w:val="left"/>
        <w:rPr/>
      </w:pPr>
      <w:r>
        <w:rPr/>
        <w:t> </w:t>
      </w:r>
    </w:p>
    <w:p>
      <w:pPr>
        <w:pStyle w:val="TextBody"/>
        <w:spacing w:before="0" w:after="0"/>
        <w:ind w:left="0" w:right="0" w:hanging="0"/>
        <w:jc w:val="left"/>
        <w:rPr/>
      </w:pPr>
      <w:r>
        <w:rPr/>
        <w:t>             </w:t>
      </w:r>
      <w:r>
        <w:rPr>
          <w:rFonts w:ascii="Times New Roman" w:hAnsi="Times New Roman"/>
          <w:sz w:val="20"/>
        </w:rPr>
        <w:t>(1)  Amount Previously Paid:</w:t>
      </w:r>
    </w:p>
    <w:p>
      <w:pPr>
        <w:pStyle w:val="TextBody"/>
        <w:spacing w:before="0" w:after="0"/>
        <w:ind w:left="0" w:right="0" w:hanging="0"/>
        <w:jc w:val="left"/>
        <w:rPr/>
      </w:pPr>
      <w:r>
        <w:rPr/>
        <w:t> </w:t>
      </w:r>
    </w:p>
    <w:p>
      <w:pPr>
        <w:pStyle w:val="TextBody"/>
        <w:spacing w:before="0" w:after="0"/>
        <w:ind w:left="0" w:right="0" w:hanging="0"/>
        <w:jc w:val="left"/>
        <w:rPr/>
      </w:pPr>
      <w:r>
        <w:rPr/>
        <w:t>             </w:t>
      </w:r>
      <w:r>
        <w:rPr>
          <w:rFonts w:ascii="Times New Roman" w:hAnsi="Times New Roman"/>
          <w:sz w:val="20"/>
        </w:rPr>
        <w:t>(2)  Form, Schedule or Registration Statement No.:</w:t>
      </w:r>
    </w:p>
    <w:p>
      <w:pPr>
        <w:pStyle w:val="TextBody"/>
        <w:spacing w:before="0" w:after="0"/>
        <w:ind w:left="0" w:right="0" w:hanging="0"/>
        <w:jc w:val="left"/>
        <w:rPr/>
      </w:pPr>
      <w:r>
        <w:rPr/>
        <w:t> </w:t>
      </w:r>
    </w:p>
    <w:p>
      <w:pPr>
        <w:pStyle w:val="TextBody"/>
        <w:spacing w:before="0" w:after="0"/>
        <w:ind w:left="0" w:right="0" w:hanging="0"/>
        <w:jc w:val="left"/>
        <w:rPr/>
      </w:pPr>
      <w:r>
        <w:rPr/>
        <w:t>             </w:t>
      </w:r>
      <w:r>
        <w:rPr>
          <w:rFonts w:ascii="Times New Roman" w:hAnsi="Times New Roman"/>
          <w:sz w:val="20"/>
        </w:rPr>
        <w:t>(3)  Filing Party:</w:t>
      </w:r>
    </w:p>
    <w:p>
      <w:pPr>
        <w:pStyle w:val="TextBody"/>
        <w:spacing w:before="0" w:after="0"/>
        <w:ind w:left="0" w:right="0" w:hanging="0"/>
        <w:jc w:val="left"/>
        <w:rPr/>
      </w:pPr>
      <w:r>
        <w:rPr/>
        <w:br/>
        <w:t>             </w:t>
      </w:r>
      <w:r>
        <w:rPr>
          <w:rFonts w:ascii="Times New Roman" w:hAnsi="Times New Roman"/>
          <w:sz w:val="20"/>
        </w:rPr>
        <w:t>(4)  Date Filed:</w:t>
      </w:r>
    </w:p>
    <w:p>
      <w:pPr>
        <w:pStyle w:val="TextBody"/>
        <w:spacing w:before="0" w:after="0"/>
        <w:ind w:left="0" w:right="0" w:hanging="0"/>
        <w:jc w:val="left"/>
        <w:rPr/>
      </w:pPr>
      <w:r>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br/>
        <w:t> </w:t>
      </w:r>
    </w:p>
    <w:p>
      <w:pPr>
        <w:pStyle w:val="TextBody"/>
        <w:spacing w:before="0" w:after="0"/>
        <w:ind w:left="0" w:right="0" w:hanging="0"/>
        <w:jc w:val="center"/>
        <w:rPr>
          <w:rFonts w:ascii="Times New Roman" w:hAnsi="Times New Roman"/>
          <w:b/>
          <w:sz w:val="20"/>
        </w:rPr>
      </w:pPr>
      <w:r>
        <w:rPr>
          <w:rFonts w:ascii="Times New Roman" w:hAnsi="Times New Roman"/>
          <w:b/>
          <w:sz w:val="20"/>
        </w:rPr>
        <w:t>INFORMATION STATEMENT</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OF</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800 Bellevue Way NE, Suite 400</w:t>
      </w:r>
    </w:p>
    <w:p>
      <w:pPr>
        <w:pStyle w:val="TextBody"/>
        <w:spacing w:before="0" w:after="0"/>
        <w:ind w:left="0" w:right="0" w:hanging="0"/>
        <w:jc w:val="center"/>
        <w:rPr>
          <w:rFonts w:ascii="Times New Roman" w:hAnsi="Times New Roman"/>
          <w:b/>
          <w:sz w:val="20"/>
        </w:rPr>
      </w:pPr>
      <w:r>
        <w:rPr>
          <w:rFonts w:ascii="Times New Roman" w:hAnsi="Times New Roman"/>
          <w:b/>
          <w:sz w:val="20"/>
        </w:rPr>
        <w:t>Bellevue, WA 98004</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We Are Not Asking You For A Proxy, And You Are Requested Not To Send Us A Proxy.</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This Information Statement is to notify shareholders of our common stock of actions to be taken by the majority shareholders of our common stock in lieu of a special meeting of shareholders. This Information Statement is being mailed on or about February 1, 2010 to all of our shareholders of record at the close of business on January 19, 2009 (the "Record Date"). As of the Record Date, there were approximately 38,361,674 shares entitled to vote on the matters set forth herein.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Holders of 21,331,209 shares of our common stock, representing approximately 55.6% of our outstanding common stock, have executed a written consent in lieu of Annual Meeting (the "Written Consent"), with an effective date of December 28, 2009 to</w:t>
      </w:r>
    </w:p>
    <w:p>
      <w:pPr>
        <w:pStyle w:val="TextBody"/>
        <w:spacing w:before="0" w:after="0"/>
        <w:ind w:left="0" w:right="0" w:hanging="0"/>
        <w:rPr/>
      </w:pPr>
      <w:r>
        <w:rPr/>
        <w:t> </w:t>
      </w:r>
    </w:p>
    <w:p>
      <w:pPr>
        <w:pStyle w:val="Normal"/>
        <w:spacing w:before="0" w:after="0"/>
        <w:ind w:left="0" w:right="0" w:hanging="0"/>
        <w:rPr>
          <w:sz w:val="4"/>
          <w:szCs w:val="4"/>
        </w:rPr>
      </w:pPr>
      <w:r>
        <w:rPr>
          <w:sz w:val="4"/>
          <w:szCs w:val="4"/>
        </w:rPr>
      </w:r>
      <w:bookmarkStart w:id="2" w:name="hangingindent"/>
      <w:bookmarkStart w:id="3" w:name="hangingindent"/>
      <w:bookmarkEnd w:id="3"/>
    </w:p>
    <w:tbl>
      <w:tblPr>
        <w:tblW w:w="5000" w:type="pct"/>
        <w:jc w:val="center"/>
        <w:tblInd w:w="0" w:type="dxa"/>
        <w:tblCellMar>
          <w:top w:w="0" w:type="dxa"/>
          <w:left w:w="0" w:type="dxa"/>
          <w:bottom w:w="0" w:type="dxa"/>
          <w:right w:w="0" w:type="dxa"/>
        </w:tblCellMar>
      </w:tblPr>
      <w:tblGrid>
        <w:gridCol w:w="22"/>
        <w:gridCol w:w="170"/>
        <w:gridCol w:w="10013"/>
      </w:tblGrid>
      <w:tr>
        <w:trPr/>
        <w:tc>
          <w:tcPr>
            <w:tcW w:w="22" w:type="dxa"/>
            <w:tcBorders/>
            <w:shd w:fill="auto" w:val="clear"/>
          </w:tcPr>
          <w:p>
            <w:pPr>
              <w:pStyle w:val="TableContents"/>
              <w:spacing w:before="0" w:after="283"/>
              <w:rPr>
                <w:sz w:val="4"/>
                <w:szCs w:val="4"/>
              </w:rPr>
            </w:pPr>
            <w:r>
              <w:rPr>
                <w:sz w:val="4"/>
                <w:szCs w:val="4"/>
              </w:rPr>
            </w:r>
          </w:p>
        </w:tc>
        <w:tc>
          <w:tcPr>
            <w:tcW w:w="170" w:type="dxa"/>
            <w:tcBorders/>
            <w:shd w:fill="auto" w:val="clear"/>
          </w:tcPr>
          <w:p>
            <w:pPr>
              <w:pStyle w:val="TableContents"/>
              <w:spacing w:before="0" w:after="0"/>
              <w:ind w:left="0" w:right="0" w:hanging="0"/>
              <w:rPr/>
            </w:pPr>
            <w:r>
              <w:rPr/>
              <w:t>●</w:t>
            </w:r>
          </w:p>
        </w:tc>
        <w:tc>
          <w:tcPr>
            <w:tcW w:w="1001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amend our Articles of Incorporation, in the form of Exhibit A, to increase our authorized share capital from 55 million authorized shares, consisting of 50 million shares of common stock and 5 million shares of preferred stock, to 155,000,000 million authorized shares, consisting of 150,000,000 million shares of common stock and 5 million shares of preferred stock,</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4" w:name="hangingindent1"/>
      <w:bookmarkStart w:id="5" w:name="hangingindent1"/>
      <w:bookmarkEnd w:id="5"/>
    </w:p>
    <w:tbl>
      <w:tblPr>
        <w:tblW w:w="5000" w:type="pct"/>
        <w:jc w:val="center"/>
        <w:tblInd w:w="0" w:type="dxa"/>
        <w:tblCellMar>
          <w:top w:w="0" w:type="dxa"/>
          <w:left w:w="0" w:type="dxa"/>
          <w:bottom w:w="0" w:type="dxa"/>
          <w:right w:w="0" w:type="dxa"/>
        </w:tblCellMar>
      </w:tblPr>
      <w:tblGrid>
        <w:gridCol w:w="76"/>
        <w:gridCol w:w="170"/>
        <w:gridCol w:w="9959"/>
      </w:tblGrid>
      <w:tr>
        <w:trPr/>
        <w:tc>
          <w:tcPr>
            <w:tcW w:w="76"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pPr>
            <w:r>
              <w:rPr/>
              <w:t>●</w:t>
            </w:r>
          </w:p>
        </w:tc>
        <w:tc>
          <w:tcPr>
            <w:tcW w:w="995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adopt the 2009 Stock Incentive Plan (the "Plan"), substantially in the form of Exhibit B, pursuant to which our board of directors is given the ability to provide incentives through the issuance of options, stock, restricted stock, and other stock-based awards, representing up to 10,000,000 shares of our common stock, to certain employees, directors, officers and consultants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6" w:name="hangingindent2"/>
      <w:bookmarkStart w:id="7" w:name="hangingindent2"/>
      <w:bookmarkEnd w:id="7"/>
    </w:p>
    <w:tbl>
      <w:tblPr>
        <w:tblW w:w="5000" w:type="pct"/>
        <w:jc w:val="center"/>
        <w:tblInd w:w="0" w:type="dxa"/>
        <w:tblCellMar>
          <w:top w:w="0" w:type="dxa"/>
          <w:left w:w="0" w:type="dxa"/>
          <w:bottom w:w="0" w:type="dxa"/>
          <w:right w:w="0" w:type="dxa"/>
        </w:tblCellMar>
      </w:tblPr>
      <w:tblGrid>
        <w:gridCol w:w="101"/>
        <w:gridCol w:w="140"/>
        <w:gridCol w:w="9964"/>
      </w:tblGrid>
      <w:tr>
        <w:trPr/>
        <w:tc>
          <w:tcPr>
            <w:tcW w:w="101" w:type="dxa"/>
            <w:tcBorders/>
            <w:shd w:fill="auto" w:val="clear"/>
          </w:tcPr>
          <w:p>
            <w:pPr>
              <w:pStyle w:val="TableContents"/>
              <w:spacing w:before="0" w:after="0"/>
              <w:rPr/>
            </w:pPr>
            <w:r>
              <w:rPr/>
              <w:t xml:space="preserve">  </w:t>
            </w:r>
          </w:p>
        </w:tc>
        <w:tc>
          <w:tcPr>
            <w:tcW w:w="14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softHyphen/>
              <w:t>●</w:t>
            </w:r>
          </w:p>
        </w:tc>
        <w:tc>
          <w:tcPr>
            <w:tcW w:w="996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reduce the exercise price of the options granted under our 2007 Stock Incentive Plan to purchase common shares from $2.50 per common share to $0.97 per common share.</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actions described above will take effect approximately 20 days after the mailing of this Information Statement to our shareholders on the Record Date.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Because holders of approximately 21,331,209 of our common stock, representing 55.6% of our outstanding common stock, have executed the Written Consent, no vote or consent of any other shareholder is being, or will be, solicited in connection with the authorization of the matters set forth in the Written Consent. Under Nevada law, the votes represented by the holders signing the Written Consent are sufficient in number to authorize the matters set forth in the Written Consent, without the vote or consent of any of our other shareholders. Nevada statutes provide that any action that is required to be taken, or that may be taken, at any annual or special meeting of shareholders of a Nevada corporation may be taken, without a meeting, without prior notice and without a vote, if a written consent, setting forth the actions taken, is signed by the holders of outstanding capital stock having not less than the minimum number of votes necessary to authorize such action.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This Information Statement is expected to be mailed to shareholders on or about January 19, 2009. We will bear all expenses incurred in connection with the distribution of this Information Statement. We will reimburse brokers or other nominees for reasonable expenses they incur in forwarding this material to beneficial owners.  The actions in the Written Consent and the director and officer appointment will take effect on or shortly after February 22, 2010.</w:t>
      </w:r>
    </w:p>
    <w:p>
      <w:pPr>
        <w:pStyle w:val="TextBody"/>
        <w:spacing w:before="0" w:after="0"/>
        <w:ind w:left="0" w:right="0" w:hanging="0"/>
        <w:rPr/>
      </w:pPr>
      <w:r>
        <w:rPr/>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 w:name="PGBRK"/>
      <w:bookmarkStart w:id="9" w:name="PGBRK"/>
      <w:bookmarkEnd w:id="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 w:name="FTR"/>
      <w:bookmarkStart w:id="11" w:name="FTR"/>
      <w:bookmarkEnd w:id="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 w:name="GLFTR"/>
      <w:bookmarkStart w:id="13" w:name="GLFTR"/>
      <w:bookmarkEnd w:id="1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14" w:name="PN"/>
      <w:bookmarkStart w:id="15" w:name="PN"/>
      <w:bookmarkEnd w:id="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 w:name="HDR"/>
      <w:bookmarkStart w:id="17" w:name="HDR"/>
      <w:bookmarkEnd w:id="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 w:name="GLHDR"/>
      <w:bookmarkStart w:id="19" w:name="GLHDR"/>
      <w:bookmarkEnd w:id="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SHAREHOLDERS’ WRITTEN CONSENT</w:t>
      </w:r>
    </w:p>
    <w:p>
      <w:pPr>
        <w:pStyle w:val="TextBody"/>
        <w:spacing w:before="0" w:after="0"/>
        <w:ind w:left="0" w:right="0" w:hanging="0"/>
        <w:jc w:val="center"/>
        <w:rPr>
          <w:rFonts w:ascii="Times New Roman" w:hAnsi="Times New Roman"/>
          <w:b/>
          <w:sz w:val="20"/>
        </w:rPr>
      </w:pPr>
      <w:r>
        <w:rPr>
          <w:rFonts w:ascii="Times New Roman" w:hAnsi="Times New Roman"/>
          <w:b/>
          <w:sz w:val="20"/>
        </w:rPr>
        <w:t>IN LIEU OF SPECIAL MEETING OF</w:t>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INFORMATION ON CONSENTING SHAREHOLDERS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Pursuant to our Bylaws and the Nevada Revised Statutes, a vote by the holders of at least a majority of our outstanding capital stock is required to effect the actions described herein.  As of the Record Date, we had 38,361,674 shares entitled to vote on the matters set forth herein of which 19,180,837 shares are required to pass any shareholder resolutions. The majority shareholders, who consist of nine of our current shareholders, are collectively the record and beneficial owners of 21,331,209 of our shares of common stock, which represents 55.6% of the issued and outstanding shares of our common stock on a fully diluted basis. Pursuant to 78.320 of the Nevada Revised Statutes, the majority shareholders voted in favor of the actions described herein in a Written Consent, dated December 28, 2009. There are no cumulative voting rights.  No consideration was paid for the consent.</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NOTICE TO SHAREHOLDERS OF ACTION APPROVED BY CONSENTING SHAREHOLDERS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following corporate actions described in this Information Statement (i) were approved by stockholders voting approximately 55.6% of our outstanding capital stock entitled to vote, (ii) will become effective on or shortly after February 22, 2010, (iii) will not result in any appraisal or dissenters’ rights and (iv) may be abandoned by our Board of Directors prior to effectiveness without any further vote of our shareholders.</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ACTION I</w:t>
      </w:r>
    </w:p>
    <w:p>
      <w:pPr>
        <w:pStyle w:val="TextBody"/>
        <w:spacing w:before="0" w:after="0"/>
        <w:ind w:left="0" w:right="0" w:hanging="0"/>
        <w:jc w:val="center"/>
        <w:rPr>
          <w:rFonts w:ascii="Times New Roman" w:hAnsi="Times New Roman"/>
          <w:b/>
          <w:sz w:val="20"/>
        </w:rPr>
      </w:pPr>
      <w:r>
        <w:rPr>
          <w:rFonts w:ascii="Times New Roman" w:hAnsi="Times New Roman"/>
          <w:b/>
          <w:sz w:val="20"/>
        </w:rPr>
        <w:t>AMENDMENT TO ARTICLES OF INCORPORATION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majority shareholders and the Board of Directors have approved an amendment to our Articles of Incorporation, attached hereto as Exhibit A, to increase the number of authorized shares of capital stock from 55,000,000 to 155,000,000.  Our current Articles of Incorporation authorizes 50,000,000 shares of common stock, and the amendment to our Articles of Incorporation would authorize 150,000,000 shares of common stock. Our current Articles of Incorporation authorizes 5,000,000 shares of preferred stock, and the amendment to our Articles of Incorporation would continue to authorize the same amount of preferred stock.</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relative rights and limitations of the shares of common stock would remain unchanged by the amendment to our Articles of Incorporation.</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REASON FOR, AND THE EFFECT OF, THE INCREASE IN AUTHORIZED COMMON STOCK</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Our management has approved the corporate actions described in this Information Statement in an attempt to allow us to raise additional capital.  We currently have 50,000,000 authorized shares of common stock, of which 38,361,674 are outstanding and over 6,000,000 of which are reserved for issuance upon the exercise of warrants and options or the conversion of debt.  Our management believes that to successfully raise additional capital through equity financing or convertible debt, we will need to have more authorized but unissued and unreserved shares than the under 6,000,000 that are currently authorized but unissued or reserved.  Our management has yet to enter into any arrangements by which it would raise additional capital through an equity or convertible debt issuance that would result in us committing to issue or reserve shares of our common stock that would cause us to exceed our current authorized share capital.</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As a result of increasing our authorized common stock, we will be in a better position to raise additional capital.  Any raise of additional capital may have the effect of diluting your percentage ownership of our Company and, depending on the issuance price, the net tangible book value per share of the shares that you purchased.</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 w:name="PGBRK1"/>
      <w:bookmarkStart w:id="21" w:name="PGBRK1"/>
      <w:bookmarkEnd w:id="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 w:name="FTR1"/>
      <w:bookmarkStart w:id="23" w:name="FTR1"/>
      <w:bookmarkEnd w:id="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4" w:name="GLFTR1"/>
      <w:bookmarkEnd w:id="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 w:name="PN1"/>
      <w:bookmarkEnd w:id="25"/>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 w:name="HDR1"/>
      <w:bookmarkStart w:id="27" w:name="HDR1"/>
      <w:bookmarkEnd w:id="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8" w:name="GLHDR1"/>
      <w:bookmarkEnd w:id="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ACTION II</w:t>
      </w:r>
    </w:p>
    <w:p>
      <w:pPr>
        <w:pStyle w:val="TextBody"/>
        <w:spacing w:before="0" w:after="0"/>
        <w:ind w:left="0" w:right="0" w:hanging="0"/>
        <w:jc w:val="center"/>
        <w:rPr>
          <w:rFonts w:ascii="Times New Roman" w:hAnsi="Times New Roman"/>
          <w:b/>
          <w:sz w:val="20"/>
        </w:rPr>
      </w:pPr>
      <w:r>
        <w:rPr>
          <w:rFonts w:ascii="Times New Roman" w:hAnsi="Times New Roman"/>
          <w:b/>
          <w:sz w:val="20"/>
        </w:rPr>
        <w:t>ADOPTION OF 2009 STOCK INCENTIVE PLAN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majority shareholders and the Board of Directors have approved a plan that will enable us to grant equity and equity-linked awards to our directors, officers, employees and consultants. This plan is called the "2009 Stock Incentive Plan". The Plan is intended to allow us to provide incentives that will (i) strengthen the desire of highly competent persons to serve as directors, officers and employees of our Company and (ii) further stimulate their efforts on behalf of our Company.</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ADDITIONAL INFORMATION CONCERNING THE 2009 STOCK INCENTIVE PLAN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We have summarized below certain key provisions of the 2009 Stock Incentive Plan. This summary may not contain all the information that is important to you. You should review the entire plan. A copy of the plan is included as Exhibit B.</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Shares Available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maximum number of shares of our common stock that may be delivered under the Plan is 10,000,000 subject to adjustment for certain specified changes to our capital structure. Some awards under the Plan may link future payments to the awardee to the future value of a specified number of shares of our common stock. The number of shares used for reference purposes in connection with these awards will be considered "delivered" for purposes of computing the maximum number of shares that may be delivered under the Plan. If an award under the Plan terminates without the shares subject thereto being delivered, the shares subject to such award will thereafter be available for further awards under the Plan.</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Eligibility</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All directors, officers and employees of, and consultants to, our Company are eligible to participate in the Plan.</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Administration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administrator of the Plan will be the Board or any committee which the Board designates to serve as the administrator of the Plan. The Board or designated committee serving as administrator (the "Administrator") will, among other things, have the authority to (i) construe the Plan and any award under the Plan, (ii) select the directors, officers, employees and consultants to whom awards may be granted and the time or times at which awards will be granted. (iii) determine the number of shares of our common stock to be covered by or used for reference purposes for any award, (iv) determine and modify from time to time the terms, conditions, and restrictions of any award, (v) approve the form of written instrument evidencing any award, (vi) accelerate or otherwise change the time or times at which an award becomes vested or when an award may be exercised or becomes payable, (vii) waive, in whole or in part, any restriction or condition with respect to any award and (viii) modify, extend or renew outstanding awards, or accept the surrender of outstanding awards and substitute new awards.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Administrator has not yet made any awards under the Plan. Because the granting of awards is in the sole discretion of the Administrator, the nature and magnitude of future awards cannot currently be determined.</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Types of Awards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types of awards that may be made under the Plan are shares, options, stock appreciation rights, restricted stock awards, stock units and dividend equivalent rights. The Administrator will fix the terms of each award, including, to the extent relevant, the following: (1) exercise price for options, base price for stock appreciation rights, and purchase price, if any, for restricted stock awards, (2) vesting requirements and other conditions to exercise, (3) term and termination, (4) effect, if any, of change of control and (5) method of exercise and of any required payment by the recipient. Additional information concerning the types of awards that may be made is set forth below.</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 w:name="PGBRK2"/>
      <w:bookmarkStart w:id="30" w:name="PGBRK2"/>
      <w:bookmarkEnd w:id="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 w:name="FTR2"/>
      <w:bookmarkStart w:id="32" w:name="FTR2"/>
      <w:bookmarkEnd w:id="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3" w:name="GLFTR2"/>
      <w:bookmarkEnd w:id="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4" w:name="PN2"/>
      <w:bookmarkEnd w:id="34"/>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 w:name="HDR2"/>
      <w:bookmarkStart w:id="36" w:name="HDR2"/>
      <w:bookmarkEnd w:id="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7" w:name="GLHDR2"/>
      <w:bookmarkEnd w:id="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i/>
          <w:sz w:val="20"/>
        </w:rPr>
        <w:t>Stock Options</w:t>
      </w:r>
      <w:r>
        <w:rPr>
          <w:rFonts w:ascii="Times New Roman" w:hAnsi="Times New Roman"/>
          <w:sz w:val="20"/>
        </w:rPr>
        <w:t>. The Administrator may grant options that are qualified as "incentive stock options" under Section 422 of the Internal Revenue Code ("ISOs") and options that are not so qualified ("non-qualified options"). ISOs are subject to certain special limitations, including the following: (1) the exercise price per share may not be less than 100% of the fair market value per share of our common stock as of the grant date (110% of such fair market value, if the recipient owns more than 10% of the total combined voting power of all classes of our outstanding shares), (2) the term may not exceed 10 years, and (3) the recipient must be an employee of our Company.</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i/>
          <w:sz w:val="20"/>
        </w:rPr>
        <w:t>Stock Appreciation Rights</w:t>
      </w:r>
      <w:r>
        <w:rPr>
          <w:rFonts w:ascii="Times New Roman" w:hAnsi="Times New Roman"/>
          <w:sz w:val="20"/>
        </w:rPr>
        <w:t>. A stock appreciation right gives the holder the opportunity to benefit from the appreciation of our common stock over a specified base price determined by the Administrator. Upon exercise of a stock appreciation right, the holder has the right to receive in respect of each share subject thereto a payment equal to the excess, if any, of: (1) the fair market value of a share of our common stock as of the exercise date over (2) the specified base price. At the discretion of the Administrator, any required payment may be made in cash, shares of our common stock, or both.</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i/>
          <w:sz w:val="20"/>
        </w:rPr>
        <w:t>Restricted Stock Awards</w:t>
      </w:r>
      <w:r>
        <w:rPr>
          <w:rFonts w:ascii="Times New Roman" w:hAnsi="Times New Roman"/>
          <w:sz w:val="20"/>
        </w:rPr>
        <w:t>. A restricted stock award entitles the recipient to acquire shares of our common stock for no consideration or for the consideration specified by the Administrator. The shares will be subject to such vesting periods and other restrictions and conditions as the Administrator determines.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i/>
          <w:sz w:val="20"/>
        </w:rPr>
        <w:t>Stock Units</w:t>
      </w:r>
      <w:r>
        <w:rPr>
          <w:rFonts w:ascii="Times New Roman" w:hAnsi="Times New Roman"/>
          <w:sz w:val="20"/>
        </w:rPr>
        <w:t>. A stock unit is a bookkeeping account to which there is credited the fair market value of a share of our common stock. The value of the account is subsequently adjusted to reflect changes in the fair market value. Upon exercise of a stock unit, the holder is entitled to receive the value of the account. At the discretion of the Administrator, any required payment may be made in cash, shares of our common stock, or both.</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i/>
          <w:sz w:val="20"/>
        </w:rPr>
        <w:t>Dividend Equivalent Rights</w:t>
      </w:r>
      <w:r>
        <w:rPr>
          <w:rFonts w:ascii="Times New Roman" w:hAnsi="Times New Roman"/>
          <w:sz w:val="20"/>
        </w:rPr>
        <w:t>. A dividend equivalent right is an Award entitling the recipient to receive credits based on cash distributions that would have been paid on common shares specified in the dividend equivalent right (or other award to which it relates) if such shares had been issued to and held by the recipient. The Administrator may grant a dividend equivalent right as a component of another Award or as a freestanding Award and it shall specify the terms in such grant.</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Certain Corporate Transactions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If certain corporate transactions specified in the Plan occur, the Administrator may make appropriate or equitable adjustments to the Plan and Awards, including (1) the number of shares of stock that can be granted, (2) the number and kind of shares or other securities subject to any then outstanding awards and (3) the exercise price, base price, or purchase price applicable to outstanding Awards under the Plan.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Administrator may cancel outstanding awards, but not outstanding stock or restricted stock awards, in connection with any merger or consolidation of our Company or any sale or transfer of all or part of our assets or business, or any similar event. The Administrator may determine to make no compensation whatsoever for any canceled awards that are not in-the-money (as defined below) or for any canceled awards to the extent not vested. We are required to provide payment in cash or other property for the in-the-money value of the vested portion of awards that are in-the-money and that are canceled as aforesaid. Awards are in-the-money only to the extent of their then realizable market value, without taking into account the potential future increase in the value of the award (whether under Black-Scholes-type formulas or otherwise).</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Amendment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board may amend the Plan at any time and from time to time, provided that (1) no amendment may deprive any person of any rights granted under the Plan before the effective date of such amendment, without such person's consent; and (2) amendments may be subject to shareholder approval to the extent needed to comply with applicable law and stock exchange requirements.</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8" w:name="PGBRK3"/>
      <w:bookmarkStart w:id="39" w:name="PGBRK3"/>
      <w:bookmarkEnd w:id="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 w:name="FTR3"/>
      <w:bookmarkStart w:id="41" w:name="FTR3"/>
      <w:bookmarkEnd w:id="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2" w:name="GLFTR3"/>
      <w:bookmarkEnd w:id="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3" w:name="PN3"/>
      <w:bookmarkEnd w:id="43"/>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 w:name="HDR3"/>
      <w:bookmarkStart w:id="45" w:name="HDR3"/>
      <w:bookmarkEnd w:id="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6" w:name="GLHDR3"/>
      <w:bookmarkEnd w:id="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Term of Plan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No award may be granted under the Plan after the close of business on the day immediately preceding the tenth anniversary of the effective date of the Plan. However, all awards made prior to such time will remain in effect in accordance with their terms.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Certain Federal Income Tax Considerations</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Matters Relating to Section 162(m) of the Internal Revenue Code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Under Section 162(m) of the Internal Revenue Code, we are generally precluded from deducting compensation in excess of $1 million per year paid to our chief executive officer and our next four highest paid executive officers. For purposes of this limitation, there is excluded from compensation any payments that an executive receives under performance-based plans that meet certain requirements specified by the Internal Revenue Code. The Plan does not qualify as a performance-based plan and, accordingly, compensation realized in respect of awards will be subject to the Section 162(m) limitation. Consequently, the granting of awards under the Plan, either alone or in conjunction with other compensation, could cause us to have non-deductible compensation expense.</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Matters Relating to Change of Control</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Administrator may provide that the vesting of an award be accelerated upon a change of control. In such event, all or a portion of the relevant award may be deemed a "parachute payment". Under provisions of the Internal Revenue Code, (1) the recipient of an "excess parachute payments" (as defined in Section 280G of the Internal Revenue Code) would be required to pay a 20% excise tax thereon (in addition to income tax otherwise owed) and (2) the "excess parachute payment" would not be deductible to our Company. If any of our executive officers is required to pay such an excise tax, we will be required to pay the executive an amount that is sufficient on an after-tax basis to offset such payment.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Non-Qualified Options. No income will be recognized by a participant upon the grant of a non-qualified option. Upon exercise, the participant will generally have ordinary income in the amount equal to the excess of the fair market value of the shares acquired over the exercise price. The income recognized by an employee participant will be subject to tax withholding. Upon a later sale of such shares, the participant will have capital gain or loss in an amount equal to the difference between the amount realized on such sale and the tax basis of the shares sold. We will be entitled to a tax deduction in the same amount as the ordinary income recognized by the participant with respect to shares acquired upon exercise of the non-qualified option.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Incentive Stock Options. No income will be recognized by a participant upon the grant of an incentive stock option. Further, the participant will recognize no income at the time of exercise (although a participant may have income for purposes of alternative minimum tax calculations), and we will not be allowed a deduction for federal income tax purposes in connection with the grant or exercise of an option. If the participant holds the acquired shares two years from the date of grant and one year from the date of exercise the entire gain (or loss) realized when the participant eventually disposes of the stock is treated as long term capital gain (or loss). If the shares are disposed of before such holding period requirements are satisfied, the participant will recognize ordinary income in an amount equal to the lesser of the difference between (1) the exercise price and the fair market value of the shares on the date of exercise or (2) the exercise price and the sales proceeds. Any remaining gain or loss will be treated as capital gain or loss. We will be entitled to a federal income tax deduction equal to the amount of ordinary income recognized by the participant.</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INTERESTS OF CERTAIN PERSONS IN MATTERS TO BE ACTED UPON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Upon the adoption of the Plan, we intend to use the Plan to compensate our directors, officers, employees and consultants with equity compensation. However, there is no current agreement or obligation obligating us to provide equity compensation and no determination has yet been made regarding potential equity compensation grants.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7" w:name="PGBRK4"/>
      <w:bookmarkStart w:id="48" w:name="PGBRK4"/>
      <w:bookmarkEnd w:id="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 w:name="FTR4"/>
      <w:bookmarkStart w:id="50" w:name="FTR4"/>
      <w:bookmarkEnd w:id="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1" w:name="GLFTR4"/>
      <w:bookmarkEnd w:id="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2" w:name="PN4"/>
      <w:bookmarkEnd w:id="52"/>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 w:name="HDR4"/>
      <w:bookmarkStart w:id="54" w:name="HDR4"/>
      <w:bookmarkEnd w:id="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5" w:name="GLHDR4"/>
      <w:bookmarkEnd w:id="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REASON FOR, AND THE EFFECT OF, THE ADOPTION OF THE 2009 STOCK INCENTIVE PLAN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We depend on our key employees. Due to the specialized nature of our business and the biotech industry in general, our success depends upon our ability to attract and retain qualified scientific and executive personnel. We will implement the 2009 Stock Incentive Plan to entice potential management candidates and to encourage those working for us to remain in those positions. We believe that the 2007 Stock Option Plan alone is no longer sufficient to meet these goals. If the awards under the 2009 Stock Incentive Plan are granted, your ownership interest in our Company and the value of your common stock could be diluted.</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ACTION III</w:t>
      </w:r>
    </w:p>
    <w:p>
      <w:pPr>
        <w:pStyle w:val="TextBody"/>
        <w:spacing w:before="0" w:after="0"/>
        <w:ind w:left="0" w:right="0" w:hanging="0"/>
        <w:jc w:val="center"/>
        <w:rPr>
          <w:rFonts w:ascii="Times New Roman" w:hAnsi="Times New Roman"/>
          <w:b/>
          <w:sz w:val="20"/>
        </w:rPr>
      </w:pPr>
      <w:r>
        <w:rPr>
          <w:rFonts w:ascii="Times New Roman" w:hAnsi="Times New Roman"/>
          <w:b/>
          <w:sz w:val="20"/>
        </w:rPr>
        <w:t>REDUCTION OF EXERCISE PRICE OF OPTIONS ISSUED UNDER 2007 STOCK INCENTIVE PLAN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majority shareholders and the Board of Directors have approved a reduction in the exercise price of the options granted under our 2007 Stock Incentive Plan from $2.50 per common share to $0.97 per common share, the closing price of the common shares on the Over-the-Counter Bulletin Board on the date of the Board of Directors resolution approving the amendment.</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bookmarkStart w:id="56" w:name="directors"/>
      <w:bookmarkEnd w:id="56"/>
      <w:r>
        <w:rPr>
          <w:rFonts w:ascii="Times New Roman" w:hAnsi="Times New Roman"/>
          <w:b/>
          <w:i/>
          <w:sz w:val="20"/>
        </w:rPr>
        <w:t>EXECUTIVE COMPENSATION</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Compensation Discussion and Analysis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following table sets forth the compensation paid to our Principal Executive Officer during our fiscal years ended December 31, 2009 and December 31, 2008:</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Summary Compensation Table</w:t>
      </w:r>
    </w:p>
    <w:tbl>
      <w:tblPr>
        <w:tblW w:w="5000" w:type="pct"/>
        <w:jc w:val="left"/>
        <w:tblInd w:w="0" w:type="dxa"/>
        <w:tblCellMar>
          <w:top w:w="28" w:type="dxa"/>
          <w:left w:w="0" w:type="dxa"/>
          <w:bottom w:w="28" w:type="dxa"/>
          <w:right w:w="0" w:type="dxa"/>
        </w:tblCellMar>
      </w:tblPr>
      <w:tblGrid>
        <w:gridCol w:w="2319"/>
        <w:gridCol w:w="773"/>
        <w:gridCol w:w="1058"/>
        <w:gridCol w:w="1132"/>
        <w:gridCol w:w="1161"/>
        <w:gridCol w:w="1272"/>
        <w:gridCol w:w="1314"/>
        <w:gridCol w:w="1176"/>
      </w:tblGrid>
      <w:tr>
        <w:trPr/>
        <w:tc>
          <w:tcPr>
            <w:tcW w:w="2319" w:type="dxa"/>
            <w:tcBorders>
              <w:top w:val="single" w:sz="12" w:space="0" w:color="000000"/>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Name and Principal</w:t>
            </w:r>
          </w:p>
          <w:p>
            <w:pPr>
              <w:pStyle w:val="TableContents"/>
              <w:spacing w:before="0" w:after="0"/>
              <w:ind w:left="0" w:right="0" w:hanging="0"/>
              <w:jc w:val="left"/>
              <w:rPr>
                <w:rFonts w:ascii="times new roman" w:hAnsi="times new roman"/>
                <w:b/>
                <w:sz w:val="20"/>
              </w:rPr>
            </w:pPr>
            <w:r>
              <w:rPr>
                <w:rFonts w:ascii="times new roman" w:hAnsi="times new roman"/>
                <w:b/>
                <w:sz w:val="20"/>
              </w:rPr>
              <w:t>Position</w:t>
            </w:r>
          </w:p>
        </w:tc>
        <w:tc>
          <w:tcPr>
            <w:tcW w:w="773" w:type="dxa"/>
            <w:tcBorders>
              <w:top w:val="single" w:sz="12" w:space="0" w:color="000000"/>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Year</w:t>
            </w:r>
          </w:p>
        </w:tc>
        <w:tc>
          <w:tcPr>
            <w:tcW w:w="1058" w:type="dxa"/>
            <w:tcBorders>
              <w:top w:val="single" w:sz="12" w:space="0" w:color="000000"/>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Salary</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1132" w:type="dxa"/>
            <w:tcBorders>
              <w:top w:val="single" w:sz="12" w:space="0" w:color="000000"/>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Bonus</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1161" w:type="dxa"/>
            <w:tcBorders>
              <w:top w:val="single" w:sz="12" w:space="0" w:color="000000"/>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w:t>
            </w:r>
          </w:p>
          <w:p>
            <w:pPr>
              <w:pStyle w:val="TableContents"/>
              <w:spacing w:before="0" w:after="0"/>
              <w:ind w:left="0" w:right="0" w:hanging="0"/>
              <w:jc w:val="center"/>
              <w:rPr>
                <w:rFonts w:ascii="times new roman" w:hAnsi="times new roman"/>
                <w:b/>
                <w:sz w:val="20"/>
              </w:rPr>
            </w:pPr>
            <w:r>
              <w:rPr>
                <w:rFonts w:ascii="times new roman" w:hAnsi="times new roman"/>
                <w:b/>
                <w:sz w:val="20"/>
              </w:rPr>
              <w:t>Awards</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1272" w:type="dxa"/>
            <w:tcBorders>
              <w:top w:val="single" w:sz="12" w:space="0" w:color="000000"/>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Option</w:t>
            </w:r>
          </w:p>
          <w:p>
            <w:pPr>
              <w:pStyle w:val="TableContents"/>
              <w:spacing w:before="0" w:after="0"/>
              <w:ind w:left="0" w:right="0" w:hanging="0"/>
              <w:jc w:val="center"/>
              <w:rPr>
                <w:rFonts w:ascii="times new roman" w:hAnsi="times new roman"/>
                <w:b/>
                <w:sz w:val="20"/>
              </w:rPr>
            </w:pPr>
            <w:r>
              <w:rPr>
                <w:rFonts w:ascii="times new roman" w:hAnsi="times new roman"/>
                <w:b/>
                <w:sz w:val="20"/>
              </w:rPr>
              <w:t>Awards</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1314" w:type="dxa"/>
            <w:tcBorders>
              <w:top w:val="single" w:sz="12" w:space="0" w:color="000000"/>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All Other</w:t>
            </w:r>
          </w:p>
          <w:p>
            <w:pPr>
              <w:pStyle w:val="TableContents"/>
              <w:spacing w:before="0" w:after="0"/>
              <w:ind w:left="0" w:right="0" w:hanging="0"/>
              <w:jc w:val="center"/>
              <w:rPr>
                <w:rFonts w:ascii="times new roman" w:hAnsi="times new roman"/>
                <w:b/>
                <w:sz w:val="20"/>
              </w:rPr>
            </w:pPr>
            <w:r>
              <w:rPr>
                <w:rFonts w:ascii="times new roman" w:hAnsi="times new roman"/>
                <w:b/>
                <w:sz w:val="20"/>
              </w:rPr>
              <w:t>Compen-sation</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1176" w:type="dxa"/>
            <w:tcBorders>
              <w:top w:val="single" w:sz="12" w:space="0" w:color="000000"/>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r>
      <w:tr>
        <w:trPr/>
        <w:tc>
          <w:tcPr>
            <w:tcW w:w="2319" w:type="dxa"/>
            <w:tcBorders/>
            <w:shd w:fill="CCEEFF"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Denis Corin</w:t>
            </w:r>
          </w:p>
          <w:p>
            <w:pPr>
              <w:pStyle w:val="TableContents"/>
              <w:spacing w:before="0" w:after="0"/>
              <w:ind w:left="0" w:right="0" w:hanging="0"/>
              <w:jc w:val="left"/>
              <w:rPr>
                <w:rFonts w:ascii="times new roman" w:hAnsi="times new roman"/>
                <w:i/>
                <w:sz w:val="20"/>
              </w:rPr>
            </w:pPr>
            <w:r>
              <w:rPr>
                <w:rFonts w:ascii="times new roman" w:hAnsi="times new roman"/>
                <w:i/>
                <w:sz w:val="20"/>
              </w:rPr>
              <w:t>President, CEO(1)</w:t>
            </w:r>
          </w:p>
        </w:tc>
        <w:tc>
          <w:tcPr>
            <w:tcW w:w="773" w:type="dxa"/>
            <w:tcBorders/>
            <w:shd w:fill="CCEEFF"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p>
            <w:pPr>
              <w:pStyle w:val="TableContents"/>
              <w:spacing w:before="0" w:after="0"/>
              <w:ind w:left="0" w:right="0" w:hanging="0"/>
              <w:jc w:val="center"/>
              <w:rPr>
                <w:rFonts w:ascii="times new roman" w:hAnsi="times new roman"/>
                <w:sz w:val="20"/>
              </w:rPr>
            </w:pPr>
            <w:r>
              <w:rPr>
                <w:rFonts w:ascii="times new roman" w:hAnsi="times new roman"/>
                <w:sz w:val="20"/>
              </w:rPr>
              <w:t>2008</w:t>
            </w:r>
          </w:p>
        </w:tc>
        <w:tc>
          <w:tcPr>
            <w:tcW w:w="1058" w:type="dxa"/>
            <w:tcBorders/>
            <w:shd w:fill="CCEEFF"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138,600</w:t>
            </w:r>
          </w:p>
          <w:p>
            <w:pPr>
              <w:pStyle w:val="TableContents"/>
              <w:spacing w:before="0" w:after="0"/>
              <w:ind w:left="0" w:right="0" w:hanging="0"/>
              <w:jc w:val="center"/>
              <w:rPr>
                <w:rFonts w:ascii="times new roman" w:hAnsi="times new roman"/>
                <w:sz w:val="20"/>
              </w:rPr>
            </w:pPr>
            <w:r>
              <w:rPr>
                <w:rFonts w:ascii="times new roman" w:hAnsi="times new roman"/>
                <w:sz w:val="20"/>
              </w:rPr>
              <w:t>132,000</w:t>
            </w:r>
          </w:p>
        </w:tc>
        <w:tc>
          <w:tcPr>
            <w:tcW w:w="1132" w:type="dxa"/>
            <w:tcBorders/>
            <w:shd w:fill="CCEEFF"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61" w:type="dxa"/>
            <w:tcBorders/>
            <w:shd w:fill="CCEEFF"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272" w:type="dxa"/>
            <w:tcBorders/>
            <w:shd w:fill="CCEEFF"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314" w:type="dxa"/>
            <w:tcBorders/>
            <w:shd w:fill="CCEEFF"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76" w:type="dxa"/>
            <w:tcBorders/>
            <w:shd w:fill="CCEEFF"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138,600</w:t>
            </w:r>
          </w:p>
          <w:p>
            <w:pPr>
              <w:pStyle w:val="TableContents"/>
              <w:spacing w:before="0" w:after="0"/>
              <w:ind w:left="0" w:right="0" w:hanging="0"/>
              <w:jc w:val="center"/>
              <w:rPr>
                <w:rFonts w:ascii="times new roman" w:hAnsi="times new roman"/>
                <w:sz w:val="20"/>
              </w:rPr>
            </w:pPr>
            <w:r>
              <w:rPr>
                <w:rFonts w:ascii="times new roman" w:hAnsi="times new roman"/>
                <w:sz w:val="20"/>
              </w:rPr>
              <w:t>133,332</w:t>
            </w:r>
          </w:p>
        </w:tc>
      </w:tr>
      <w:tr>
        <w:trPr/>
        <w:tc>
          <w:tcPr>
            <w:tcW w:w="2319" w:type="dxa"/>
            <w:tcBorders>
              <w:bottom w:val="double" w:sz="8" w:space="0" w:color="000000"/>
            </w:tcBorders>
            <w:shd w:fill="FFFFFF" w:val="clear"/>
            <w:tcMar>
              <w:top w:w="0" w:type="dxa"/>
            </w:tcM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Glynn Wilson</w:t>
            </w:r>
          </w:p>
          <w:p>
            <w:pPr>
              <w:pStyle w:val="TableContents"/>
              <w:spacing w:before="0" w:after="0"/>
              <w:ind w:left="0" w:right="0" w:hanging="0"/>
              <w:jc w:val="left"/>
              <w:rPr>
                <w:rFonts w:ascii="times new roman" w:hAnsi="times new roman"/>
                <w:i/>
                <w:sz w:val="20"/>
              </w:rPr>
            </w:pPr>
            <w:r>
              <w:rPr>
                <w:rFonts w:ascii="times new roman" w:hAnsi="times new roman"/>
                <w:i/>
                <w:sz w:val="20"/>
              </w:rPr>
              <w:t>Executive Chairman (2)</w:t>
            </w:r>
          </w:p>
        </w:tc>
        <w:tc>
          <w:tcPr>
            <w:tcW w:w="773" w:type="dxa"/>
            <w:tcBorders>
              <w:bottom w:val="double" w:sz="8" w:space="0" w:color="000000"/>
            </w:tcBorders>
            <w:shd w:fill="FFFFFF"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058" w:type="dxa"/>
            <w:tcBorders>
              <w:bottom w:val="double" w:sz="8" w:space="0" w:color="000000"/>
            </w:tcBorders>
            <w:shd w:fill="FFFFFF"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101,500</w:t>
            </w:r>
          </w:p>
        </w:tc>
        <w:tc>
          <w:tcPr>
            <w:tcW w:w="1132" w:type="dxa"/>
            <w:tcBorders>
              <w:bottom w:val="double" w:sz="8" w:space="0" w:color="000000"/>
            </w:tcBorders>
            <w:shd w:fill="FFFFFF"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61" w:type="dxa"/>
            <w:tcBorders>
              <w:bottom w:val="double" w:sz="8" w:space="0" w:color="000000"/>
            </w:tcBorders>
            <w:shd w:fill="FFFFFF"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272" w:type="dxa"/>
            <w:tcBorders>
              <w:bottom w:val="double" w:sz="8" w:space="0" w:color="000000"/>
            </w:tcBorders>
            <w:shd w:fill="FFFFFF"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314" w:type="dxa"/>
            <w:tcBorders>
              <w:bottom w:val="double" w:sz="8" w:space="0" w:color="000000"/>
            </w:tcBorders>
            <w:shd w:fill="FFFFFF"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76" w:type="dxa"/>
            <w:tcBorders>
              <w:bottom w:val="double" w:sz="8" w:space="0" w:color="000000"/>
            </w:tcBorders>
            <w:shd w:fill="FFFFFF"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101,500</w:t>
            </w:r>
          </w:p>
        </w:tc>
      </w:tr>
    </w:tbl>
    <w:p>
      <w:pPr>
        <w:pStyle w:val="TextBody"/>
        <w:spacing w:before="0" w:after="0"/>
        <w:ind w:left="0" w:right="0" w:hanging="0"/>
        <w:jc w:val="left"/>
        <w:rPr>
          <w:rFonts w:ascii="Times New Roman" w:hAnsi="Times New Roman"/>
          <w:sz w:val="20"/>
        </w:rPr>
      </w:pPr>
      <w:r>
        <w:rPr>
          <w:rFonts w:ascii="Times New Roman" w:hAnsi="Times New Roman"/>
          <w:sz w:val="20"/>
        </w:rPr>
        <w:t>(1) Denis Corin resigned as our Chief Executive Officer on July 1, 2009, but remains as our President.  His resignation as our Chief Executive Officer has not affected his compensation levels.</w:t>
      </w:r>
    </w:p>
    <w:p>
      <w:pPr>
        <w:pStyle w:val="TextBody"/>
        <w:spacing w:before="0" w:after="0"/>
        <w:ind w:left="0" w:right="0" w:hanging="0"/>
        <w:jc w:val="left"/>
        <w:rPr>
          <w:rFonts w:ascii="Times New Roman" w:hAnsi="Times New Roman"/>
          <w:sz w:val="20"/>
        </w:rPr>
      </w:pPr>
      <w:r>
        <w:rPr>
          <w:rFonts w:ascii="Times New Roman" w:hAnsi="Times New Roman"/>
          <w:sz w:val="20"/>
        </w:rPr>
        <w:t>(2) Mr. Wilson was appointed our Executive Chairman on July 1, 2009.</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amounts represent fees paid or accrued by us to the Principal Executive Officer during the past year pursuant to various employment and consulting services agreements, as between us and the Principal Executive Officer, which is described below.  Our Principal Executive Officer is also reimbursed for any out-of-pocket expenses incurred by him in connection with his duties.  We presently have no pension, health, annuity, insurance, profit sharing or similar benefit plans.</w:t>
      </w:r>
    </w:p>
    <w:p>
      <w:pPr>
        <w:pStyle w:val="TextBody"/>
        <w:spacing w:before="0" w:after="0"/>
        <w:ind w:left="0" w:right="0" w:hanging="0"/>
        <w:jc w:val="left"/>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7" w:name="PGBRK5"/>
      <w:bookmarkStart w:id="58" w:name="PGBRK5"/>
      <w:bookmarkEnd w:id="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 w:name="FTR5"/>
      <w:bookmarkStart w:id="60" w:name="FTR5"/>
      <w:bookmarkEnd w:id="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1" w:name="GLFTR5"/>
      <w:bookmarkEnd w:id="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2" w:name="PN5"/>
      <w:bookmarkEnd w:id="62"/>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3" w:name="HDR5"/>
      <w:bookmarkStart w:id="64" w:name="HDR5"/>
      <w:bookmarkEnd w:id="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5" w:name="GLHDR5"/>
      <w:bookmarkEnd w:id="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36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following table sets forth information relating to compensation paid to our directors in the fiscal year ended December 31, 2009:</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Director Compensation Table</w:t>
      </w:r>
    </w:p>
    <w:tbl>
      <w:tblPr>
        <w:tblW w:w="5000" w:type="pct"/>
        <w:jc w:val="left"/>
        <w:tblInd w:w="0" w:type="dxa"/>
        <w:tblCellMar>
          <w:top w:w="28" w:type="dxa"/>
          <w:left w:w="0" w:type="dxa"/>
          <w:bottom w:w="28" w:type="dxa"/>
          <w:right w:w="0" w:type="dxa"/>
        </w:tblCellMar>
      </w:tblPr>
      <w:tblGrid>
        <w:gridCol w:w="1788"/>
        <w:gridCol w:w="946"/>
        <w:gridCol w:w="1684"/>
        <w:gridCol w:w="1157"/>
        <w:gridCol w:w="1157"/>
        <w:gridCol w:w="2316"/>
        <w:gridCol w:w="842"/>
        <w:gridCol w:w="210"/>
        <w:gridCol w:w="105"/>
      </w:tblGrid>
      <w:tr>
        <w:trPr/>
        <w:tc>
          <w:tcPr>
            <w:tcW w:w="1788" w:type="dxa"/>
            <w:tcBorders>
              <w:top w:val="single" w:sz="12" w:space="0" w:color="000000"/>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Name</w:t>
            </w:r>
          </w:p>
        </w:tc>
        <w:tc>
          <w:tcPr>
            <w:tcW w:w="946" w:type="dxa"/>
            <w:tcBorders>
              <w:top w:val="single" w:sz="12" w:space="0" w:color="000000"/>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Year</w:t>
            </w:r>
          </w:p>
        </w:tc>
        <w:tc>
          <w:tcPr>
            <w:tcW w:w="1684" w:type="dxa"/>
            <w:tcBorders>
              <w:top w:val="single" w:sz="12" w:space="0" w:color="000000"/>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Fees</w:t>
            </w:r>
          </w:p>
          <w:p>
            <w:pPr>
              <w:pStyle w:val="TableContents"/>
              <w:spacing w:before="0" w:after="0"/>
              <w:ind w:left="0" w:right="0" w:hanging="0"/>
              <w:jc w:val="center"/>
              <w:rPr>
                <w:rFonts w:ascii="times new roman" w:hAnsi="times new roman"/>
                <w:b/>
                <w:sz w:val="20"/>
              </w:rPr>
            </w:pPr>
            <w:r>
              <w:rPr>
                <w:rFonts w:ascii="times new roman" w:hAnsi="times new roman"/>
                <w:b/>
                <w:sz w:val="20"/>
              </w:rPr>
              <w:t>Earned or</w:t>
            </w:r>
          </w:p>
          <w:p>
            <w:pPr>
              <w:pStyle w:val="TableContents"/>
              <w:spacing w:before="0" w:after="0"/>
              <w:ind w:left="0" w:right="0" w:hanging="0"/>
              <w:jc w:val="center"/>
              <w:rPr>
                <w:rFonts w:ascii="times new roman" w:hAnsi="times new roman"/>
                <w:b/>
                <w:sz w:val="20"/>
              </w:rPr>
            </w:pPr>
            <w:r>
              <w:rPr>
                <w:rFonts w:ascii="times new roman" w:hAnsi="times new roman"/>
                <w:b/>
                <w:sz w:val="20"/>
              </w:rPr>
              <w:t>Paid in</w:t>
            </w:r>
          </w:p>
          <w:p>
            <w:pPr>
              <w:pStyle w:val="TableContents"/>
              <w:spacing w:before="0" w:after="0"/>
              <w:ind w:left="0" w:right="0" w:hanging="0"/>
              <w:jc w:val="center"/>
              <w:rPr>
                <w:rFonts w:ascii="times new roman" w:hAnsi="times new roman"/>
                <w:b/>
                <w:sz w:val="20"/>
              </w:rPr>
            </w:pPr>
            <w:r>
              <w:rPr>
                <w:rFonts w:ascii="times new roman" w:hAnsi="times new roman"/>
                <w:b/>
                <w:sz w:val="20"/>
              </w:rPr>
              <w:t>Cash</w:t>
            </w:r>
          </w:p>
        </w:tc>
        <w:tc>
          <w:tcPr>
            <w:tcW w:w="1157" w:type="dxa"/>
            <w:tcBorders>
              <w:top w:val="single" w:sz="12" w:space="0" w:color="000000"/>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w:t>
            </w:r>
          </w:p>
          <w:p>
            <w:pPr>
              <w:pStyle w:val="TableContents"/>
              <w:spacing w:before="0" w:after="0"/>
              <w:ind w:left="0" w:right="0" w:hanging="0"/>
              <w:jc w:val="center"/>
              <w:rPr>
                <w:rFonts w:ascii="times new roman" w:hAnsi="times new roman"/>
                <w:b/>
                <w:sz w:val="20"/>
              </w:rPr>
            </w:pPr>
            <w:r>
              <w:rPr>
                <w:rFonts w:ascii="times new roman" w:hAnsi="times new roman"/>
                <w:b/>
                <w:sz w:val="20"/>
              </w:rPr>
              <w:t>Awards</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1157" w:type="dxa"/>
            <w:tcBorders>
              <w:top w:val="single" w:sz="12" w:space="0" w:color="000000"/>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Option</w:t>
            </w:r>
          </w:p>
          <w:p>
            <w:pPr>
              <w:pStyle w:val="TableContents"/>
              <w:spacing w:before="0" w:after="0"/>
              <w:ind w:left="0" w:right="0" w:hanging="0"/>
              <w:jc w:val="center"/>
              <w:rPr>
                <w:rFonts w:ascii="times new roman" w:hAnsi="times new roman"/>
                <w:b/>
                <w:sz w:val="20"/>
              </w:rPr>
            </w:pPr>
            <w:r>
              <w:rPr>
                <w:rFonts w:ascii="times new roman" w:hAnsi="times new roman"/>
                <w:b/>
                <w:sz w:val="20"/>
              </w:rPr>
              <w:t>Awards</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2316" w:type="dxa"/>
            <w:tcBorders>
              <w:top w:val="single" w:sz="12" w:space="0" w:color="000000"/>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All Other</w:t>
            </w:r>
          </w:p>
          <w:p>
            <w:pPr>
              <w:pStyle w:val="TableContents"/>
              <w:spacing w:before="0" w:after="0"/>
              <w:ind w:left="0" w:right="0" w:hanging="0"/>
              <w:jc w:val="center"/>
              <w:rPr>
                <w:rFonts w:ascii="times new roman" w:hAnsi="times new roman"/>
                <w:b/>
                <w:sz w:val="20"/>
              </w:rPr>
            </w:pPr>
            <w:r>
              <w:rPr>
                <w:rFonts w:ascii="times new roman" w:hAnsi="times new roman"/>
                <w:b/>
                <w:sz w:val="20"/>
              </w:rPr>
              <w:t>Compensation</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842" w:type="dxa"/>
            <w:tcBorders>
              <w:top w:val="single" w:sz="12" w:space="0" w:color="000000"/>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210" w:type="dxa"/>
            <w:tcBorders/>
            <w:shd w:fill="auto" w:val="clear"/>
            <w:tcMar>
              <w:top w:w="0" w:type="dxa"/>
              <w:bottom w:w="0" w:type="dxa"/>
            </w:tcMar>
          </w:tcPr>
          <w:p>
            <w:pPr>
              <w:pStyle w:val="TableContents"/>
              <w:spacing w:before="0" w:after="283"/>
              <w:rPr/>
            </w:pPr>
            <w:r>
              <w:rPr/>
              <w:t xml:space="preserve">  </w:t>
            </w:r>
          </w:p>
        </w:tc>
        <w:tc>
          <w:tcPr>
            <w:tcW w:w="105" w:type="dxa"/>
            <w:tcBorders/>
            <w:shd w:fill="auto" w:val="clear"/>
            <w:tcMar>
              <w:top w:w="0" w:type="dxa"/>
              <w:bottom w:w="0" w:type="dxa"/>
            </w:tcMar>
          </w:tcPr>
          <w:p>
            <w:pPr>
              <w:pStyle w:val="TableContents"/>
              <w:spacing w:before="0" w:after="283"/>
              <w:rPr/>
            </w:pPr>
            <w:r>
              <w:rPr/>
              <w:t xml:space="preserve">  </w:t>
            </w:r>
          </w:p>
        </w:tc>
      </w:tr>
      <w:tr>
        <w:trPr/>
        <w:tc>
          <w:tcPr>
            <w:tcW w:w="1788" w:type="dxa"/>
            <w:tcBorders/>
            <w:shd w:fill="CCEEFF" w:val="clear"/>
            <w:tcMar>
              <w:top w:w="0" w:type="dxa"/>
              <w:bottom w:w="0" w:type="dxa"/>
            </w:tcMar>
            <w:vAlign w:val="bottom"/>
          </w:tcPr>
          <w:p>
            <w:pPr>
              <w:pStyle w:val="TableContents"/>
              <w:spacing w:before="0" w:after="0"/>
              <w:jc w:val="left"/>
              <w:rPr/>
            </w:pPr>
            <w:r>
              <w:rPr/>
              <w:t> </w:t>
            </w:r>
          </w:p>
          <w:p>
            <w:pPr>
              <w:pStyle w:val="TableContents"/>
              <w:spacing w:before="0" w:after="0"/>
              <w:ind w:left="360" w:right="0" w:hanging="0"/>
              <w:jc w:val="left"/>
              <w:rPr>
                <w:rFonts w:ascii="times new roman" w:hAnsi="times new roman"/>
                <w:sz w:val="20"/>
              </w:rPr>
            </w:pPr>
            <w:r>
              <w:rPr>
                <w:rFonts w:ascii="times new roman" w:hAnsi="times new roman"/>
                <w:sz w:val="20"/>
              </w:rPr>
              <w:t>Alan P. Lindsay (1)</w:t>
            </w:r>
          </w:p>
        </w:tc>
        <w:tc>
          <w:tcPr>
            <w:tcW w:w="946" w:type="dxa"/>
            <w:tcBorders/>
            <w:shd w:fill="CCEEFF" w:val="clear"/>
            <w:tcMar>
              <w:top w:w="0" w:type="dxa"/>
              <w:bottom w:w="0" w:type="dxa"/>
            </w:tcMar>
            <w:vAlign w:val="bottom"/>
          </w:tcPr>
          <w:p>
            <w:pPr>
              <w:pStyle w:val="TableContents"/>
              <w:spacing w:before="0" w:after="0"/>
              <w:jc w:val="center"/>
              <w:rPr/>
            </w:pPr>
            <w:r>
              <w:rPr/>
              <w:t xml:space="preserve">  </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684" w:type="dxa"/>
            <w:tcBorders/>
            <w:shd w:fill="CCEEFF" w:val="clear"/>
            <w:tcMar>
              <w:top w:w="0" w:type="dxa"/>
              <w:bottom w:w="0" w:type="dxa"/>
            </w:tcMar>
            <w:vAlign w:val="bottom"/>
          </w:tcPr>
          <w:p>
            <w:pPr>
              <w:pStyle w:val="TableContents"/>
              <w:spacing w:before="0" w:after="0"/>
              <w:rPr/>
            </w:pPr>
            <w:r>
              <w:rPr/>
              <w:t xml:space="preserve">  </w:t>
            </w:r>
          </w:p>
          <w:p>
            <w:pPr>
              <w:pStyle w:val="TableContents"/>
              <w:spacing w:before="0" w:after="0"/>
              <w:ind w:left="0" w:right="0" w:hanging="0"/>
              <w:jc w:val="center"/>
              <w:rPr/>
            </w:pPr>
            <w:r>
              <w:rPr/>
              <w:t> </w:t>
            </w:r>
            <w:r>
              <w:rPr>
                <w:rFonts w:ascii="times new roman" w:hAnsi="times new roman"/>
                <w:sz w:val="20"/>
              </w:rPr>
              <w:t>25,000</w:t>
            </w:r>
          </w:p>
        </w:tc>
        <w:tc>
          <w:tcPr>
            <w:tcW w:w="1157" w:type="dxa"/>
            <w:tcBorders/>
            <w:shd w:fill="CCEEFF" w:val="clear"/>
            <w:tcMar>
              <w:top w:w="0" w:type="dxa"/>
              <w:bottom w:w="0" w:type="dxa"/>
            </w:tcMar>
            <w:vAlign w:val="bottom"/>
          </w:tcPr>
          <w:p>
            <w:pPr>
              <w:pStyle w:val="TableContents"/>
              <w:spacing w:before="0" w:after="283"/>
              <w:jc w:val="center"/>
              <w:rPr/>
            </w:pPr>
            <w:r>
              <w:rPr/>
              <w:t> </w:t>
            </w:r>
            <w:r>
              <w:rPr>
                <w:rFonts w:ascii="times new roman" w:hAnsi="times new roman"/>
                <w:sz w:val="20"/>
              </w:rPr>
              <w:t>Nil</w:t>
            </w:r>
          </w:p>
        </w:tc>
        <w:tc>
          <w:tcPr>
            <w:tcW w:w="1157" w:type="dxa"/>
            <w:tcBorders/>
            <w:shd w:fill="CCEEFF" w:val="clear"/>
            <w:tcMar>
              <w:top w:w="0" w:type="dxa"/>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Nil </w:t>
            </w:r>
          </w:p>
        </w:tc>
        <w:tc>
          <w:tcPr>
            <w:tcW w:w="2316" w:type="dxa"/>
            <w:tcBorders/>
            <w:shd w:fill="CCEEFF" w:val="clear"/>
            <w:tcMar>
              <w:top w:w="0" w:type="dxa"/>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Nil </w:t>
            </w:r>
          </w:p>
        </w:tc>
        <w:tc>
          <w:tcPr>
            <w:tcW w:w="842" w:type="dxa"/>
            <w:tcBorders/>
            <w:shd w:fill="CCEEFF" w:val="clear"/>
            <w:tcMar>
              <w:top w:w="0" w:type="dxa"/>
              <w:bottom w:w="0" w:type="dxa"/>
            </w:tcMar>
            <w:vAlign w:val="bottom"/>
          </w:tcPr>
          <w:p>
            <w:pPr>
              <w:pStyle w:val="TableContents"/>
              <w:spacing w:before="0" w:after="283"/>
              <w:jc w:val="center"/>
              <w:rPr/>
            </w:pPr>
            <w:r>
              <w:rPr/>
              <w:t> </w:t>
            </w:r>
            <w:r>
              <w:rPr>
                <w:rFonts w:ascii="times new roman" w:hAnsi="times new roman"/>
                <w:sz w:val="20"/>
              </w:rPr>
              <w:t>Nil</w:t>
            </w:r>
          </w:p>
        </w:tc>
        <w:tc>
          <w:tcPr>
            <w:tcW w:w="210" w:type="dxa"/>
            <w:tcBorders/>
            <w:shd w:fill="CCEEFF" w:val="clear"/>
            <w:tcMar>
              <w:top w:w="0" w:type="dxa"/>
              <w:bottom w:w="0" w:type="dxa"/>
            </w:tcMar>
          </w:tcPr>
          <w:p>
            <w:pPr>
              <w:pStyle w:val="TableContents"/>
              <w:spacing w:before="0" w:after="283"/>
              <w:rPr/>
            </w:pPr>
            <w:r>
              <w:rPr/>
              <w:t> </w:t>
            </w:r>
          </w:p>
        </w:tc>
        <w:tc>
          <w:tcPr>
            <w:tcW w:w="105" w:type="dxa"/>
            <w:tcBorders/>
            <w:shd w:fill="CCEEFF" w:val="clear"/>
            <w:tcMar>
              <w:top w:w="0" w:type="dxa"/>
              <w:bottom w:w="0" w:type="dxa"/>
            </w:tcMar>
          </w:tcPr>
          <w:p>
            <w:pPr>
              <w:pStyle w:val="TableContents"/>
              <w:spacing w:before="0" w:after="283"/>
              <w:rPr/>
            </w:pPr>
            <w:r>
              <w:rPr/>
              <w:t> </w:t>
            </w:r>
          </w:p>
        </w:tc>
      </w:tr>
      <w:tr>
        <w:trPr/>
        <w:tc>
          <w:tcPr>
            <w:tcW w:w="1788" w:type="dxa"/>
            <w:tcBorders/>
            <w:shd w:fill="FFFFFF" w:val="clear"/>
            <w:tcMar>
              <w:top w:w="0" w:type="dxa"/>
              <w:bottom w:w="0" w:type="dxa"/>
            </w:tcMar>
            <w:vAlign w:val="bottom"/>
          </w:tcPr>
          <w:p>
            <w:pPr>
              <w:pStyle w:val="TableContents"/>
              <w:spacing w:before="0" w:after="0"/>
              <w:jc w:val="left"/>
              <w:rPr/>
            </w:pPr>
            <w:r>
              <w:rPr/>
              <w:t> </w:t>
            </w:r>
          </w:p>
          <w:p>
            <w:pPr>
              <w:pStyle w:val="TableContents"/>
              <w:spacing w:before="0" w:after="0"/>
              <w:ind w:left="360" w:right="0" w:hanging="0"/>
              <w:jc w:val="left"/>
              <w:rPr>
                <w:rFonts w:ascii="times new roman" w:hAnsi="times new roman"/>
                <w:sz w:val="20"/>
              </w:rPr>
            </w:pPr>
            <w:r>
              <w:rPr>
                <w:rFonts w:ascii="times new roman" w:hAnsi="times new roman"/>
                <w:sz w:val="20"/>
              </w:rPr>
              <w:t>Glynn Wilson</w:t>
            </w:r>
          </w:p>
        </w:tc>
        <w:tc>
          <w:tcPr>
            <w:tcW w:w="946" w:type="dxa"/>
            <w:tcBorders/>
            <w:shd w:fill="FFFFFF" w:val="clear"/>
            <w:tcMar>
              <w:top w:w="0" w:type="dxa"/>
              <w:bottom w:w="0" w:type="dxa"/>
            </w:tcMar>
            <w:vAlign w:val="bottom"/>
          </w:tcPr>
          <w:p>
            <w:pPr>
              <w:pStyle w:val="TableContents"/>
              <w:spacing w:before="0" w:after="283"/>
              <w:jc w:val="center"/>
              <w:rPr/>
            </w:pPr>
            <w:r>
              <w:rPr/>
              <w:t> </w:t>
            </w:r>
            <w:r>
              <w:rPr>
                <w:rFonts w:ascii="times new roman" w:hAnsi="times new roman"/>
                <w:sz w:val="20"/>
              </w:rPr>
              <w:t>2009</w:t>
            </w:r>
          </w:p>
        </w:tc>
        <w:tc>
          <w:tcPr>
            <w:tcW w:w="1684" w:type="dxa"/>
            <w:tcBorders/>
            <w:shd w:fill="FFFFFF" w:val="clear"/>
            <w:tcMar>
              <w:top w:w="0" w:type="dxa"/>
              <w:bottom w:w="0" w:type="dxa"/>
            </w:tcMar>
            <w:vAlign w:val="bottom"/>
          </w:tcPr>
          <w:p>
            <w:pPr>
              <w:pStyle w:val="TableContents"/>
              <w:spacing w:before="0" w:after="283"/>
              <w:jc w:val="center"/>
              <w:rPr/>
            </w:pPr>
            <w:r>
              <w:rPr/>
              <w:t xml:space="preserve">  </w:t>
            </w:r>
            <w:r>
              <w:rPr>
                <w:rFonts w:ascii="times new roman" w:hAnsi="times new roman"/>
                <w:sz w:val="20"/>
              </w:rPr>
              <w:t>29,500</w:t>
            </w:r>
          </w:p>
        </w:tc>
        <w:tc>
          <w:tcPr>
            <w:tcW w:w="1157" w:type="dxa"/>
            <w:tcBorders/>
            <w:shd w:fill="FFFFFF" w:val="clear"/>
            <w:tcMar>
              <w:top w:w="0" w:type="dxa"/>
              <w:bottom w:w="0" w:type="dxa"/>
            </w:tcMar>
            <w:vAlign w:val="bottom"/>
          </w:tcPr>
          <w:p>
            <w:pPr>
              <w:pStyle w:val="TableContents"/>
              <w:spacing w:before="0" w:after="283"/>
              <w:jc w:val="center"/>
              <w:rPr/>
            </w:pPr>
            <w:r>
              <w:rPr/>
              <w:t> </w:t>
            </w:r>
            <w:r>
              <w:rPr>
                <w:rFonts w:ascii="times new roman" w:hAnsi="times new roman"/>
                <w:sz w:val="20"/>
              </w:rPr>
              <w:t>Nil</w:t>
            </w:r>
          </w:p>
        </w:tc>
        <w:tc>
          <w:tcPr>
            <w:tcW w:w="1157" w:type="dxa"/>
            <w:tcBorders/>
            <w:shd w:fill="FFFFFF" w:val="clear"/>
            <w:tcMar>
              <w:top w:w="0" w:type="dxa"/>
              <w:bottom w:w="0" w:type="dxa"/>
            </w:tcMar>
            <w:vAlign w:val="bottom"/>
          </w:tcPr>
          <w:p>
            <w:pPr>
              <w:pStyle w:val="TableContents"/>
              <w:spacing w:before="0" w:after="283"/>
              <w:jc w:val="center"/>
              <w:rPr/>
            </w:pPr>
            <w:r>
              <w:rPr/>
              <w:t> </w:t>
            </w:r>
            <w:r>
              <w:rPr>
                <w:rFonts w:ascii="times new roman" w:hAnsi="times new roman"/>
                <w:sz w:val="20"/>
              </w:rPr>
              <w:t>Nil</w:t>
            </w:r>
          </w:p>
        </w:tc>
        <w:tc>
          <w:tcPr>
            <w:tcW w:w="2316" w:type="dxa"/>
            <w:tcBorders/>
            <w:shd w:fill="FFFFFF" w:val="clear"/>
            <w:tcMar>
              <w:top w:w="0" w:type="dxa"/>
              <w:bottom w:w="0" w:type="dxa"/>
            </w:tcMar>
            <w:vAlign w:val="bottom"/>
          </w:tcPr>
          <w:p>
            <w:pPr>
              <w:pStyle w:val="TableContents"/>
              <w:spacing w:before="0" w:after="283"/>
              <w:jc w:val="center"/>
              <w:rPr/>
            </w:pPr>
            <w:r>
              <w:rPr/>
              <w:t> </w:t>
            </w:r>
            <w:r>
              <w:rPr>
                <w:rFonts w:ascii="times new roman" w:hAnsi="times new roman"/>
                <w:sz w:val="20"/>
              </w:rPr>
              <w:t>Nil</w:t>
            </w:r>
          </w:p>
        </w:tc>
        <w:tc>
          <w:tcPr>
            <w:tcW w:w="842" w:type="dxa"/>
            <w:tcBorders/>
            <w:shd w:fill="FFFFFF" w:val="clear"/>
            <w:tcMar>
              <w:top w:w="0" w:type="dxa"/>
              <w:bottom w:w="0" w:type="dxa"/>
            </w:tcMar>
            <w:vAlign w:val="bottom"/>
          </w:tcPr>
          <w:p>
            <w:pPr>
              <w:pStyle w:val="TableContents"/>
              <w:spacing w:before="0" w:after="283"/>
              <w:jc w:val="center"/>
              <w:rPr/>
            </w:pPr>
            <w:r>
              <w:rPr/>
              <w:t> </w:t>
            </w:r>
            <w:r>
              <w:rPr>
                <w:rFonts w:ascii="times new roman" w:hAnsi="times new roman"/>
                <w:sz w:val="20"/>
              </w:rPr>
              <w:t>Nil</w:t>
            </w:r>
          </w:p>
        </w:tc>
        <w:tc>
          <w:tcPr>
            <w:tcW w:w="210" w:type="dxa"/>
            <w:tcBorders/>
            <w:shd w:fill="FFFFFF" w:val="clear"/>
            <w:tcMar>
              <w:top w:w="0" w:type="dxa"/>
              <w:bottom w:w="0" w:type="dxa"/>
            </w:tcMar>
          </w:tcPr>
          <w:p>
            <w:pPr>
              <w:pStyle w:val="TableContents"/>
              <w:spacing w:before="0" w:after="283"/>
              <w:rPr/>
            </w:pPr>
            <w:r>
              <w:rPr/>
              <w:t> </w:t>
            </w:r>
          </w:p>
        </w:tc>
        <w:tc>
          <w:tcPr>
            <w:tcW w:w="105" w:type="dxa"/>
            <w:tcBorders/>
            <w:shd w:fill="FFFFFF" w:val="clear"/>
            <w:tcMar>
              <w:top w:w="0" w:type="dxa"/>
              <w:bottom w:w="0" w:type="dxa"/>
            </w:tcMar>
          </w:tcPr>
          <w:p>
            <w:pPr>
              <w:pStyle w:val="TableContents"/>
              <w:spacing w:before="0" w:after="283"/>
              <w:rPr/>
            </w:pPr>
            <w:r>
              <w:rPr/>
              <w:t> </w:t>
            </w:r>
          </w:p>
        </w:tc>
      </w:tr>
      <w:tr>
        <w:trPr/>
        <w:tc>
          <w:tcPr>
            <w:tcW w:w="1788" w:type="dxa"/>
            <w:tcBorders/>
            <w:shd w:fill="CCEEFF" w:val="clear"/>
            <w:tcMar>
              <w:top w:w="0" w:type="dxa"/>
              <w:bottom w:w="0" w:type="dxa"/>
            </w:tcMar>
            <w:vAlign w:val="bottom"/>
          </w:tcPr>
          <w:p>
            <w:pPr>
              <w:pStyle w:val="TableContents"/>
              <w:spacing w:before="0" w:after="0"/>
              <w:ind w:left="0" w:right="0" w:hanging="0"/>
              <w:jc w:val="left"/>
              <w:rPr/>
            </w:pPr>
            <w:r>
              <w:rPr/>
              <w:t> </w:t>
            </w:r>
          </w:p>
          <w:p>
            <w:pPr>
              <w:pStyle w:val="TableContents"/>
              <w:spacing w:before="0" w:after="0"/>
              <w:ind w:left="360" w:right="0" w:hanging="0"/>
              <w:jc w:val="left"/>
              <w:rPr>
                <w:rFonts w:ascii="times new roman" w:hAnsi="times new roman"/>
                <w:sz w:val="20"/>
              </w:rPr>
            </w:pPr>
            <w:r>
              <w:rPr>
                <w:rFonts w:ascii="times new roman" w:hAnsi="times new roman"/>
                <w:sz w:val="20"/>
              </w:rPr>
              <w:t>Patrick A. McGowan (1)</w:t>
            </w:r>
          </w:p>
        </w:tc>
        <w:tc>
          <w:tcPr>
            <w:tcW w:w="946" w:type="dxa"/>
            <w:tcBorders/>
            <w:shd w:fill="CCEEFF"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684" w:type="dxa"/>
            <w:tcBorders/>
            <w:shd w:fill="CCEEFF"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57" w:type="dxa"/>
            <w:tcBorders/>
            <w:shd w:fill="CCEEFF"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57" w:type="dxa"/>
            <w:tcBorders/>
            <w:shd w:fill="CCEEFF"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2316" w:type="dxa"/>
            <w:tcBorders/>
            <w:shd w:fill="CCEEFF"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842" w:type="dxa"/>
            <w:tcBorders/>
            <w:shd w:fill="CCEEFF"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210" w:type="dxa"/>
            <w:tcBorders/>
            <w:shd w:fill="CCEEFF" w:val="clear"/>
            <w:tcMar>
              <w:top w:w="0" w:type="dxa"/>
              <w:bottom w:w="0" w:type="dxa"/>
            </w:tcMar>
          </w:tcPr>
          <w:p>
            <w:pPr>
              <w:pStyle w:val="TableContents"/>
              <w:spacing w:before="0" w:after="283"/>
              <w:rPr/>
            </w:pPr>
            <w:r>
              <w:rPr/>
              <w:t xml:space="preserve">  </w:t>
            </w:r>
          </w:p>
        </w:tc>
        <w:tc>
          <w:tcPr>
            <w:tcW w:w="105" w:type="dxa"/>
            <w:tcBorders/>
            <w:shd w:fill="CCEEFF" w:val="clear"/>
            <w:tcMar>
              <w:top w:w="0" w:type="dxa"/>
              <w:bottom w:w="0" w:type="dxa"/>
            </w:tcMar>
          </w:tcPr>
          <w:p>
            <w:pPr>
              <w:pStyle w:val="TableContents"/>
              <w:spacing w:before="0" w:after="283"/>
              <w:rPr/>
            </w:pPr>
            <w:r>
              <w:rPr/>
              <w:t xml:space="preserve">  </w:t>
            </w:r>
          </w:p>
        </w:tc>
      </w:tr>
      <w:tr>
        <w:trPr/>
        <w:tc>
          <w:tcPr>
            <w:tcW w:w="1788" w:type="dxa"/>
            <w:tcBorders/>
            <w:shd w:fill="FFFFFF" w:val="clear"/>
            <w:tcMar>
              <w:top w:w="0" w:type="dxa"/>
              <w:bottom w:w="0" w:type="dxa"/>
            </w:tcMar>
            <w:vAlign w:val="bottom"/>
          </w:tcPr>
          <w:p>
            <w:pPr>
              <w:pStyle w:val="TableContents"/>
              <w:spacing w:before="0" w:after="0"/>
              <w:ind w:left="0" w:right="0" w:hanging="0"/>
              <w:jc w:val="left"/>
              <w:rPr/>
            </w:pPr>
            <w:r>
              <w:rPr/>
              <w:t> </w:t>
            </w:r>
          </w:p>
          <w:p>
            <w:pPr>
              <w:pStyle w:val="TableContents"/>
              <w:spacing w:before="0" w:after="0"/>
              <w:ind w:left="360" w:right="0" w:hanging="0"/>
              <w:jc w:val="left"/>
              <w:rPr>
                <w:rFonts w:ascii="times new roman" w:hAnsi="times new roman"/>
                <w:sz w:val="20"/>
              </w:rPr>
            </w:pPr>
            <w:r>
              <w:rPr>
                <w:rFonts w:ascii="times new roman" w:hAnsi="times new roman"/>
                <w:sz w:val="20"/>
              </w:rPr>
              <w:t>Denis Corin (2)</w:t>
            </w:r>
          </w:p>
        </w:tc>
        <w:tc>
          <w:tcPr>
            <w:tcW w:w="946" w:type="dxa"/>
            <w:tcBorders/>
            <w:shd w:fill="FFFFFF"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684" w:type="dxa"/>
            <w:tcBorders/>
            <w:shd w:fill="FFFFFF"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57" w:type="dxa"/>
            <w:tcBorders/>
            <w:shd w:fill="FFFFFF"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57" w:type="dxa"/>
            <w:tcBorders/>
            <w:shd w:fill="FFFFFF"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2316" w:type="dxa"/>
            <w:tcBorders/>
            <w:shd w:fill="FFFFFF"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842" w:type="dxa"/>
            <w:tcBorders/>
            <w:shd w:fill="FFFFFF"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210" w:type="dxa"/>
            <w:tcBorders/>
            <w:shd w:fill="FFFFFF" w:val="clear"/>
            <w:tcMar>
              <w:top w:w="0" w:type="dxa"/>
              <w:bottom w:w="0" w:type="dxa"/>
            </w:tcMar>
          </w:tcPr>
          <w:p>
            <w:pPr>
              <w:pStyle w:val="TableContents"/>
              <w:spacing w:before="0" w:after="283"/>
              <w:rPr/>
            </w:pPr>
            <w:r>
              <w:rPr/>
              <w:t xml:space="preserve">  </w:t>
            </w:r>
          </w:p>
        </w:tc>
        <w:tc>
          <w:tcPr>
            <w:tcW w:w="105" w:type="dxa"/>
            <w:tcBorders/>
            <w:shd w:fill="FFFFFF" w:val="clear"/>
            <w:tcMar>
              <w:top w:w="0" w:type="dxa"/>
              <w:bottom w:w="0" w:type="dxa"/>
            </w:tcMar>
          </w:tcPr>
          <w:p>
            <w:pPr>
              <w:pStyle w:val="TableContents"/>
              <w:spacing w:before="0" w:after="283"/>
              <w:rPr/>
            </w:pPr>
            <w:r>
              <w:rPr/>
              <w:t xml:space="preserve">  </w:t>
            </w:r>
          </w:p>
        </w:tc>
      </w:tr>
      <w:tr>
        <w:trPr/>
        <w:tc>
          <w:tcPr>
            <w:tcW w:w="1788" w:type="dxa"/>
            <w:tcBorders/>
            <w:shd w:fill="CCEEFF" w:val="clear"/>
            <w:tcMar>
              <w:top w:w="0" w:type="dxa"/>
              <w:bottom w:w="0" w:type="dxa"/>
            </w:tcMar>
            <w:vAlign w:val="bottom"/>
          </w:tcPr>
          <w:p>
            <w:pPr>
              <w:pStyle w:val="TableContents"/>
              <w:spacing w:before="0" w:after="0"/>
              <w:ind w:left="0" w:right="0" w:hanging="0"/>
              <w:jc w:val="left"/>
              <w:rPr/>
            </w:pPr>
            <w:r>
              <w:rPr/>
              <w:t> </w:t>
            </w:r>
          </w:p>
          <w:p>
            <w:pPr>
              <w:pStyle w:val="TableContents"/>
              <w:spacing w:before="0" w:after="0"/>
              <w:ind w:left="360" w:right="0" w:hanging="0"/>
              <w:jc w:val="left"/>
              <w:rPr>
                <w:rFonts w:ascii="times new roman" w:hAnsi="times new roman"/>
                <w:sz w:val="20"/>
              </w:rPr>
            </w:pPr>
            <w:r>
              <w:rPr>
                <w:rFonts w:ascii="times new roman" w:hAnsi="times new roman"/>
                <w:sz w:val="20"/>
              </w:rPr>
              <w:t>Tracy Moore (3)</w:t>
            </w:r>
          </w:p>
        </w:tc>
        <w:tc>
          <w:tcPr>
            <w:tcW w:w="946" w:type="dxa"/>
            <w:tcBorders/>
            <w:shd w:fill="CCEEFF"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684" w:type="dxa"/>
            <w:tcBorders/>
            <w:shd w:fill="CCEEFF"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57" w:type="dxa"/>
            <w:tcBorders/>
            <w:shd w:fill="CCEEFF"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57" w:type="dxa"/>
            <w:tcBorders/>
            <w:shd w:fill="CCEEFF"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2316" w:type="dxa"/>
            <w:tcBorders/>
            <w:shd w:fill="CCEEFF"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842" w:type="dxa"/>
            <w:tcBorders/>
            <w:shd w:fill="CCEEFF"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210" w:type="dxa"/>
            <w:tcBorders/>
            <w:shd w:fill="CCEEFF" w:val="clear"/>
            <w:tcMar>
              <w:top w:w="0" w:type="dxa"/>
              <w:bottom w:w="0" w:type="dxa"/>
            </w:tcMar>
          </w:tcPr>
          <w:p>
            <w:pPr>
              <w:pStyle w:val="TableContents"/>
              <w:spacing w:before="0" w:after="283"/>
              <w:rPr/>
            </w:pPr>
            <w:r>
              <w:rPr/>
              <w:t xml:space="preserve">  </w:t>
            </w:r>
          </w:p>
        </w:tc>
        <w:tc>
          <w:tcPr>
            <w:tcW w:w="105" w:type="dxa"/>
            <w:tcBorders/>
            <w:shd w:fill="CCEEFF" w:val="clear"/>
            <w:tcMar>
              <w:top w:w="0" w:type="dxa"/>
              <w:bottom w:w="0" w:type="dxa"/>
            </w:tcMar>
          </w:tcPr>
          <w:p>
            <w:pPr>
              <w:pStyle w:val="TableContents"/>
              <w:spacing w:before="0" w:after="283"/>
              <w:rPr/>
            </w:pPr>
            <w:r>
              <w:rPr/>
              <w:t xml:space="preserve">  </w:t>
            </w:r>
          </w:p>
        </w:tc>
      </w:tr>
      <w:tr>
        <w:trPr/>
        <w:tc>
          <w:tcPr>
            <w:tcW w:w="1788" w:type="dxa"/>
            <w:tcBorders>
              <w:bottom w:val="double" w:sz="8" w:space="0" w:color="000000"/>
            </w:tcBorders>
            <w:shd w:fill="FFFFFF" w:val="clear"/>
            <w:tcMar>
              <w:top w:w="0" w:type="dxa"/>
            </w:tcMar>
            <w:vAlign w:val="bottom"/>
          </w:tcPr>
          <w:p>
            <w:pPr>
              <w:pStyle w:val="TableContents"/>
              <w:spacing w:before="0" w:after="283"/>
              <w:rPr/>
            </w:pPr>
            <w:r>
              <w:rPr/>
              <w:t xml:space="preserve">  </w:t>
            </w:r>
          </w:p>
        </w:tc>
        <w:tc>
          <w:tcPr>
            <w:tcW w:w="946" w:type="dxa"/>
            <w:tcBorders>
              <w:bottom w:val="double" w:sz="8" w:space="0" w:color="000000"/>
            </w:tcBorders>
            <w:shd w:fill="FFFFFF" w:val="clear"/>
            <w:tcMar>
              <w:top w:w="0" w:type="dxa"/>
            </w:tcMar>
            <w:vAlign w:val="bottom"/>
          </w:tcPr>
          <w:p>
            <w:pPr>
              <w:pStyle w:val="TableContents"/>
              <w:spacing w:before="0" w:after="283"/>
              <w:rPr/>
            </w:pPr>
            <w:r>
              <w:rPr/>
              <w:t xml:space="preserve">  </w:t>
            </w:r>
          </w:p>
        </w:tc>
        <w:tc>
          <w:tcPr>
            <w:tcW w:w="1684" w:type="dxa"/>
            <w:tcBorders>
              <w:bottom w:val="double" w:sz="8" w:space="0" w:color="000000"/>
            </w:tcBorders>
            <w:shd w:fill="FFFFFF" w:val="clear"/>
            <w:tcMar>
              <w:top w:w="0" w:type="dxa"/>
            </w:tcMar>
            <w:vAlign w:val="bottom"/>
          </w:tcPr>
          <w:p>
            <w:pPr>
              <w:pStyle w:val="TableContents"/>
              <w:spacing w:before="0" w:after="283"/>
              <w:rPr/>
            </w:pPr>
            <w:r>
              <w:rPr/>
              <w:t xml:space="preserve">  </w:t>
            </w:r>
          </w:p>
        </w:tc>
        <w:tc>
          <w:tcPr>
            <w:tcW w:w="1157" w:type="dxa"/>
            <w:tcBorders>
              <w:bottom w:val="double" w:sz="8" w:space="0" w:color="000000"/>
            </w:tcBorders>
            <w:shd w:fill="FFFFFF" w:val="clear"/>
            <w:tcMar>
              <w:top w:w="0" w:type="dxa"/>
            </w:tcMar>
            <w:vAlign w:val="bottom"/>
          </w:tcPr>
          <w:p>
            <w:pPr>
              <w:pStyle w:val="TableContents"/>
              <w:spacing w:before="0" w:after="283"/>
              <w:rPr/>
            </w:pPr>
            <w:r>
              <w:rPr/>
              <w:t xml:space="preserve">  </w:t>
            </w:r>
          </w:p>
        </w:tc>
        <w:tc>
          <w:tcPr>
            <w:tcW w:w="1157" w:type="dxa"/>
            <w:tcBorders>
              <w:bottom w:val="double" w:sz="8" w:space="0" w:color="000000"/>
            </w:tcBorders>
            <w:shd w:fill="FFFFFF" w:val="clear"/>
            <w:tcMar>
              <w:top w:w="0" w:type="dxa"/>
            </w:tcMar>
            <w:vAlign w:val="bottom"/>
          </w:tcPr>
          <w:p>
            <w:pPr>
              <w:pStyle w:val="TableContents"/>
              <w:spacing w:before="0" w:after="283"/>
              <w:rPr/>
            </w:pPr>
            <w:r>
              <w:rPr/>
              <w:t xml:space="preserve">  </w:t>
            </w:r>
          </w:p>
        </w:tc>
        <w:tc>
          <w:tcPr>
            <w:tcW w:w="2316" w:type="dxa"/>
            <w:tcBorders>
              <w:bottom w:val="double" w:sz="8" w:space="0" w:color="000000"/>
            </w:tcBorders>
            <w:shd w:fill="FFFFFF" w:val="clear"/>
            <w:tcMar>
              <w:top w:w="0" w:type="dxa"/>
            </w:tcMar>
            <w:vAlign w:val="bottom"/>
          </w:tcPr>
          <w:p>
            <w:pPr>
              <w:pStyle w:val="TableContents"/>
              <w:spacing w:before="0" w:after="283"/>
              <w:rPr/>
            </w:pPr>
            <w:r>
              <w:rPr/>
              <w:t xml:space="preserve">  </w:t>
            </w:r>
          </w:p>
        </w:tc>
        <w:tc>
          <w:tcPr>
            <w:tcW w:w="842" w:type="dxa"/>
            <w:tcBorders>
              <w:bottom w:val="double" w:sz="8" w:space="0" w:color="000000"/>
            </w:tcBorders>
            <w:shd w:fill="FFFFFF" w:val="clear"/>
            <w:tcMar>
              <w:top w:w="0" w:type="dxa"/>
            </w:tcMar>
            <w:vAlign w:val="bottom"/>
          </w:tcPr>
          <w:p>
            <w:pPr>
              <w:pStyle w:val="TableContents"/>
              <w:spacing w:before="0" w:after="283"/>
              <w:rPr/>
            </w:pPr>
            <w:r>
              <w:rPr/>
              <w:t xml:space="preserve">  </w:t>
            </w:r>
          </w:p>
        </w:tc>
        <w:tc>
          <w:tcPr>
            <w:tcW w:w="210" w:type="dxa"/>
            <w:tcBorders/>
            <w:shd w:fill="FFFFFF" w:val="clear"/>
            <w:tcMar>
              <w:top w:w="0" w:type="dxa"/>
              <w:bottom w:w="0" w:type="dxa"/>
            </w:tcMar>
          </w:tcPr>
          <w:p>
            <w:pPr>
              <w:pStyle w:val="TableContents"/>
              <w:spacing w:before="0" w:after="283"/>
              <w:rPr/>
            </w:pPr>
            <w:r>
              <w:rPr/>
              <w:t xml:space="preserve">  </w:t>
            </w:r>
          </w:p>
        </w:tc>
        <w:tc>
          <w:tcPr>
            <w:tcW w:w="105" w:type="dxa"/>
            <w:tcBorders/>
            <w:shd w:fill="FFFFFF" w:val="clear"/>
            <w:tcMar>
              <w:top w:w="0" w:type="dxa"/>
              <w:bottom w:w="0" w:type="dxa"/>
            </w:tcMar>
          </w:tcPr>
          <w:p>
            <w:pPr>
              <w:pStyle w:val="TableContents"/>
              <w:spacing w:before="0" w:after="283"/>
              <w:rPr/>
            </w:pPr>
            <w:r>
              <w:rPr/>
              <w:t xml:space="preserve">  </w:t>
            </w:r>
          </w:p>
        </w:tc>
      </w:tr>
    </w:tbl>
    <w:p>
      <w:pPr>
        <w:pStyle w:val="TextBody"/>
        <w:spacing w:before="0" w:after="0"/>
        <w:ind w:left="360" w:right="0" w:hanging="0"/>
        <w:jc w:val="left"/>
        <w:rPr>
          <w:rFonts w:ascii="Times New Roman" w:hAnsi="Times New Roman"/>
          <w:sz w:val="20"/>
        </w:rPr>
      </w:pPr>
      <w:r>
        <w:rPr>
          <w:rFonts w:ascii="Times New Roman" w:hAnsi="Times New Roman"/>
          <w:sz w:val="20"/>
        </w:rPr>
        <w:t>(1)  Resigned as one of our directors on July 1, 2009.</w:t>
      </w:r>
    </w:p>
    <w:p>
      <w:pPr>
        <w:pStyle w:val="TextBody"/>
        <w:spacing w:before="0" w:after="0"/>
        <w:ind w:left="360" w:right="0" w:hanging="0"/>
        <w:jc w:val="left"/>
        <w:rPr>
          <w:rFonts w:ascii="Times New Roman" w:hAnsi="Times New Roman"/>
          <w:sz w:val="20"/>
        </w:rPr>
      </w:pPr>
      <w:r>
        <w:rPr>
          <w:rFonts w:ascii="Times New Roman" w:hAnsi="Times New Roman"/>
          <w:sz w:val="20"/>
        </w:rPr>
        <w:t>(2)  Appointed one of our directors in July 2009.</w:t>
      </w:r>
    </w:p>
    <w:p>
      <w:pPr>
        <w:pStyle w:val="TextBody"/>
        <w:spacing w:before="0" w:after="0"/>
        <w:ind w:left="360" w:right="0" w:hanging="0"/>
        <w:jc w:val="left"/>
        <w:rPr>
          <w:rFonts w:ascii="Times New Roman" w:hAnsi="Times New Roman"/>
          <w:sz w:val="20"/>
        </w:rPr>
      </w:pPr>
      <w:r>
        <w:rPr>
          <w:rFonts w:ascii="Times New Roman" w:hAnsi="Times New Roman"/>
          <w:sz w:val="20"/>
        </w:rPr>
        <w:t>(3)  Appointed one of our directors in August 2009.</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Corin Executive Services Agreements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November 17, 2006, our Board of Directors, in consultation with our Compensation Committee, completed an executive services agreement with Denis Corin, our President.  The terms of the agreement, as determined by our Compensation Committee, provides for, among other matters, the provision for monthly consulting fees of approximately $4,300 (CAN$5,000) during an eight-month initial term, and the granting of an aggregate of not less than 40,000 stock options to acquire a similar number of our common shares at an exercise price of $2.50 per common share for a period of not less than five years from the date of grant, an exercise price which would be reduced $0.97 per common share upon the effectiveness of the actions described herein.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On June 30, 2007, with an effective date of May 1, 2007, our Board of Directors approved an amended executive services agreement with Mr. Corin with a one year term.  The amended agreement, provides for an increase in the month consulting fees to $10,000 USD per month through the term of the agreement, and an increase providing for the granting of an aggregate of not less than 80,000 stock options to acquire a similar number of our common shares at an exercise price of $2.50 per common share for a period of not less than five years from the date of grant, an exercise price which would be reduced $0.97 per common share upon the effectiveness of the actions described herein.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6" w:name="PGBRK6"/>
      <w:bookmarkStart w:id="67" w:name="PGBRK6"/>
      <w:bookmarkEnd w:id="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 w:name="FTR6"/>
      <w:bookmarkStart w:id="69" w:name="FTR6"/>
      <w:bookmarkEnd w:id="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0" w:name="GLFTR6"/>
      <w:bookmarkEnd w:id="7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1" w:name="PN6"/>
      <w:bookmarkEnd w:id="71"/>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2" w:name="HDR6"/>
      <w:bookmarkStart w:id="73" w:name="HDR6"/>
      <w:bookmarkEnd w:id="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4" w:name="GLHDR6"/>
      <w:bookmarkEnd w:id="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Compensation Committee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Our compensation committee is comprised of our three directors.  All compensation is recommended and resolved by the compensation committee and board of directors.</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REASON FOR, AND THE EFFECT OF, THE DECREASE IN EXERCISE PRICE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We depend on our key employees.  Due to the specialized nature of our business and the biotech industry in general, our success depends upon our ability to attract and retain qualified scientific and executive personnel.  We established the 2007 Stock Incentive Plan to entice potential management candidates and to encourage those working for us to remain in those positions.  We believe that the current exercise price of $2.50 under the plan is no longer sufficient to meet these goals as our share price has been significantly below the exercise price for some time and that the new exercise price of $0.97 will help us achieve the initial purpose of the 2007 Stock Incentive Plan.</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INTEREST OF CERTAIN PERSONS IN OR IN OPPOSITION TO MATTERS TO BE ACTED UPON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Except as set out below, none of the following persons has any interest, direct or indirect, by security holdings or otherwise in any matter to be acted upon: (i) any director or officer of our Company, (ii) any proposed nominee for election as a director of our Company and (iii) any associate of affiliate of any of the foregoing persons.  No director has advised that he intends to oppose any of the actions set out in this Information Statement.</w:t>
      </w:r>
    </w:p>
    <w:p>
      <w:pPr>
        <w:pStyle w:val="TextBody"/>
        <w:spacing w:before="0" w:after="0"/>
        <w:ind w:left="0" w:right="0" w:hanging="0"/>
        <w:jc w:val="both"/>
        <w:rPr/>
      </w:pPr>
      <w:r>
        <w:rPr/>
        <w:t> </w:t>
      </w:r>
    </w:p>
    <w:p>
      <w:pPr>
        <w:pStyle w:val="TextBody"/>
        <w:spacing w:before="0" w:after="0"/>
        <w:ind w:left="0" w:right="360" w:hanging="0"/>
        <w:jc w:val="both"/>
        <w:rPr>
          <w:rFonts w:ascii="Times New Roman" w:hAnsi="Times New Roman"/>
          <w:sz w:val="20"/>
        </w:rPr>
      </w:pPr>
      <w:r>
        <w:rPr>
          <w:rFonts w:ascii="Times New Roman" w:hAnsi="Times New Roman"/>
          <w:sz w:val="20"/>
        </w:rPr>
        <w:t>Two of our directors have an interest in the corporate action to reduce the exercise price of the options granted under the 2007 Stock Option Plan. The following persons and groups will receive the benefits as of the date hereof:</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360" w:hanging="0"/>
        <w:jc w:val="center"/>
        <w:rPr>
          <w:rFonts w:ascii="Times New Roman" w:hAnsi="Times New Roman"/>
          <w:sz w:val="20"/>
        </w:rPr>
      </w:pPr>
      <w:r>
        <w:rPr>
          <w:rFonts w:ascii="Times New Roman" w:hAnsi="Times New Roman"/>
          <w:sz w:val="20"/>
        </w:rPr>
        <w:t>2007 Stock Incentive Plan</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2656"/>
        <w:gridCol w:w="2656"/>
        <w:gridCol w:w="2516"/>
        <w:gridCol w:w="2377"/>
      </w:tblGrid>
      <w:tr>
        <w:trPr/>
        <w:tc>
          <w:tcPr>
            <w:tcW w:w="2656" w:type="dxa"/>
            <w:tcBorders/>
            <w:shd w:fill="auto" w:val="clear"/>
          </w:tcPr>
          <w:p>
            <w:pPr>
              <w:pStyle w:val="TableContents"/>
              <w:spacing w:before="0" w:after="0"/>
              <w:ind w:left="360" w:right="360" w:hanging="0"/>
              <w:jc w:val="left"/>
              <w:rPr>
                <w:rFonts w:ascii="times new roman" w:hAnsi="times new roman"/>
                <w:sz w:val="20"/>
              </w:rPr>
            </w:pPr>
            <w:r>
              <w:rPr>
                <w:rFonts w:ascii="times new roman" w:hAnsi="times new roman"/>
                <w:sz w:val="20"/>
              </w:rPr>
              <w:t>Person/Group</w:t>
            </w:r>
          </w:p>
        </w:tc>
        <w:tc>
          <w:tcPr>
            <w:tcW w:w="2656" w:type="dxa"/>
            <w:tcBorders/>
            <w:shd w:fill="auto" w:val="clear"/>
          </w:tcPr>
          <w:p>
            <w:pPr>
              <w:pStyle w:val="TableContents"/>
              <w:spacing w:before="0" w:after="0"/>
              <w:ind w:left="360" w:right="360" w:hanging="0"/>
              <w:jc w:val="left"/>
              <w:rPr>
                <w:rFonts w:ascii="times new roman" w:hAnsi="times new roman"/>
                <w:sz w:val="20"/>
              </w:rPr>
            </w:pPr>
            <w:r>
              <w:rPr>
                <w:rFonts w:ascii="times new roman" w:hAnsi="times new roman"/>
                <w:sz w:val="20"/>
              </w:rPr>
              <w:t>Name of benefit</w:t>
            </w:r>
          </w:p>
        </w:tc>
        <w:tc>
          <w:tcPr>
            <w:tcW w:w="2516" w:type="dxa"/>
            <w:tcBorders/>
            <w:shd w:fill="auto" w:val="clear"/>
          </w:tcPr>
          <w:p>
            <w:pPr>
              <w:pStyle w:val="TableContents"/>
              <w:spacing w:before="0" w:after="0"/>
              <w:ind w:left="360" w:right="360" w:hanging="0"/>
              <w:jc w:val="left"/>
              <w:rPr>
                <w:rFonts w:ascii="times new roman" w:hAnsi="times new roman"/>
                <w:sz w:val="20"/>
              </w:rPr>
            </w:pPr>
            <w:r>
              <w:rPr>
                <w:rFonts w:ascii="times new roman" w:hAnsi="times new roman"/>
                <w:sz w:val="20"/>
              </w:rPr>
              <w:t>Number of Units</w:t>
            </w:r>
          </w:p>
        </w:tc>
        <w:tc>
          <w:tcPr>
            <w:tcW w:w="2377" w:type="dxa"/>
            <w:tcBorders/>
            <w:shd w:fill="auto" w:val="clear"/>
          </w:tcPr>
          <w:p>
            <w:pPr>
              <w:pStyle w:val="TableContents"/>
              <w:spacing w:before="0" w:after="283"/>
              <w:rPr/>
            </w:pPr>
            <w:r>
              <w:rPr/>
              <w:t xml:space="preserve">  </w:t>
            </w:r>
          </w:p>
        </w:tc>
      </w:tr>
      <w:tr>
        <w:trPr/>
        <w:tc>
          <w:tcPr>
            <w:tcW w:w="2656" w:type="dxa"/>
            <w:tcBorders/>
            <w:shd w:fill="auto" w:val="clear"/>
          </w:tcPr>
          <w:p>
            <w:pPr>
              <w:pStyle w:val="TableContents"/>
              <w:spacing w:before="0" w:after="0"/>
              <w:ind w:left="360" w:right="360" w:hanging="0"/>
              <w:jc w:val="left"/>
              <w:rPr>
                <w:rFonts w:ascii="times new roman" w:hAnsi="times new roman"/>
                <w:sz w:val="20"/>
              </w:rPr>
            </w:pPr>
            <w:r>
              <w:rPr>
                <w:rFonts w:ascii="times new roman" w:hAnsi="times new roman"/>
                <w:sz w:val="20"/>
              </w:rPr>
              <w:t>Denis Corin (1)</w:t>
            </w:r>
          </w:p>
        </w:tc>
        <w:tc>
          <w:tcPr>
            <w:tcW w:w="2656" w:type="dxa"/>
            <w:tcBorders/>
            <w:shd w:fill="auto" w:val="clear"/>
          </w:tcPr>
          <w:p>
            <w:pPr>
              <w:pStyle w:val="TableContents"/>
              <w:spacing w:before="0" w:after="0"/>
              <w:ind w:left="360" w:right="360" w:hanging="0"/>
              <w:jc w:val="left"/>
              <w:rPr>
                <w:rFonts w:ascii="times new roman" w:hAnsi="times new roman"/>
                <w:sz w:val="20"/>
              </w:rPr>
            </w:pPr>
            <w:r>
              <w:rPr>
                <w:rFonts w:ascii="times new roman" w:hAnsi="times new roman"/>
                <w:sz w:val="20"/>
              </w:rPr>
              <w:t>Options</w:t>
            </w:r>
          </w:p>
        </w:tc>
        <w:tc>
          <w:tcPr>
            <w:tcW w:w="2516" w:type="dxa"/>
            <w:tcBorders/>
            <w:shd w:fill="auto" w:val="clear"/>
          </w:tcPr>
          <w:p>
            <w:pPr>
              <w:pStyle w:val="TableContents"/>
              <w:spacing w:before="0" w:after="0"/>
              <w:ind w:left="360" w:right="360" w:hanging="0"/>
              <w:jc w:val="left"/>
              <w:rPr>
                <w:rFonts w:ascii="times new roman" w:hAnsi="times new roman"/>
                <w:sz w:val="20"/>
              </w:rPr>
            </w:pPr>
            <w:r>
              <w:rPr>
                <w:rFonts w:ascii="times new roman" w:hAnsi="times new roman"/>
                <w:sz w:val="20"/>
              </w:rPr>
              <w:t>100,000 (2)</w:t>
            </w:r>
          </w:p>
        </w:tc>
        <w:tc>
          <w:tcPr>
            <w:tcW w:w="2377" w:type="dxa"/>
            <w:tcBorders/>
            <w:shd w:fill="auto" w:val="clear"/>
          </w:tcPr>
          <w:p>
            <w:pPr>
              <w:pStyle w:val="TableContents"/>
              <w:spacing w:before="0" w:after="283"/>
              <w:rPr/>
            </w:pPr>
            <w:r>
              <w:rPr/>
              <w:t xml:space="preserve">  </w:t>
            </w:r>
          </w:p>
        </w:tc>
      </w:tr>
      <w:tr>
        <w:trPr/>
        <w:tc>
          <w:tcPr>
            <w:tcW w:w="2656" w:type="dxa"/>
            <w:tcBorders/>
            <w:shd w:fill="auto" w:val="clear"/>
          </w:tcPr>
          <w:p>
            <w:pPr>
              <w:pStyle w:val="TableContents"/>
              <w:spacing w:before="0" w:after="0"/>
              <w:ind w:left="360" w:right="360" w:hanging="0"/>
              <w:jc w:val="left"/>
              <w:rPr>
                <w:rFonts w:ascii="times new roman" w:hAnsi="times new roman"/>
                <w:sz w:val="20"/>
              </w:rPr>
            </w:pPr>
            <w:r>
              <w:rPr>
                <w:rFonts w:ascii="times new roman" w:hAnsi="times new roman"/>
                <w:sz w:val="20"/>
              </w:rPr>
              <w:t>Glynn Wilson (1)</w:t>
            </w:r>
          </w:p>
        </w:tc>
        <w:tc>
          <w:tcPr>
            <w:tcW w:w="2656" w:type="dxa"/>
            <w:tcBorders/>
            <w:shd w:fill="auto" w:val="clear"/>
          </w:tcPr>
          <w:p>
            <w:pPr>
              <w:pStyle w:val="TableContents"/>
              <w:spacing w:before="0" w:after="0"/>
              <w:ind w:left="360" w:right="360" w:hanging="0"/>
              <w:jc w:val="left"/>
              <w:rPr>
                <w:rFonts w:ascii="times new roman" w:hAnsi="times new roman"/>
                <w:sz w:val="20"/>
              </w:rPr>
            </w:pPr>
            <w:r>
              <w:rPr>
                <w:rFonts w:ascii="times new roman" w:hAnsi="times new roman"/>
                <w:sz w:val="20"/>
              </w:rPr>
              <w:t>Options</w:t>
            </w:r>
          </w:p>
        </w:tc>
        <w:tc>
          <w:tcPr>
            <w:tcW w:w="2516" w:type="dxa"/>
            <w:tcBorders/>
            <w:shd w:fill="auto" w:val="clear"/>
          </w:tcPr>
          <w:p>
            <w:pPr>
              <w:pStyle w:val="TableContents"/>
              <w:spacing w:before="0" w:after="0"/>
              <w:ind w:left="360" w:right="360" w:hanging="0"/>
              <w:jc w:val="left"/>
              <w:rPr>
                <w:rFonts w:ascii="times new roman" w:hAnsi="times new roman"/>
                <w:sz w:val="20"/>
              </w:rPr>
            </w:pPr>
            <w:r>
              <w:rPr>
                <w:rFonts w:ascii="times new roman" w:hAnsi="times new roman"/>
                <w:sz w:val="20"/>
              </w:rPr>
              <w:t>40,000</w:t>
            </w:r>
          </w:p>
        </w:tc>
        <w:tc>
          <w:tcPr>
            <w:tcW w:w="2377" w:type="dxa"/>
            <w:tcBorders/>
            <w:shd w:fill="auto" w:val="clear"/>
          </w:tcPr>
          <w:p>
            <w:pPr>
              <w:pStyle w:val="TableContents"/>
              <w:spacing w:before="0" w:after="283"/>
              <w:rPr/>
            </w:pPr>
            <w:r>
              <w:rPr/>
              <w:t xml:space="preserve">  </w:t>
            </w:r>
          </w:p>
        </w:tc>
      </w:tr>
      <w:tr>
        <w:trPr/>
        <w:tc>
          <w:tcPr>
            <w:tcW w:w="2656" w:type="dxa"/>
            <w:tcBorders/>
            <w:shd w:fill="auto" w:val="clear"/>
          </w:tcPr>
          <w:p>
            <w:pPr>
              <w:pStyle w:val="TableContents"/>
              <w:spacing w:before="0" w:after="0"/>
              <w:ind w:left="360" w:right="360" w:hanging="0"/>
              <w:jc w:val="left"/>
              <w:rPr>
                <w:rFonts w:ascii="times new roman" w:hAnsi="times new roman"/>
                <w:sz w:val="20"/>
              </w:rPr>
            </w:pPr>
            <w:r>
              <w:rPr>
                <w:rFonts w:ascii="times new roman" w:hAnsi="times new roman"/>
                <w:sz w:val="20"/>
              </w:rPr>
              <w:t>All Executive Officers</w:t>
            </w:r>
          </w:p>
        </w:tc>
        <w:tc>
          <w:tcPr>
            <w:tcW w:w="2656" w:type="dxa"/>
            <w:tcBorders/>
            <w:shd w:fill="auto" w:val="clear"/>
          </w:tcPr>
          <w:p>
            <w:pPr>
              <w:pStyle w:val="TableContents"/>
              <w:spacing w:before="0" w:after="0"/>
              <w:ind w:left="360" w:right="360" w:hanging="0"/>
              <w:jc w:val="left"/>
              <w:rPr>
                <w:rFonts w:ascii="times new roman" w:hAnsi="times new roman"/>
                <w:sz w:val="20"/>
              </w:rPr>
            </w:pPr>
            <w:r>
              <w:rPr>
                <w:rFonts w:ascii="times new roman" w:hAnsi="times new roman"/>
                <w:sz w:val="20"/>
              </w:rPr>
              <w:t>Options</w:t>
            </w:r>
          </w:p>
        </w:tc>
        <w:tc>
          <w:tcPr>
            <w:tcW w:w="2516" w:type="dxa"/>
            <w:tcBorders/>
            <w:shd w:fill="auto" w:val="clear"/>
          </w:tcPr>
          <w:p>
            <w:pPr>
              <w:pStyle w:val="TableContents"/>
              <w:spacing w:before="0" w:after="0"/>
              <w:ind w:left="360" w:right="360" w:hanging="0"/>
              <w:jc w:val="left"/>
              <w:rPr>
                <w:rFonts w:ascii="times new roman" w:hAnsi="times new roman"/>
                <w:sz w:val="20"/>
              </w:rPr>
            </w:pPr>
            <w:r>
              <w:rPr>
                <w:rFonts w:ascii="times new roman" w:hAnsi="times new roman"/>
                <w:sz w:val="20"/>
              </w:rPr>
              <w:t>140,000 (2)</w:t>
            </w:r>
          </w:p>
        </w:tc>
        <w:tc>
          <w:tcPr>
            <w:tcW w:w="2377" w:type="dxa"/>
            <w:tcBorders/>
            <w:shd w:fill="auto" w:val="clear"/>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360" w:right="360" w:hanging="0"/>
        <w:jc w:val="left"/>
        <w:rPr>
          <w:rFonts w:ascii="Times New Roman" w:hAnsi="Times New Roman"/>
          <w:sz w:val="20"/>
        </w:rPr>
      </w:pPr>
      <w:r>
        <w:rPr>
          <w:rFonts w:ascii="Times New Roman" w:hAnsi="Times New Roman"/>
          <w:sz w:val="20"/>
        </w:rPr>
        <w:t>(1)  Director and executive officer</w:t>
      </w:r>
    </w:p>
    <w:p>
      <w:pPr>
        <w:pStyle w:val="TextBody"/>
        <w:spacing w:before="0" w:after="0"/>
        <w:ind w:left="360" w:right="360" w:hanging="0"/>
        <w:jc w:val="left"/>
        <w:rPr>
          <w:rFonts w:ascii="Times New Roman" w:hAnsi="Times New Roman"/>
          <w:sz w:val="20"/>
        </w:rPr>
      </w:pPr>
      <w:r>
        <w:rPr>
          <w:rFonts w:ascii="Times New Roman" w:hAnsi="Times New Roman"/>
          <w:sz w:val="20"/>
        </w:rPr>
        <w:t>(2)  Including 20,000 options indirectly held by Mr. Corin.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As the new exercise price for these options will be reduced from $2.50 to $0.97 and the closing price of our common stock on the Over-the-Counter Bulletin Board as of January 20, 2010 was $0.55, we are not able to calculate the dollar value of these grants. No non-executive directors or non-executive officer employees have any benefits under this plan. Upon the effectiveness of this corporate action, the exercise price on Mr. Corin’s and Mr. Wilson’s vested options will be reduced to $0.97.</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5" w:name="PGBRK7"/>
      <w:bookmarkStart w:id="76" w:name="PGBRK7"/>
      <w:bookmarkEnd w:id="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7" w:name="FTR7"/>
      <w:bookmarkStart w:id="78" w:name="FTR7"/>
      <w:bookmarkEnd w:id="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9" w:name="GLFTR7"/>
      <w:bookmarkEnd w:id="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0" w:name="PN7"/>
      <w:bookmarkEnd w:id="80"/>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1" w:name="HDR7"/>
      <w:bookmarkStart w:id="82" w:name="HDR7"/>
      <w:bookmarkEnd w:id="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3" w:name="GLHDR7"/>
      <w:bookmarkEnd w:id="8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SECURITY OWNERSHIP OF CERTAIN BENEFICIAL OWNERS AND MANAGEMENT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following table sets forth, as of December 31, 2009, certain information with respect to the beneficial ownership of our 38,361,674 shares of outstanding common stock by each stockholder known by us to be the beneficial owner of more than 5% of our common stock and by each of our current directors, our chief executive officer and our four most highly compensated executive officers (other than our chief executive officer) as at December 31, 2008. Each person has sole voting and investment power with respect to the shares of common stock, except as otherwise indicated. Beneficial ownership consists of a direct interest in the shares of common stock, except as otherwise indicated.</w:t>
      </w:r>
    </w:p>
    <w:p>
      <w:pPr>
        <w:pStyle w:val="TextBody"/>
        <w:spacing w:before="0" w:after="0"/>
        <w:ind w:left="0" w:right="0" w:hanging="0"/>
        <w:rPr/>
      </w:pPr>
      <w:r>
        <w:rPr/>
      </w:r>
    </w:p>
    <w:tbl>
      <w:tblPr>
        <w:tblW w:w="5000" w:type="pct"/>
        <w:jc w:val="left"/>
        <w:tblInd w:w="0" w:type="dxa"/>
        <w:tblCellMar>
          <w:top w:w="28" w:type="dxa"/>
          <w:left w:w="0" w:type="dxa"/>
          <w:bottom w:w="28" w:type="dxa"/>
          <w:right w:w="0" w:type="dxa"/>
        </w:tblCellMar>
      </w:tblPr>
      <w:tblGrid>
        <w:gridCol w:w="2041"/>
        <w:gridCol w:w="3129"/>
        <w:gridCol w:w="2449"/>
        <w:gridCol w:w="544"/>
        <w:gridCol w:w="2042"/>
      </w:tblGrid>
      <w:tr>
        <w:trPr/>
        <w:tc>
          <w:tcPr>
            <w:tcW w:w="2041" w:type="dxa"/>
            <w:tcBorders>
              <w:top w:val="single" w:sz="4" w:space="0" w:color="000000"/>
              <w:bottom w:val="double" w:sz="8"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Title of Class</w:t>
            </w:r>
          </w:p>
        </w:tc>
        <w:tc>
          <w:tcPr>
            <w:tcW w:w="3129" w:type="dxa"/>
            <w:tcBorders>
              <w:top w:val="single" w:sz="4" w:space="0" w:color="000000"/>
              <w:bottom w:val="double" w:sz="8"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Name of Beneficial Owner</w:t>
            </w:r>
          </w:p>
        </w:tc>
        <w:tc>
          <w:tcPr>
            <w:tcW w:w="2449" w:type="dxa"/>
            <w:tcBorders>
              <w:top w:val="single" w:sz="4" w:space="0" w:color="000000"/>
              <w:bottom w:val="double" w:sz="8"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Shares of Common Stock</w:t>
            </w:r>
          </w:p>
        </w:tc>
        <w:tc>
          <w:tcPr>
            <w:tcW w:w="544" w:type="dxa"/>
            <w:tcBorders>
              <w:top w:val="single" w:sz="4" w:space="0" w:color="000000"/>
              <w:bottom w:val="double" w:sz="8" w:space="0" w:color="000000"/>
            </w:tcBorders>
            <w:shd w:fill="auto" w:val="clear"/>
          </w:tcPr>
          <w:p>
            <w:pPr>
              <w:pStyle w:val="TableContents"/>
              <w:spacing w:before="0" w:after="283"/>
              <w:jc w:val="left"/>
              <w:rPr/>
            </w:pPr>
            <w:r>
              <w:rPr/>
              <w:t xml:space="preserve">  </w:t>
            </w:r>
          </w:p>
        </w:tc>
        <w:tc>
          <w:tcPr>
            <w:tcW w:w="2042" w:type="dxa"/>
            <w:tcBorders>
              <w:top w:val="single" w:sz="4" w:space="0" w:color="000000"/>
              <w:bottom w:val="double" w:sz="8"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Percent of Class</w:t>
            </w:r>
          </w:p>
        </w:tc>
      </w:tr>
      <w:tr>
        <w:trPr/>
        <w:tc>
          <w:tcPr>
            <w:tcW w:w="2041" w:type="dxa"/>
            <w:tcBorders/>
            <w:shd w:fill="CCEEFF" w:val="clear"/>
            <w:tcMar>
              <w:top w:w="0" w:type="dxa"/>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Common</w:t>
            </w:r>
          </w:p>
        </w:tc>
        <w:tc>
          <w:tcPr>
            <w:tcW w:w="3129" w:type="dxa"/>
            <w:tcBorders/>
            <w:shd w:fill="CCEEFF" w:val="clear"/>
            <w:tcMar>
              <w:top w:w="0" w:type="dxa"/>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Denis Corin (1)</w:t>
            </w:r>
          </w:p>
        </w:tc>
        <w:tc>
          <w:tcPr>
            <w:tcW w:w="2449" w:type="dxa"/>
            <w:tcBorders/>
            <w:shd w:fill="CCEEFF" w:val="clear"/>
            <w:tcMar>
              <w:top w:w="0" w:type="dxa"/>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2,231,450</w:t>
            </w:r>
          </w:p>
        </w:tc>
        <w:tc>
          <w:tcPr>
            <w:tcW w:w="544" w:type="dxa"/>
            <w:tcBorders/>
            <w:shd w:fill="CCEEFF" w:val="clear"/>
            <w:tcMar>
              <w:top w:w="0" w:type="dxa"/>
              <w:bottom w:w="0" w:type="dxa"/>
            </w:tcMar>
          </w:tcPr>
          <w:p>
            <w:pPr>
              <w:pStyle w:val="TableContents"/>
              <w:spacing w:before="0" w:after="283"/>
              <w:rPr/>
            </w:pPr>
            <w:r>
              <w:rPr/>
              <w:t xml:space="preserve">  </w:t>
            </w:r>
          </w:p>
        </w:tc>
        <w:tc>
          <w:tcPr>
            <w:tcW w:w="2042" w:type="dxa"/>
            <w:tcBorders/>
            <w:shd w:fill="CCEEFF" w:val="clear"/>
            <w:tcMar>
              <w:top w:w="0" w:type="dxa"/>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5.8%</w:t>
            </w:r>
          </w:p>
        </w:tc>
      </w:tr>
      <w:tr>
        <w:trPr/>
        <w:tc>
          <w:tcPr>
            <w:tcW w:w="2041" w:type="dxa"/>
            <w:tcBorders/>
            <w:shd w:fill="FFFFFF" w:val="clear"/>
            <w:tcMar>
              <w:top w:w="0" w:type="dxa"/>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Common</w:t>
            </w:r>
          </w:p>
        </w:tc>
        <w:tc>
          <w:tcPr>
            <w:tcW w:w="3129" w:type="dxa"/>
            <w:tcBorders/>
            <w:shd w:fill="FFFFFF" w:val="clear"/>
            <w:tcMar>
              <w:top w:w="0" w:type="dxa"/>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Tracy A. Moore</w:t>
            </w:r>
          </w:p>
        </w:tc>
        <w:tc>
          <w:tcPr>
            <w:tcW w:w="2449" w:type="dxa"/>
            <w:tcBorders/>
            <w:shd w:fill="FFFFFF" w:val="clear"/>
            <w:tcMar>
              <w:top w:w="0" w:type="dxa"/>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50,000</w:t>
            </w:r>
          </w:p>
        </w:tc>
        <w:tc>
          <w:tcPr>
            <w:tcW w:w="544" w:type="dxa"/>
            <w:tcBorders/>
            <w:shd w:fill="FFFFFF" w:val="clear"/>
            <w:tcMar>
              <w:top w:w="0" w:type="dxa"/>
              <w:bottom w:w="0" w:type="dxa"/>
            </w:tcMar>
          </w:tcPr>
          <w:p>
            <w:pPr>
              <w:pStyle w:val="TableContents"/>
              <w:spacing w:before="0" w:after="283"/>
              <w:rPr/>
            </w:pPr>
            <w:r>
              <w:rPr/>
              <w:t xml:space="preserve">  </w:t>
            </w:r>
          </w:p>
        </w:tc>
        <w:tc>
          <w:tcPr>
            <w:tcW w:w="2042" w:type="dxa"/>
            <w:tcBorders/>
            <w:shd w:fill="FFFFFF" w:val="clear"/>
            <w:tcMar>
              <w:top w:w="0" w:type="dxa"/>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0.1%</w:t>
            </w:r>
          </w:p>
        </w:tc>
      </w:tr>
      <w:tr>
        <w:trPr/>
        <w:tc>
          <w:tcPr>
            <w:tcW w:w="2041" w:type="dxa"/>
            <w:tcBorders/>
            <w:shd w:fill="CCEEFF" w:val="clear"/>
            <w:tcMar>
              <w:top w:w="0" w:type="dxa"/>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Common</w:t>
            </w:r>
          </w:p>
        </w:tc>
        <w:tc>
          <w:tcPr>
            <w:tcW w:w="3129" w:type="dxa"/>
            <w:tcBorders/>
            <w:shd w:fill="CCEEFF" w:val="clear"/>
            <w:tcMar>
              <w:top w:w="0" w:type="dxa"/>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Glynn Wilson</w:t>
            </w:r>
          </w:p>
        </w:tc>
        <w:tc>
          <w:tcPr>
            <w:tcW w:w="2449" w:type="dxa"/>
            <w:tcBorders/>
            <w:shd w:fill="CCEEFF" w:val="clear"/>
            <w:tcMar>
              <w:top w:w="0" w:type="dxa"/>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900,000</w:t>
            </w:r>
          </w:p>
        </w:tc>
        <w:tc>
          <w:tcPr>
            <w:tcW w:w="544" w:type="dxa"/>
            <w:tcBorders/>
            <w:shd w:fill="CCEEFF" w:val="clear"/>
            <w:tcMar>
              <w:top w:w="0" w:type="dxa"/>
              <w:bottom w:w="0" w:type="dxa"/>
            </w:tcMar>
          </w:tcPr>
          <w:p>
            <w:pPr>
              <w:pStyle w:val="TableContents"/>
              <w:spacing w:before="0" w:after="283"/>
              <w:rPr/>
            </w:pPr>
            <w:r>
              <w:rPr/>
              <w:t xml:space="preserve">  </w:t>
            </w:r>
          </w:p>
        </w:tc>
        <w:tc>
          <w:tcPr>
            <w:tcW w:w="2042" w:type="dxa"/>
            <w:tcBorders/>
            <w:shd w:fill="CCEEFF" w:val="clear"/>
            <w:tcMar>
              <w:top w:w="0" w:type="dxa"/>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2.3%</w:t>
            </w:r>
          </w:p>
        </w:tc>
      </w:tr>
      <w:tr>
        <w:trPr/>
        <w:tc>
          <w:tcPr>
            <w:tcW w:w="2041" w:type="dxa"/>
            <w:tcBorders/>
            <w:shd w:fill="FFFFFF" w:val="clear"/>
            <w:tcMar>
              <w:top w:w="0" w:type="dxa"/>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Common</w:t>
            </w:r>
          </w:p>
        </w:tc>
        <w:tc>
          <w:tcPr>
            <w:tcW w:w="3129" w:type="dxa"/>
            <w:tcBorders/>
            <w:shd w:fill="FFFFFF" w:val="clear"/>
            <w:tcMar>
              <w:top w:w="0" w:type="dxa"/>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Patrick Kephart (2)</w:t>
            </w:r>
          </w:p>
        </w:tc>
        <w:tc>
          <w:tcPr>
            <w:tcW w:w="2449" w:type="dxa"/>
            <w:tcBorders/>
            <w:shd w:fill="FFFFFF" w:val="clear"/>
            <w:tcMar>
              <w:top w:w="0" w:type="dxa"/>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2,318,830</w:t>
            </w:r>
          </w:p>
        </w:tc>
        <w:tc>
          <w:tcPr>
            <w:tcW w:w="544" w:type="dxa"/>
            <w:tcBorders/>
            <w:shd w:fill="FFFFFF" w:val="clear"/>
            <w:tcMar>
              <w:top w:w="0" w:type="dxa"/>
              <w:bottom w:w="0" w:type="dxa"/>
            </w:tcMar>
          </w:tcPr>
          <w:p>
            <w:pPr>
              <w:pStyle w:val="TableContents"/>
              <w:spacing w:before="0" w:after="283"/>
              <w:rPr/>
            </w:pPr>
            <w:r>
              <w:rPr/>
              <w:t xml:space="preserve">  </w:t>
            </w:r>
          </w:p>
        </w:tc>
        <w:tc>
          <w:tcPr>
            <w:tcW w:w="2042" w:type="dxa"/>
            <w:tcBorders/>
            <w:shd w:fill="FFFFFF" w:val="clear"/>
            <w:tcMar>
              <w:top w:w="0" w:type="dxa"/>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6.0%</w:t>
            </w:r>
          </w:p>
        </w:tc>
      </w:tr>
      <w:tr>
        <w:trPr/>
        <w:tc>
          <w:tcPr>
            <w:tcW w:w="2041" w:type="dxa"/>
            <w:tcBorders/>
            <w:shd w:fill="CCEEFF" w:val="clear"/>
            <w:tcMar>
              <w:top w:w="0" w:type="dxa"/>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Common</w:t>
            </w:r>
          </w:p>
        </w:tc>
        <w:tc>
          <w:tcPr>
            <w:tcW w:w="3129" w:type="dxa"/>
            <w:tcBorders/>
            <w:shd w:fill="CCEEFF" w:val="clear"/>
            <w:tcMar>
              <w:top w:w="0" w:type="dxa"/>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Alan Lindsay (3)</w:t>
            </w:r>
          </w:p>
        </w:tc>
        <w:tc>
          <w:tcPr>
            <w:tcW w:w="2449" w:type="dxa"/>
            <w:tcBorders/>
            <w:shd w:fill="CCEEFF" w:val="clear"/>
            <w:tcMar>
              <w:top w:w="0" w:type="dxa"/>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2,282,880</w:t>
            </w:r>
          </w:p>
        </w:tc>
        <w:tc>
          <w:tcPr>
            <w:tcW w:w="544" w:type="dxa"/>
            <w:tcBorders/>
            <w:shd w:fill="CCEEFF" w:val="clear"/>
            <w:tcMar>
              <w:top w:w="0" w:type="dxa"/>
              <w:bottom w:w="0" w:type="dxa"/>
            </w:tcMar>
          </w:tcPr>
          <w:p>
            <w:pPr>
              <w:pStyle w:val="TableContents"/>
              <w:spacing w:before="0" w:after="283"/>
              <w:rPr/>
            </w:pPr>
            <w:r>
              <w:rPr/>
              <w:t xml:space="preserve">  </w:t>
            </w:r>
          </w:p>
        </w:tc>
        <w:tc>
          <w:tcPr>
            <w:tcW w:w="2042" w:type="dxa"/>
            <w:tcBorders/>
            <w:shd w:fill="CCEEFF" w:val="clear"/>
            <w:tcMar>
              <w:top w:w="0" w:type="dxa"/>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5.9%</w:t>
            </w:r>
          </w:p>
        </w:tc>
      </w:tr>
      <w:tr>
        <w:trPr/>
        <w:tc>
          <w:tcPr>
            <w:tcW w:w="2041" w:type="dxa"/>
            <w:tcBorders/>
            <w:shd w:fill="FFFFFF" w:val="clear"/>
            <w:tcMar>
              <w:top w:w="0" w:type="dxa"/>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Common</w:t>
            </w:r>
          </w:p>
        </w:tc>
        <w:tc>
          <w:tcPr>
            <w:tcW w:w="3129" w:type="dxa"/>
            <w:tcBorders/>
            <w:shd w:fill="FFFFFF" w:val="clear"/>
            <w:tcMar>
              <w:top w:w="0" w:type="dxa"/>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Paradigm Capital</w:t>
            </w:r>
          </w:p>
        </w:tc>
        <w:tc>
          <w:tcPr>
            <w:tcW w:w="2449" w:type="dxa"/>
            <w:tcBorders/>
            <w:shd w:fill="FFFFFF" w:val="clear"/>
            <w:tcMar>
              <w:top w:w="0" w:type="dxa"/>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4,077,100</w:t>
            </w:r>
          </w:p>
        </w:tc>
        <w:tc>
          <w:tcPr>
            <w:tcW w:w="544" w:type="dxa"/>
            <w:tcBorders/>
            <w:shd w:fill="FFFFFF" w:val="clear"/>
            <w:tcMar>
              <w:top w:w="0" w:type="dxa"/>
              <w:bottom w:w="0" w:type="dxa"/>
            </w:tcMar>
          </w:tcPr>
          <w:p>
            <w:pPr>
              <w:pStyle w:val="TableContents"/>
              <w:spacing w:before="0" w:after="283"/>
              <w:rPr/>
            </w:pPr>
            <w:r>
              <w:rPr/>
              <w:t xml:space="preserve">  </w:t>
            </w:r>
          </w:p>
        </w:tc>
        <w:tc>
          <w:tcPr>
            <w:tcW w:w="2042" w:type="dxa"/>
            <w:tcBorders/>
            <w:shd w:fill="FFFFFF" w:val="clear"/>
            <w:tcMar>
              <w:top w:w="0" w:type="dxa"/>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10.6%</w:t>
            </w:r>
          </w:p>
        </w:tc>
      </w:tr>
      <w:tr>
        <w:trPr/>
        <w:tc>
          <w:tcPr>
            <w:tcW w:w="2041" w:type="dxa"/>
            <w:tcBorders/>
            <w:shd w:fill="CCEEFF" w:val="clear"/>
            <w:tcMar>
              <w:top w:w="0" w:type="dxa"/>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Common</w:t>
            </w:r>
          </w:p>
        </w:tc>
        <w:tc>
          <w:tcPr>
            <w:tcW w:w="3129" w:type="dxa"/>
            <w:tcBorders/>
            <w:shd w:fill="CCEEFF" w:val="clear"/>
            <w:tcMar>
              <w:top w:w="0" w:type="dxa"/>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Michelle Stannard</w:t>
            </w:r>
          </w:p>
        </w:tc>
        <w:tc>
          <w:tcPr>
            <w:tcW w:w="2449" w:type="dxa"/>
            <w:tcBorders/>
            <w:shd w:fill="CCEEFF" w:val="clear"/>
            <w:tcMar>
              <w:top w:w="0" w:type="dxa"/>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2,496,892</w:t>
            </w:r>
          </w:p>
        </w:tc>
        <w:tc>
          <w:tcPr>
            <w:tcW w:w="544" w:type="dxa"/>
            <w:tcBorders/>
            <w:shd w:fill="CCEEFF" w:val="clear"/>
            <w:tcMar>
              <w:top w:w="0" w:type="dxa"/>
              <w:bottom w:w="0" w:type="dxa"/>
            </w:tcMar>
          </w:tcPr>
          <w:p>
            <w:pPr>
              <w:pStyle w:val="TableContents"/>
              <w:spacing w:before="0" w:after="283"/>
              <w:rPr/>
            </w:pPr>
            <w:r>
              <w:rPr/>
              <w:t xml:space="preserve">  </w:t>
            </w:r>
          </w:p>
        </w:tc>
        <w:tc>
          <w:tcPr>
            <w:tcW w:w="2042" w:type="dxa"/>
            <w:tcBorders/>
            <w:shd w:fill="CCEEFF" w:val="clear"/>
            <w:tcMar>
              <w:top w:w="0" w:type="dxa"/>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6.5%</w:t>
            </w:r>
          </w:p>
        </w:tc>
      </w:tr>
      <w:tr>
        <w:trPr/>
        <w:tc>
          <w:tcPr>
            <w:tcW w:w="2041" w:type="dxa"/>
            <w:tcBorders/>
            <w:shd w:fill="FFFFFF" w:val="clear"/>
            <w:tcMar>
              <w:top w:w="0" w:type="dxa"/>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Common</w:t>
            </w:r>
          </w:p>
        </w:tc>
        <w:tc>
          <w:tcPr>
            <w:tcW w:w="3129" w:type="dxa"/>
            <w:tcBorders/>
            <w:shd w:fill="FFFFFF" w:val="clear"/>
            <w:tcMar>
              <w:top w:w="0" w:type="dxa"/>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Steven Sanders</w:t>
            </w:r>
          </w:p>
        </w:tc>
        <w:tc>
          <w:tcPr>
            <w:tcW w:w="2449" w:type="dxa"/>
            <w:tcBorders/>
            <w:shd w:fill="FFFFFF" w:val="clear"/>
            <w:tcMar>
              <w:top w:w="0" w:type="dxa"/>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2,185,283</w:t>
            </w:r>
          </w:p>
        </w:tc>
        <w:tc>
          <w:tcPr>
            <w:tcW w:w="544" w:type="dxa"/>
            <w:tcBorders/>
            <w:shd w:fill="FFFFFF" w:val="clear"/>
            <w:tcMar>
              <w:top w:w="0" w:type="dxa"/>
              <w:bottom w:w="0" w:type="dxa"/>
            </w:tcMar>
          </w:tcPr>
          <w:p>
            <w:pPr>
              <w:pStyle w:val="TableContents"/>
              <w:spacing w:before="0" w:after="283"/>
              <w:rPr/>
            </w:pPr>
            <w:r>
              <w:rPr/>
              <w:t xml:space="preserve">  </w:t>
            </w:r>
          </w:p>
        </w:tc>
        <w:tc>
          <w:tcPr>
            <w:tcW w:w="2042" w:type="dxa"/>
            <w:tcBorders/>
            <w:shd w:fill="FFFFFF" w:val="clear"/>
            <w:tcMar>
              <w:top w:w="0" w:type="dxa"/>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5.7%</w:t>
            </w:r>
          </w:p>
        </w:tc>
      </w:tr>
      <w:tr>
        <w:trPr/>
        <w:tc>
          <w:tcPr>
            <w:tcW w:w="2041" w:type="dxa"/>
            <w:tcBorders/>
            <w:shd w:fill="CCEEFF" w:val="clear"/>
            <w:tcMar>
              <w:top w:w="0" w:type="dxa"/>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Common</w:t>
            </w:r>
          </w:p>
        </w:tc>
        <w:tc>
          <w:tcPr>
            <w:tcW w:w="3129" w:type="dxa"/>
            <w:tcBorders/>
            <w:shd w:fill="CCEEFF" w:val="clear"/>
            <w:tcMar>
              <w:top w:w="0" w:type="dxa"/>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Douglas Brown</w:t>
            </w:r>
          </w:p>
        </w:tc>
        <w:tc>
          <w:tcPr>
            <w:tcW w:w="2449" w:type="dxa"/>
            <w:tcBorders/>
            <w:shd w:fill="CCEEFF" w:val="clear"/>
            <w:tcMar>
              <w:top w:w="0" w:type="dxa"/>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2,606,345</w:t>
            </w:r>
          </w:p>
        </w:tc>
        <w:tc>
          <w:tcPr>
            <w:tcW w:w="544" w:type="dxa"/>
            <w:tcBorders/>
            <w:shd w:fill="CCEEFF" w:val="clear"/>
            <w:tcMar>
              <w:top w:w="0" w:type="dxa"/>
              <w:bottom w:w="0" w:type="dxa"/>
            </w:tcMar>
          </w:tcPr>
          <w:p>
            <w:pPr>
              <w:pStyle w:val="TableContents"/>
              <w:spacing w:before="0" w:after="283"/>
              <w:rPr/>
            </w:pPr>
            <w:r>
              <w:rPr/>
              <w:t xml:space="preserve">  </w:t>
            </w:r>
          </w:p>
        </w:tc>
        <w:tc>
          <w:tcPr>
            <w:tcW w:w="2042" w:type="dxa"/>
            <w:tcBorders/>
            <w:shd w:fill="CCEEFF" w:val="clear"/>
            <w:tcMar>
              <w:top w:w="0" w:type="dxa"/>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6.8%</w:t>
            </w:r>
          </w:p>
        </w:tc>
      </w:tr>
      <w:tr>
        <w:trPr/>
        <w:tc>
          <w:tcPr>
            <w:tcW w:w="2041" w:type="dxa"/>
            <w:tcBorders>
              <w:bottom w:val="double" w:sz="8" w:space="0" w:color="000000"/>
            </w:tcBorders>
            <w:shd w:fill="FFFFFF"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Common</w:t>
            </w:r>
          </w:p>
        </w:tc>
        <w:tc>
          <w:tcPr>
            <w:tcW w:w="3129" w:type="dxa"/>
            <w:tcBorders>
              <w:bottom w:val="double" w:sz="8" w:space="0" w:color="000000"/>
            </w:tcBorders>
            <w:shd w:fill="FFFFFF"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St. George Trust Company Ltd.</w:t>
            </w:r>
          </w:p>
        </w:tc>
        <w:tc>
          <w:tcPr>
            <w:tcW w:w="2449" w:type="dxa"/>
            <w:tcBorders>
              <w:bottom w:val="double" w:sz="8" w:space="0" w:color="000000"/>
            </w:tcBorders>
            <w:shd w:fill="FFFFFF"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5,335,640</w:t>
            </w:r>
          </w:p>
        </w:tc>
        <w:tc>
          <w:tcPr>
            <w:tcW w:w="544" w:type="dxa"/>
            <w:tcBorders>
              <w:bottom w:val="double" w:sz="8" w:space="0" w:color="000000"/>
            </w:tcBorders>
            <w:shd w:fill="FFFFFF" w:val="clear"/>
            <w:tcMar>
              <w:top w:w="0" w:type="dxa"/>
            </w:tcMar>
          </w:tcPr>
          <w:p>
            <w:pPr>
              <w:pStyle w:val="TableContents"/>
              <w:spacing w:before="0" w:after="283"/>
              <w:rPr/>
            </w:pPr>
            <w:r>
              <w:rPr/>
              <w:t xml:space="preserve">  </w:t>
            </w:r>
          </w:p>
        </w:tc>
        <w:tc>
          <w:tcPr>
            <w:tcW w:w="2042" w:type="dxa"/>
            <w:tcBorders>
              <w:bottom w:val="double" w:sz="8" w:space="0" w:color="000000"/>
            </w:tcBorders>
            <w:shd w:fill="FFFFFF"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13.9%</w:t>
            </w:r>
          </w:p>
        </w:tc>
      </w:tr>
      <w:tr>
        <w:trPr/>
        <w:tc>
          <w:tcPr>
            <w:tcW w:w="2041" w:type="dxa"/>
            <w:tcBorders>
              <w:bottom w:val="double" w:sz="8" w:space="0" w:color="000000"/>
            </w:tcBorders>
            <w:shd w:fill="CCEEFF"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Directors and Officers as a group</w:t>
            </w:r>
          </w:p>
        </w:tc>
        <w:tc>
          <w:tcPr>
            <w:tcW w:w="3129" w:type="dxa"/>
            <w:tcBorders>
              <w:bottom w:val="double" w:sz="8" w:space="0" w:color="000000"/>
            </w:tcBorders>
            <w:shd w:fill="CCEEFF" w:val="clear"/>
            <w:tcMar>
              <w:top w:w="0" w:type="dxa"/>
            </w:tcMar>
          </w:tcPr>
          <w:p>
            <w:pPr>
              <w:pStyle w:val="TableContents"/>
              <w:spacing w:before="0" w:after="283"/>
              <w:jc w:val="left"/>
              <w:rPr/>
            </w:pPr>
            <w:r>
              <w:rPr/>
              <w:t xml:space="preserve">  </w:t>
            </w:r>
          </w:p>
        </w:tc>
        <w:tc>
          <w:tcPr>
            <w:tcW w:w="2449" w:type="dxa"/>
            <w:tcBorders>
              <w:bottom w:val="double" w:sz="8" w:space="0" w:color="000000"/>
            </w:tcBorders>
            <w:shd w:fill="CCEEFF"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3,131,450</w:t>
            </w:r>
          </w:p>
        </w:tc>
        <w:tc>
          <w:tcPr>
            <w:tcW w:w="544" w:type="dxa"/>
            <w:tcBorders>
              <w:bottom w:val="double" w:sz="8" w:space="0" w:color="000000"/>
            </w:tcBorders>
            <w:shd w:fill="CCEEFF" w:val="clear"/>
            <w:tcMar>
              <w:top w:w="0" w:type="dxa"/>
            </w:tcMar>
          </w:tcPr>
          <w:p>
            <w:pPr>
              <w:pStyle w:val="TableContents"/>
              <w:spacing w:before="0" w:after="283"/>
              <w:jc w:val="left"/>
              <w:rPr/>
            </w:pPr>
            <w:r>
              <w:rPr/>
              <w:t xml:space="preserve">  </w:t>
            </w:r>
          </w:p>
        </w:tc>
        <w:tc>
          <w:tcPr>
            <w:tcW w:w="2042" w:type="dxa"/>
            <w:tcBorders>
              <w:bottom w:val="double" w:sz="8" w:space="0" w:color="000000"/>
            </w:tcBorders>
            <w:shd w:fill="CCEEFF"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8.2%</w:t>
            </w:r>
          </w:p>
        </w:tc>
      </w:tr>
    </w:tbl>
    <w:p>
      <w:pPr>
        <w:pStyle w:val="TextBody"/>
        <w:spacing w:before="0" w:after="0"/>
        <w:ind w:left="0" w:right="0" w:hanging="0"/>
        <w:jc w:val="left"/>
        <w:rPr>
          <w:rFonts w:ascii="Times New Roman" w:hAnsi="Times New Roman"/>
          <w:sz w:val="20"/>
        </w:rPr>
      </w:pPr>
      <w:r>
        <w:rPr>
          <w:rFonts w:ascii="Times New Roman" w:hAnsi="Times New Roman"/>
          <w:sz w:val="20"/>
        </w:rPr>
        <w:t>(1)  Includes shares held by Lee-Anne Corin, the spouse of Denis Corin.</w:t>
      </w:r>
    </w:p>
    <w:p>
      <w:pPr>
        <w:pStyle w:val="TextBody"/>
        <w:spacing w:before="0" w:after="0"/>
        <w:ind w:left="0" w:right="0" w:hanging="0"/>
        <w:jc w:val="left"/>
        <w:rPr>
          <w:rFonts w:ascii="Times New Roman" w:hAnsi="Times New Roman"/>
          <w:sz w:val="20"/>
        </w:rPr>
      </w:pPr>
      <w:r>
        <w:rPr>
          <w:rFonts w:ascii="Times New Roman" w:hAnsi="Times New Roman"/>
          <w:sz w:val="20"/>
        </w:rPr>
        <w:t>(2)  Includes shares held by KEPFAM Holdings LLLP. </w:t>
      </w:r>
    </w:p>
    <w:p>
      <w:pPr>
        <w:pStyle w:val="TextBody"/>
        <w:spacing w:before="0" w:after="0"/>
        <w:ind w:left="0" w:right="0" w:hanging="0"/>
        <w:jc w:val="left"/>
        <w:rPr>
          <w:rFonts w:ascii="Times New Roman" w:hAnsi="Times New Roman"/>
          <w:sz w:val="20"/>
        </w:rPr>
      </w:pPr>
      <w:r>
        <w:rPr>
          <w:rFonts w:ascii="Times New Roman" w:hAnsi="Times New Roman"/>
          <w:sz w:val="20"/>
        </w:rPr>
        <w:t>(3)  Includes shares held by Alan Lindsay &amp; Associates.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ADDITIONAL AVAILABLE INFORMATION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are subject to the information and reporting requirements of the Securities Exchange Act of 1934, and in accordance with such Act, we file periodic reports, documents and other information with the Securities and Exchange Commission relating to our business, financial statements and other matters. Such reports and other information may be inspected and are available for copying at the offices of the Securities and Exchange Commission, 100 F Street, N.E., Washington, D.C. 20549 or may be accessed at www.sec.gov.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4" w:name="PGBRK8"/>
      <w:bookmarkStart w:id="85" w:name="PGBRK8"/>
      <w:bookmarkEnd w:id="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6" w:name="FTR8"/>
      <w:bookmarkStart w:id="87" w:name="FTR8"/>
      <w:bookmarkEnd w:id="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8" w:name="GLFTR8"/>
      <w:bookmarkEnd w:id="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9" w:name="PN8"/>
      <w:bookmarkEnd w:id="89"/>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0" w:name="HDR8"/>
      <w:bookmarkStart w:id="91" w:name="HDR8"/>
      <w:bookmarkEnd w:id="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2" w:name="GLHDR8"/>
      <w:bookmarkEnd w:id="9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EXHIBIT A</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CERTIFICATE OF AMENDMENT TO ARTICLES OF INCORPORATION</w:t>
      </w:r>
    </w:p>
    <w:p>
      <w:pPr>
        <w:pStyle w:val="TextBody"/>
        <w:spacing w:before="0" w:after="0"/>
        <w:ind w:left="0" w:right="0" w:hanging="0"/>
        <w:jc w:val="center"/>
        <w:rPr>
          <w:rFonts w:ascii="Times New Roman" w:hAnsi="Times New Roman"/>
          <w:sz w:val="20"/>
        </w:rPr>
      </w:pPr>
      <w:r>
        <w:rPr>
          <w:rFonts w:ascii="Times New Roman" w:hAnsi="Times New Roman"/>
          <w:sz w:val="20"/>
        </w:rPr>
        <w:t>FOR NEVADA PROFIT CORPORATIONS</w:t>
      </w:r>
    </w:p>
    <w:p>
      <w:pPr>
        <w:pStyle w:val="TextBody"/>
        <w:spacing w:before="0" w:after="0"/>
        <w:ind w:left="0" w:right="0" w:hanging="0"/>
        <w:jc w:val="center"/>
        <w:rPr>
          <w:rFonts w:ascii="Times New Roman" w:hAnsi="Times New Roman"/>
          <w:sz w:val="20"/>
        </w:rPr>
      </w:pPr>
      <w:r>
        <w:rPr>
          <w:rFonts w:ascii="Times New Roman" w:hAnsi="Times New Roman"/>
          <w:sz w:val="20"/>
        </w:rPr>
        <w:t>(PURSUANT TO NRS 78.385 AND 78.390 - AFTER ISSUANCE OF STOCK)</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1. Name of corporation: TapImmune Inc.</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2. The articles have been amended as follows (provide article numbers, if available):</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651"/>
        <w:gridCol w:w="9554"/>
      </w:tblGrid>
      <w:tr>
        <w:trPr/>
        <w:tc>
          <w:tcPr>
            <w:tcW w:w="651" w:type="dxa"/>
            <w:tcBorders/>
            <w:shd w:fill="auto" w:val="clear"/>
            <w:vAlign w:val="center"/>
          </w:tcPr>
          <w:p>
            <w:pPr>
              <w:pStyle w:val="TableContents"/>
              <w:spacing w:before="0" w:after="283"/>
              <w:jc w:val="left"/>
              <w:rPr/>
            </w:pPr>
            <w:r>
              <w:rPr/>
              <w:t xml:space="preserve">  </w:t>
            </w:r>
          </w:p>
        </w:tc>
        <w:tc>
          <w:tcPr>
            <w:tcW w:w="955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3:  The number of authorized shares with a par value of $0.001 per share is 150,000,000 common shares and 5,000,000 preferred shares.</w:t>
            </w:r>
          </w:p>
        </w:tc>
      </w:tr>
    </w:tbl>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3. The vote by which the shareholders holding shares in the corporation entitling them to exercise at least a majority of the voting power, or such greater proportion of the voting power as may be required in the case of a vote by classes or series, or as may be required by the provisions of the articles of incorporation have voted in favor of the amendment is:   21,331,209 of 38,361,674 shares outstanding (55.6%).</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4. Effective date of filing (optional): - --------------------------------------------------------</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5. Officer Signature (required): - ------------------------------------------------</w:t>
      </w:r>
    </w:p>
    <w:p>
      <w:pPr>
        <w:pStyle w:val="TextBody"/>
        <w:spacing w:before="0" w:after="0"/>
        <w:ind w:left="0" w:right="0" w:hanging="0"/>
        <w:jc w:val="left"/>
        <w:rPr/>
      </w:pPr>
      <w:r>
        <w:rPr/>
        <w:t> </w:t>
      </w:r>
    </w:p>
    <w:p>
      <w:pPr>
        <w:pStyle w:val="TextBody"/>
        <w:spacing w:before="0" w:after="0"/>
        <w:ind w:left="0" w:right="0" w:hanging="0"/>
        <w:rPr/>
      </w:pPr>
      <w:r>
        <w:rPr/>
      </w:r>
    </w:p>
    <w:p>
      <w:pPr>
        <w:pStyle w:val="TextBody"/>
        <w:spacing w:before="0" w:after="0"/>
        <w:ind w:left="0" w:right="0" w:hanging="0"/>
        <w:jc w:val="left"/>
        <w:rPr/>
      </w:pPr>
      <w:r>
        <w:rPr/>
        <w:t> </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3" w:name="PGBRK9"/>
      <w:bookmarkStart w:id="94" w:name="PGBRK9"/>
      <w:bookmarkEnd w:id="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sz w:val="20"/>
        </w:rPr>
      </w:pPr>
      <w:bookmarkStart w:id="95" w:name="FTR9"/>
      <w:bookmarkEnd w:id="95"/>
      <w:r>
        <w:rPr>
          <w:rFonts w:ascii="Times New Roman" w:hAnsi="Times New Roman"/>
          <w:sz w:val="20"/>
        </w:rPr>
        <w:t>A-1</w:t>
      </w:r>
    </w:p>
    <w:p>
      <w:pPr>
        <w:pStyle w:val="TextBody"/>
        <w:spacing w:before="0" w:after="0"/>
        <w:ind w:left="0" w:right="0" w:hanging="0"/>
        <w:jc w:val="both"/>
        <w:rPr/>
      </w:pPr>
      <w:r>
        <w:rPr/>
        <w:t> </w:t>
      </w:r>
    </w:p>
    <w:p>
      <w:pPr>
        <w:pStyle w:val="TextBody"/>
        <w:spacing w:before="0" w:after="0"/>
        <w:ind w:left="0" w:right="0" w:hanging="0"/>
        <w:jc w:val="left"/>
        <w:rPr/>
      </w:pPr>
      <w:r>
        <w:rPr/>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6" w:name="GLFTR9"/>
      <w:bookmarkEnd w:id="9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7" w:name="PN9"/>
      <w:bookmarkEnd w:id="97"/>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8" w:name="HDR9"/>
      <w:bookmarkStart w:id="99" w:name="HDR9"/>
      <w:bookmarkEnd w:id="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0" w:name="GLHDR9"/>
      <w:bookmarkEnd w:id="1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EXHIBIT B</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TAPIMMUNE INC.</w:t>
      </w:r>
    </w:p>
    <w:p>
      <w:pPr>
        <w:pStyle w:val="TextBody"/>
        <w:spacing w:before="0" w:after="0"/>
        <w:ind w:left="0" w:right="0" w:hanging="0"/>
        <w:jc w:val="left"/>
        <w:rPr/>
      </w:pPr>
      <w:r>
        <w:rPr/>
      </w:r>
    </w:p>
    <w:p>
      <w:pPr>
        <w:pStyle w:val="TextBody"/>
        <w:spacing w:before="0" w:after="0"/>
        <w:ind w:left="0" w:right="0" w:hanging="0"/>
        <w:jc w:val="center"/>
        <w:rPr>
          <w:rFonts w:ascii="Times New Roman" w:hAnsi="Times New Roman"/>
          <w:b/>
          <w:sz w:val="20"/>
          <w:u w:val="single"/>
          <w:bdr w:val="double" w:sz="2" w:space="1" w:color="000000"/>
        </w:rPr>
      </w:pPr>
      <w:r>
        <w:rPr>
          <w:rFonts w:ascii="Times New Roman" w:hAnsi="Times New Roman"/>
          <w:b/>
          <w:sz w:val="20"/>
          <w:u w:val="single"/>
          <w:bdr w:val="double" w:sz="2" w:space="1" w:color="000000"/>
        </w:rPr>
        <w:t>2009 STOCK INCENTIVE PLAN</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101" w:name="hangingindent3"/>
      <w:bookmarkStart w:id="102" w:name="hangingindent3"/>
      <w:bookmarkEnd w:id="102"/>
    </w:p>
    <w:tbl>
      <w:tblPr>
        <w:tblW w:w="5000" w:type="pct"/>
        <w:jc w:val="center"/>
        <w:tblInd w:w="0" w:type="dxa"/>
        <w:tblCellMar>
          <w:top w:w="0" w:type="dxa"/>
          <w:left w:w="0" w:type="dxa"/>
          <w:bottom w:w="0" w:type="dxa"/>
          <w:right w:w="0" w:type="dxa"/>
        </w:tblCellMar>
      </w:tblPr>
      <w:tblGrid>
        <w:gridCol w:w="1591"/>
        <w:gridCol w:w="8614"/>
      </w:tblGrid>
      <w:tr>
        <w:trPr/>
        <w:tc>
          <w:tcPr>
            <w:tcW w:w="1591"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1.</w:t>
            </w:r>
          </w:p>
        </w:tc>
        <w:tc>
          <w:tcPr>
            <w:tcW w:w="8614" w:type="dxa"/>
            <w:tcBorders/>
            <w:shd w:fill="auto" w:val="clear"/>
          </w:tcPr>
          <w:p>
            <w:pPr>
              <w:pStyle w:val="TableContents"/>
              <w:spacing w:before="0" w:after="0"/>
              <w:jc w:val="both"/>
              <w:rPr>
                <w:rFonts w:ascii="Times New Roman" w:hAnsi="Times New Roman"/>
                <w:b/>
                <w:sz w:val="20"/>
                <w:u w:val="single"/>
              </w:rPr>
            </w:pPr>
            <w:r>
              <w:rPr>
                <w:rFonts w:ascii="Times New Roman" w:hAnsi="Times New Roman"/>
                <w:b/>
                <w:sz w:val="20"/>
                <w:u w:val="single"/>
              </w:rPr>
              <w:t>PURPOSE</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1.1                      The purpose of this Stock Incentive Plan (the “</w:t>
      </w:r>
      <w:r>
        <w:rPr>
          <w:rFonts w:ascii="Times New Roman" w:hAnsi="Times New Roman"/>
          <w:b/>
          <w:sz w:val="20"/>
        </w:rPr>
        <w:t>Plan</w:t>
      </w:r>
      <w:r>
        <w:rPr>
          <w:rFonts w:ascii="Times New Roman" w:hAnsi="Times New Roman"/>
          <w:sz w:val="20"/>
        </w:rPr>
        <w:t>”) is to advance the interests of TapImmune Inc. (the “</w:t>
      </w:r>
      <w:r>
        <w:rPr>
          <w:rFonts w:ascii="Times New Roman" w:hAnsi="Times New Roman"/>
          <w:b/>
          <w:sz w:val="20"/>
        </w:rPr>
        <w:t>Company</w:t>
      </w:r>
      <w:r>
        <w:rPr>
          <w:rFonts w:ascii="Times New Roman" w:hAnsi="Times New Roman"/>
          <w:sz w:val="20"/>
        </w:rPr>
        <w:t>”) by encouraging Eligible Participants (as herein defined) to acquire shares of the Company, thereby increasing their proprietary interest in the Company, encouraging them to remain associated with the Company and furnish them with additional incentive in their efforts on behalf of the Company in the conduct of their affairs.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1.2                      This Plan is specifically designed for Eligible Participants of the Company who are residents of the United States and/or subject to taxation in the United States, although Awards (as herein defined) under this Plan may be issued to other Eligible Participants.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1.3                      This Plan supersedes and replaces, in its entirety, the Company’s existing 2007 Stock Incentive Plan, dated as originally ratified by the Board of Directors of the Company on June 8, 2007, except that any “Awards” theretofore granted by the Company under its 2007 Stock Incentive Plan are necessarily brought forward by the Company and covered now by the terms and conditions of this Plan.</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103" w:name="hangingindent4"/>
      <w:bookmarkStart w:id="104" w:name="hangingindent4"/>
      <w:bookmarkEnd w:id="104"/>
    </w:p>
    <w:tbl>
      <w:tblPr>
        <w:tblW w:w="5000" w:type="pct"/>
        <w:jc w:val="center"/>
        <w:tblInd w:w="0" w:type="dxa"/>
        <w:tblCellMar>
          <w:top w:w="0" w:type="dxa"/>
          <w:left w:w="0" w:type="dxa"/>
          <w:bottom w:w="0" w:type="dxa"/>
          <w:right w:w="0" w:type="dxa"/>
        </w:tblCellMar>
      </w:tblPr>
      <w:tblGrid>
        <w:gridCol w:w="1184"/>
        <w:gridCol w:w="9021"/>
      </w:tblGrid>
      <w:tr>
        <w:trPr/>
        <w:tc>
          <w:tcPr>
            <w:tcW w:w="1184"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2.</w:t>
            </w:r>
          </w:p>
        </w:tc>
        <w:tc>
          <w:tcPr>
            <w:tcW w:w="9021" w:type="dxa"/>
            <w:tcBorders/>
            <w:shd w:fill="auto" w:val="clear"/>
          </w:tcPr>
          <w:p>
            <w:pPr>
              <w:pStyle w:val="TableContents"/>
              <w:spacing w:before="0" w:after="0"/>
              <w:jc w:val="both"/>
              <w:rPr>
                <w:rFonts w:ascii="Times New Roman" w:hAnsi="Times New Roman"/>
                <w:b/>
                <w:sz w:val="20"/>
                <w:u w:val="single"/>
              </w:rPr>
            </w:pPr>
            <w:r>
              <w:rPr>
                <w:rFonts w:ascii="Times New Roman" w:hAnsi="Times New Roman"/>
                <w:b/>
                <w:sz w:val="20"/>
                <w:u w:val="single"/>
              </w:rPr>
              <w:t>DEFINITIONS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2.1                      As used herein, the following definitions shall apply:</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105" w:name="hangingindent5"/>
      <w:bookmarkStart w:id="106" w:name="hangingindent5"/>
      <w:bookmarkEnd w:id="106"/>
    </w:p>
    <w:tbl>
      <w:tblPr>
        <w:tblW w:w="5000" w:type="pct"/>
        <w:jc w:val="center"/>
        <w:tblInd w:w="0" w:type="dxa"/>
        <w:tblCellMar>
          <w:top w:w="0" w:type="dxa"/>
          <w:left w:w="0" w:type="dxa"/>
          <w:bottom w:w="0" w:type="dxa"/>
          <w:right w:w="0" w:type="dxa"/>
        </w:tblCellMar>
      </w:tblPr>
      <w:tblGrid>
        <w:gridCol w:w="221"/>
        <w:gridCol w:w="426"/>
        <w:gridCol w:w="9558"/>
      </w:tblGrid>
      <w:tr>
        <w:trPr/>
        <w:tc>
          <w:tcPr>
            <w:tcW w:w="221" w:type="dxa"/>
            <w:tcBorders/>
            <w:shd w:fill="auto" w:val="clear"/>
          </w:tcPr>
          <w:p>
            <w:pPr>
              <w:pStyle w:val="TableContents"/>
              <w:spacing w:before="0" w:after="0"/>
              <w:rPr/>
            </w:pPr>
            <w:r>
              <w:rPr/>
              <w:t xml:space="preserve">  </w:t>
            </w:r>
          </w:p>
        </w:tc>
        <w:tc>
          <w:tcPr>
            <w:tcW w:w="42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558" w:type="dxa"/>
            <w:tcBorders/>
            <w:shd w:fill="auto" w:val="clear"/>
          </w:tcPr>
          <w:p>
            <w:pPr>
              <w:pStyle w:val="TableContents"/>
              <w:spacing w:before="0" w:after="0"/>
              <w:jc w:val="both"/>
              <w:rPr/>
            </w:pPr>
            <w:r>
              <w:rPr/>
              <w:t>“</w:t>
            </w:r>
            <w:r>
              <w:rPr>
                <w:rFonts w:ascii="Times New Roman" w:hAnsi="Times New Roman"/>
                <w:b/>
                <w:sz w:val="20"/>
              </w:rPr>
              <w:t>Administrator</w:t>
            </w:r>
            <w:r>
              <w:rPr>
                <w:rFonts w:ascii="Times New Roman" w:hAnsi="Times New Roman"/>
                <w:sz w:val="20"/>
              </w:rPr>
              <w:t>” means the Committee or otherwise the Board;</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107" w:name="hangingindent6"/>
      <w:bookmarkStart w:id="108" w:name="hangingindent6"/>
      <w:bookmarkEnd w:id="108"/>
    </w:p>
    <w:tbl>
      <w:tblPr>
        <w:tblW w:w="5000" w:type="pct"/>
        <w:jc w:val="center"/>
        <w:tblInd w:w="0" w:type="dxa"/>
        <w:tblCellMar>
          <w:top w:w="0" w:type="dxa"/>
          <w:left w:w="0" w:type="dxa"/>
          <w:bottom w:w="0" w:type="dxa"/>
          <w:right w:w="0" w:type="dxa"/>
        </w:tblCellMar>
      </w:tblPr>
      <w:tblGrid>
        <w:gridCol w:w="118"/>
        <w:gridCol w:w="244"/>
        <w:gridCol w:w="9843"/>
      </w:tblGrid>
      <w:tr>
        <w:trPr/>
        <w:tc>
          <w:tcPr>
            <w:tcW w:w="118" w:type="dxa"/>
            <w:tcBorders/>
            <w:shd w:fill="auto" w:val="clear"/>
          </w:tcPr>
          <w:p>
            <w:pPr>
              <w:pStyle w:val="TableContents"/>
              <w:spacing w:before="0" w:after="0"/>
              <w:rPr/>
            </w:pPr>
            <w:r>
              <w:rPr/>
              <w:t xml:space="preserve">  </w:t>
            </w:r>
          </w:p>
        </w:tc>
        <w:tc>
          <w:tcPr>
            <w:tcW w:w="24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843" w:type="dxa"/>
            <w:tcBorders/>
            <w:shd w:fill="auto" w:val="clear"/>
          </w:tcPr>
          <w:p>
            <w:pPr>
              <w:pStyle w:val="TableContents"/>
              <w:spacing w:before="0" w:after="0"/>
              <w:jc w:val="both"/>
              <w:rPr/>
            </w:pPr>
            <w:r>
              <w:rPr/>
              <w:t>“</w:t>
            </w:r>
            <w:r>
              <w:rPr>
                <w:rFonts w:ascii="Times New Roman" w:hAnsi="Times New Roman"/>
                <w:b/>
                <w:sz w:val="20"/>
              </w:rPr>
              <w:t>Affiliate</w:t>
            </w:r>
            <w:r>
              <w:rPr>
                <w:rFonts w:ascii="Times New Roman" w:hAnsi="Times New Roman"/>
                <w:sz w:val="20"/>
              </w:rPr>
              <w:t>” and “</w:t>
            </w:r>
            <w:r>
              <w:rPr>
                <w:rFonts w:ascii="Times New Roman" w:hAnsi="Times New Roman"/>
                <w:b/>
                <w:sz w:val="20"/>
              </w:rPr>
              <w:t>Associate</w:t>
            </w:r>
            <w:r>
              <w:rPr>
                <w:rFonts w:ascii="Times New Roman" w:hAnsi="Times New Roman"/>
                <w:sz w:val="20"/>
              </w:rPr>
              <w:t>” have the meanings ascribed to such terms in Rule 12b-2 promulgated under the Exchange Act;</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109" w:name="hangingindent7"/>
      <w:bookmarkStart w:id="110" w:name="hangingindent7"/>
      <w:bookmarkEnd w:id="110"/>
    </w:p>
    <w:tbl>
      <w:tblPr>
        <w:tblW w:w="5000" w:type="pct"/>
        <w:jc w:val="center"/>
        <w:tblInd w:w="0" w:type="dxa"/>
        <w:tblCellMar>
          <w:top w:w="0" w:type="dxa"/>
          <w:left w:w="0" w:type="dxa"/>
          <w:bottom w:w="0" w:type="dxa"/>
          <w:right w:w="0" w:type="dxa"/>
        </w:tblCellMar>
      </w:tblPr>
      <w:tblGrid>
        <w:gridCol w:w="76"/>
        <w:gridCol w:w="187"/>
        <w:gridCol w:w="9942"/>
      </w:tblGrid>
      <w:tr>
        <w:trPr/>
        <w:tc>
          <w:tcPr>
            <w:tcW w:w="76" w:type="dxa"/>
            <w:tcBorders/>
            <w:shd w:fill="auto" w:val="clear"/>
          </w:tcPr>
          <w:p>
            <w:pPr>
              <w:pStyle w:val="TableContents"/>
              <w:spacing w:before="0" w:after="0"/>
              <w:rPr/>
            </w:pPr>
            <w:r>
              <w:rPr/>
              <w:t xml:space="preserve">  </w:t>
            </w:r>
          </w:p>
        </w:tc>
        <w:tc>
          <w:tcPr>
            <w:tcW w:w="18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942" w:type="dxa"/>
            <w:tcBorders/>
            <w:shd w:fill="auto" w:val="clear"/>
          </w:tcPr>
          <w:p>
            <w:pPr>
              <w:pStyle w:val="TableContents"/>
              <w:spacing w:before="0" w:after="0"/>
              <w:jc w:val="both"/>
              <w:rPr/>
            </w:pPr>
            <w:r>
              <w:rPr/>
              <w:t>“</w:t>
            </w:r>
            <w:r>
              <w:rPr>
                <w:rFonts w:ascii="Times New Roman" w:hAnsi="Times New Roman"/>
                <w:b/>
                <w:sz w:val="20"/>
              </w:rPr>
              <w:t>Applicable Laws</w:t>
            </w:r>
            <w:r>
              <w:rPr>
                <w:rFonts w:ascii="Times New Roman" w:hAnsi="Times New Roman"/>
                <w:sz w:val="20"/>
              </w:rPr>
              <w:t>” means the legal requirements relating to the administration of stock incentive plans, if any, under applicable provisions of federal securities laws, state corporate laws, state or provincial securities laws, the Code, the rules of any applicable stock exchange or national market system, and the rules of any foreign jurisdiction applicable to Awards granted to residents therein;</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111" w:name="hangingindent8"/>
      <w:bookmarkStart w:id="112" w:name="hangingindent8"/>
      <w:bookmarkEnd w:id="112"/>
    </w:p>
    <w:tbl>
      <w:tblPr>
        <w:tblW w:w="5000" w:type="pct"/>
        <w:jc w:val="center"/>
        <w:tblInd w:w="0" w:type="dxa"/>
        <w:tblCellMar>
          <w:top w:w="0" w:type="dxa"/>
          <w:left w:w="0" w:type="dxa"/>
          <w:bottom w:w="0" w:type="dxa"/>
          <w:right w:w="0" w:type="dxa"/>
        </w:tblCellMar>
      </w:tblPr>
      <w:tblGrid>
        <w:gridCol w:w="102"/>
        <w:gridCol w:w="228"/>
        <w:gridCol w:w="9875"/>
      </w:tblGrid>
      <w:tr>
        <w:trPr/>
        <w:tc>
          <w:tcPr>
            <w:tcW w:w="102" w:type="dxa"/>
            <w:tcBorders/>
            <w:shd w:fill="auto" w:val="clear"/>
          </w:tcPr>
          <w:p>
            <w:pPr>
              <w:pStyle w:val="TableContents"/>
              <w:spacing w:before="0" w:after="0"/>
              <w:rPr/>
            </w:pPr>
            <w:r>
              <w:rPr/>
              <w:t xml:space="preserve">  </w:t>
            </w:r>
          </w:p>
        </w:tc>
        <w:tc>
          <w:tcPr>
            <w:tcW w:w="22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9875" w:type="dxa"/>
            <w:tcBorders/>
            <w:shd w:fill="auto" w:val="clear"/>
          </w:tcPr>
          <w:p>
            <w:pPr>
              <w:pStyle w:val="TableContents"/>
              <w:spacing w:before="0" w:after="0"/>
              <w:jc w:val="both"/>
              <w:rPr/>
            </w:pPr>
            <w:r>
              <w:rPr/>
              <w:t>“</w:t>
            </w:r>
            <w:r>
              <w:rPr>
                <w:rFonts w:ascii="Times New Roman" w:hAnsi="Times New Roman"/>
                <w:b/>
                <w:sz w:val="20"/>
              </w:rPr>
              <w:t>Award</w:t>
            </w:r>
            <w:r>
              <w:rPr>
                <w:rFonts w:ascii="Times New Roman" w:hAnsi="Times New Roman"/>
                <w:sz w:val="20"/>
              </w:rPr>
              <w:t>” means the grant of an Option, SAR, Restricted Stock, unrestricted Shares, Restricted Stock Unit, Deferred Stock Unit or other right or benefit under this Plan;</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113" w:name="hangingindent9"/>
      <w:bookmarkStart w:id="114" w:name="hangingindent9"/>
      <w:bookmarkEnd w:id="114"/>
    </w:p>
    <w:tbl>
      <w:tblPr>
        <w:tblW w:w="5000" w:type="pct"/>
        <w:jc w:val="center"/>
        <w:tblInd w:w="0" w:type="dxa"/>
        <w:tblCellMar>
          <w:top w:w="0" w:type="dxa"/>
          <w:left w:w="0" w:type="dxa"/>
          <w:bottom w:w="0" w:type="dxa"/>
          <w:right w:w="0" w:type="dxa"/>
        </w:tblCellMar>
      </w:tblPr>
      <w:tblGrid>
        <w:gridCol w:w="102"/>
        <w:gridCol w:w="213"/>
        <w:gridCol w:w="9890"/>
      </w:tblGrid>
      <w:tr>
        <w:trPr/>
        <w:tc>
          <w:tcPr>
            <w:tcW w:w="102" w:type="dxa"/>
            <w:tcBorders/>
            <w:shd w:fill="auto" w:val="clear"/>
          </w:tcPr>
          <w:p>
            <w:pPr>
              <w:pStyle w:val="TableContents"/>
              <w:spacing w:before="0" w:after="0"/>
              <w:rPr/>
            </w:pPr>
            <w:r>
              <w:rPr/>
              <w:t xml:space="preserve">  </w:t>
            </w:r>
          </w:p>
        </w:tc>
        <w:tc>
          <w:tcPr>
            <w:tcW w:w="21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(e)</w:t>
            </w:r>
          </w:p>
        </w:tc>
        <w:tc>
          <w:tcPr>
            <w:tcW w:w="9890" w:type="dxa"/>
            <w:tcBorders/>
            <w:shd w:fill="auto" w:val="clear"/>
          </w:tcPr>
          <w:p>
            <w:pPr>
              <w:pStyle w:val="TableContents"/>
              <w:spacing w:before="0" w:after="0"/>
              <w:jc w:val="both"/>
              <w:rPr/>
            </w:pPr>
            <w:r>
              <w:rPr/>
              <w:t>“</w:t>
            </w:r>
            <w:r>
              <w:rPr>
                <w:rFonts w:ascii="Times New Roman" w:hAnsi="Times New Roman"/>
                <w:b/>
                <w:sz w:val="20"/>
              </w:rPr>
              <w:t>Award Agreement</w:t>
            </w:r>
            <w:r>
              <w:rPr>
                <w:rFonts w:ascii="Times New Roman" w:hAnsi="Times New Roman"/>
                <w:sz w:val="20"/>
              </w:rPr>
              <w:t>” means the written agreement evidencing the grant of an Award executed by the Company and the Grantee, including any amendments thereto;</w:t>
            </w:r>
          </w:p>
        </w:tc>
      </w:tr>
    </w:tbl>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r>
        <w:rPr>
          <w:rFonts w:ascii="Times New Roman" w:hAnsi="Times New Roman"/>
          <w:sz w:val="20"/>
        </w:rPr>
        <w:t>(f)           “</w:t>
      </w:r>
      <w:r>
        <w:rPr>
          <w:rFonts w:ascii="Times New Roman" w:hAnsi="Times New Roman"/>
          <w:b/>
          <w:sz w:val="20"/>
        </w:rPr>
        <w:t>Award Right</w:t>
      </w:r>
      <w:r>
        <w:rPr>
          <w:rFonts w:ascii="Times New Roman" w:hAnsi="Times New Roman"/>
          <w:sz w:val="20"/>
        </w:rPr>
        <w:t>” means each right to acquire a Share pursuant to an Award;</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r>
        <w:rPr>
          <w:rFonts w:ascii="Times New Roman" w:hAnsi="Times New Roman"/>
          <w:sz w:val="20"/>
        </w:rPr>
        <w:t>(g)           “</w:t>
      </w:r>
      <w:r>
        <w:rPr>
          <w:rFonts w:ascii="Times New Roman" w:hAnsi="Times New Roman"/>
          <w:b/>
          <w:sz w:val="20"/>
        </w:rPr>
        <w:t>Board</w:t>
      </w:r>
      <w:r>
        <w:rPr>
          <w:rFonts w:ascii="Times New Roman" w:hAnsi="Times New Roman"/>
          <w:sz w:val="20"/>
        </w:rPr>
        <w:t>” means the Board of Directors of the Company;</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115" w:name="hangingindent10"/>
      <w:bookmarkStart w:id="116" w:name="hangingindent10"/>
      <w:bookmarkEnd w:id="116"/>
    </w:p>
    <w:tbl>
      <w:tblPr>
        <w:tblW w:w="5000" w:type="pct"/>
        <w:jc w:val="center"/>
        <w:tblInd w:w="0" w:type="dxa"/>
        <w:tblCellMar>
          <w:top w:w="0" w:type="dxa"/>
          <w:left w:w="0" w:type="dxa"/>
          <w:bottom w:w="0" w:type="dxa"/>
          <w:right w:w="0" w:type="dxa"/>
        </w:tblCellMar>
      </w:tblPr>
      <w:tblGrid>
        <w:gridCol w:w="74"/>
        <w:gridCol w:w="200"/>
        <w:gridCol w:w="9931"/>
      </w:tblGrid>
      <w:tr>
        <w:trPr/>
        <w:tc>
          <w:tcPr>
            <w:tcW w:w="74" w:type="dxa"/>
            <w:tcBorders/>
            <w:shd w:fill="auto" w:val="clear"/>
          </w:tcPr>
          <w:p>
            <w:pPr>
              <w:pStyle w:val="TableContents"/>
              <w:spacing w:before="0" w:after="0"/>
              <w:rPr/>
            </w:pPr>
            <w:r>
              <w:rPr/>
              <w:t xml:space="preserve">  </w:t>
            </w:r>
          </w:p>
        </w:tc>
        <w:tc>
          <w:tcPr>
            <w:tcW w:w="20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(h)</w:t>
            </w:r>
          </w:p>
        </w:tc>
        <w:tc>
          <w:tcPr>
            <w:tcW w:w="9931" w:type="dxa"/>
            <w:tcBorders/>
            <w:shd w:fill="auto" w:val="clear"/>
          </w:tcPr>
          <w:p>
            <w:pPr>
              <w:pStyle w:val="TableContents"/>
              <w:spacing w:before="0" w:after="0"/>
              <w:jc w:val="both"/>
              <w:rPr/>
            </w:pPr>
            <w:r>
              <w:rPr/>
              <w:t>“</w:t>
            </w:r>
            <w:r>
              <w:rPr>
                <w:rFonts w:ascii="Times New Roman" w:hAnsi="Times New Roman"/>
                <w:b/>
                <w:sz w:val="20"/>
              </w:rPr>
              <w:t>Cause</w:t>
            </w:r>
            <w:r>
              <w:rPr>
                <w:rFonts w:ascii="Times New Roman" w:hAnsi="Times New Roman"/>
                <w:sz w:val="20"/>
              </w:rPr>
              <w:t>” means, with respect to the termination by the Company or a Related Entity of the Grantee’s Continuous Service, that such termination is for “Cause” as such term is expressly defined in a then-effective written agreement between the Grantee and the Company or such Related Entity, or in the absence of such then-effective written agreement and definition, is based on, in the determination of the Administrator, the Grantee’s:</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117" w:name="hangingindent11"/>
      <w:bookmarkStart w:id="118" w:name="hangingindent11"/>
      <w:bookmarkEnd w:id="118"/>
    </w:p>
    <w:tbl>
      <w:tblPr>
        <w:tblW w:w="5000" w:type="pct"/>
        <w:jc w:val="center"/>
        <w:tblInd w:w="0" w:type="dxa"/>
        <w:tblCellMar>
          <w:top w:w="0" w:type="dxa"/>
          <w:left w:w="0" w:type="dxa"/>
          <w:bottom w:w="0" w:type="dxa"/>
          <w:right w:w="0" w:type="dxa"/>
        </w:tblCellMar>
      </w:tblPr>
      <w:tblGrid>
        <w:gridCol w:w="125"/>
        <w:gridCol w:w="208"/>
        <w:gridCol w:w="9872"/>
      </w:tblGrid>
      <w:tr>
        <w:trPr/>
        <w:tc>
          <w:tcPr>
            <w:tcW w:w="125" w:type="dxa"/>
            <w:tcBorders/>
            <w:shd w:fill="auto" w:val="clear"/>
          </w:tcPr>
          <w:p>
            <w:pPr>
              <w:pStyle w:val="TableContents"/>
              <w:spacing w:before="0" w:after="0"/>
              <w:rPr/>
            </w:pPr>
            <w:r>
              <w:rPr/>
              <w:t xml:space="preserve">  </w:t>
            </w:r>
          </w:p>
        </w:tc>
        <w:tc>
          <w:tcPr>
            <w:tcW w:w="20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w:t>
            </w:r>
          </w:p>
        </w:tc>
        <w:tc>
          <w:tcPr>
            <w:tcW w:w="987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refusal or failure to act in accordance with any specific, lawful direction or order of the Company or a Related Entity;</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119" w:name="hangingindent12"/>
      <w:bookmarkStart w:id="120" w:name="hangingindent12"/>
      <w:bookmarkEnd w:id="120"/>
    </w:p>
    <w:tbl>
      <w:tblPr>
        <w:tblW w:w="5000" w:type="pct"/>
        <w:jc w:val="center"/>
        <w:tblInd w:w="0" w:type="dxa"/>
        <w:tblCellMar>
          <w:top w:w="0" w:type="dxa"/>
          <w:left w:w="0" w:type="dxa"/>
          <w:bottom w:w="0" w:type="dxa"/>
          <w:right w:w="0" w:type="dxa"/>
        </w:tblCellMar>
      </w:tblPr>
      <w:tblGrid>
        <w:gridCol w:w="138"/>
        <w:gridCol w:w="300"/>
        <w:gridCol w:w="9767"/>
      </w:tblGrid>
      <w:tr>
        <w:trPr/>
        <w:tc>
          <w:tcPr>
            <w:tcW w:w="138" w:type="dxa"/>
            <w:tcBorders/>
            <w:shd w:fill="auto" w:val="clear"/>
          </w:tcPr>
          <w:p>
            <w:pPr>
              <w:pStyle w:val="TableContents"/>
              <w:spacing w:before="0" w:after="0"/>
              <w:rPr/>
            </w:pPr>
            <w:r>
              <w:rPr/>
              <w:t xml:space="preserve">  </w:t>
            </w:r>
          </w:p>
        </w:tc>
        <w:tc>
          <w:tcPr>
            <w:tcW w:w="30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(ii)</w:t>
            </w:r>
          </w:p>
        </w:tc>
        <w:tc>
          <w:tcPr>
            <w:tcW w:w="976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unfitness or unavailability for service or unsatisfactory performance (other than as a result of Disability);</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121" w:name="hangingindent13"/>
      <w:bookmarkStart w:id="122" w:name="hangingindent13"/>
      <w:bookmarkEnd w:id="122"/>
    </w:p>
    <w:tbl>
      <w:tblPr>
        <w:tblW w:w="5000" w:type="pct"/>
        <w:jc w:val="center"/>
        <w:tblInd w:w="0" w:type="dxa"/>
        <w:tblCellMar>
          <w:top w:w="0" w:type="dxa"/>
          <w:left w:w="0" w:type="dxa"/>
          <w:bottom w:w="0" w:type="dxa"/>
          <w:right w:w="0" w:type="dxa"/>
        </w:tblCellMar>
      </w:tblPr>
      <w:tblGrid>
        <w:gridCol w:w="118"/>
        <w:gridCol w:w="319"/>
        <w:gridCol w:w="9768"/>
      </w:tblGrid>
      <w:tr>
        <w:trPr/>
        <w:tc>
          <w:tcPr>
            <w:tcW w:w="118" w:type="dxa"/>
            <w:tcBorders/>
            <w:shd w:fill="auto" w:val="clear"/>
          </w:tcPr>
          <w:p>
            <w:pPr>
              <w:pStyle w:val="TableContents"/>
              <w:spacing w:before="0" w:after="0"/>
              <w:rPr/>
            </w:pPr>
            <w:r>
              <w:rPr/>
              <w:t xml:space="preserve">  </w:t>
            </w:r>
          </w:p>
        </w:tc>
        <w:tc>
          <w:tcPr>
            <w:tcW w:w="31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(iii)</w:t>
            </w:r>
          </w:p>
        </w:tc>
        <w:tc>
          <w:tcPr>
            <w:tcW w:w="976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performance of any act or failure to perform any act in bad faith and to the detriment of the Company or a Related Entity;</w:t>
            </w:r>
          </w:p>
        </w:tc>
      </w:tr>
    </w:tbl>
    <w:p>
      <w:pPr>
        <w:pStyle w:val="TextBody"/>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jc w:val="left"/>
        <w:rPr/>
      </w:pPr>
      <w:r>
        <w:rPr/>
      </w:r>
      <w:bookmarkStart w:id="123" w:name="PGBRK10"/>
      <w:bookmarkStart w:id="124" w:name="PGBRK10"/>
      <w:bookmarkEnd w:id="1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r>
      <w:bookmarkStart w:id="125" w:name="FTR10"/>
      <w:bookmarkStart w:id="126" w:name="FTR10"/>
      <w:bookmarkEnd w:id="1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127" w:name="GLFTR10"/>
      <w:bookmarkEnd w:id="1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8" w:name="PN10"/>
      <w:bookmarkEnd w:id="128"/>
      <w:r>
        <w:rPr>
          <w:rFonts w:ascii="Times New Roman" w:hAnsi="Times New Roman"/>
          <w:sz w:val="20"/>
        </w:rPr>
        <w:t>B-1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r>
      <w:bookmarkStart w:id="129" w:name="HDR10"/>
      <w:bookmarkStart w:id="130" w:name="HDR10"/>
      <w:bookmarkEnd w:id="1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131" w:name="GLHDR10"/>
      <w:bookmarkEnd w:id="1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132" w:name="hangingindent14"/>
      <w:bookmarkStart w:id="133" w:name="hangingindent14"/>
      <w:bookmarkEnd w:id="133"/>
    </w:p>
    <w:tbl>
      <w:tblPr>
        <w:tblW w:w="5000" w:type="pct"/>
        <w:jc w:val="center"/>
        <w:tblInd w:w="0" w:type="dxa"/>
        <w:tblCellMar>
          <w:top w:w="0" w:type="dxa"/>
          <w:left w:w="0" w:type="dxa"/>
          <w:bottom w:w="0" w:type="dxa"/>
          <w:right w:w="0" w:type="dxa"/>
        </w:tblCellMar>
      </w:tblPr>
      <w:tblGrid>
        <w:gridCol w:w="126"/>
        <w:gridCol w:w="323"/>
        <w:gridCol w:w="9756"/>
      </w:tblGrid>
      <w:tr>
        <w:trPr/>
        <w:tc>
          <w:tcPr>
            <w:tcW w:w="126" w:type="dxa"/>
            <w:tcBorders/>
            <w:shd w:fill="auto" w:val="clear"/>
          </w:tcPr>
          <w:p>
            <w:pPr>
              <w:pStyle w:val="TableContents"/>
              <w:spacing w:before="0" w:after="0"/>
              <w:rPr/>
            </w:pPr>
            <w:r>
              <w:rPr/>
              <w:t xml:space="preserve">  </w:t>
            </w:r>
          </w:p>
        </w:tc>
        <w:tc>
          <w:tcPr>
            <w:tcW w:w="32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(iv)</w:t>
            </w:r>
          </w:p>
        </w:tc>
        <w:tc>
          <w:tcPr>
            <w:tcW w:w="975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dishonesty, intentional misconduct or material breach of any agreement with the Company or a Related Entity; or</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134" w:name="hangingindent15"/>
      <w:bookmarkStart w:id="135" w:name="hangingindent15"/>
      <w:bookmarkEnd w:id="135"/>
    </w:p>
    <w:tbl>
      <w:tblPr>
        <w:tblW w:w="5000" w:type="pct"/>
        <w:jc w:val="center"/>
        <w:tblInd w:w="0" w:type="dxa"/>
        <w:tblCellMar>
          <w:top w:w="0" w:type="dxa"/>
          <w:left w:w="0" w:type="dxa"/>
          <w:bottom w:w="0" w:type="dxa"/>
          <w:right w:w="0" w:type="dxa"/>
        </w:tblCellMar>
      </w:tblPr>
      <w:tblGrid>
        <w:gridCol w:w="136"/>
        <w:gridCol w:w="279"/>
        <w:gridCol w:w="9790"/>
      </w:tblGrid>
      <w:tr>
        <w:trPr/>
        <w:tc>
          <w:tcPr>
            <w:tcW w:w="136" w:type="dxa"/>
            <w:tcBorders/>
            <w:shd w:fill="auto" w:val="clear"/>
          </w:tcPr>
          <w:p>
            <w:pPr>
              <w:pStyle w:val="TableContents"/>
              <w:spacing w:before="0" w:after="0"/>
              <w:rPr/>
            </w:pPr>
            <w:r>
              <w:rPr/>
              <w:t xml:space="preserve">  </w:t>
            </w:r>
          </w:p>
        </w:tc>
        <w:tc>
          <w:tcPr>
            <w:tcW w:w="27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(v)</w:t>
            </w:r>
          </w:p>
        </w:tc>
        <w:tc>
          <w:tcPr>
            <w:tcW w:w="97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commission of a crime involving dishonesty, breach of trust, or physical or emotional harm to any person;</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136" w:name="hangingindent16"/>
      <w:bookmarkStart w:id="137" w:name="hangingindent16"/>
      <w:bookmarkEnd w:id="137"/>
    </w:p>
    <w:tbl>
      <w:tblPr>
        <w:tblW w:w="5000" w:type="pct"/>
        <w:jc w:val="center"/>
        <w:tblInd w:w="0" w:type="dxa"/>
        <w:tblCellMar>
          <w:top w:w="0" w:type="dxa"/>
          <w:left w:w="0" w:type="dxa"/>
          <w:bottom w:w="0" w:type="dxa"/>
          <w:right w:w="0" w:type="dxa"/>
        </w:tblCellMar>
      </w:tblPr>
      <w:tblGrid>
        <w:gridCol w:w="104"/>
        <w:gridCol w:w="185"/>
        <w:gridCol w:w="9916"/>
      </w:tblGrid>
      <w:tr>
        <w:trPr/>
        <w:tc>
          <w:tcPr>
            <w:tcW w:w="104" w:type="dxa"/>
            <w:tcBorders/>
            <w:shd w:fill="auto" w:val="clear"/>
          </w:tcPr>
          <w:p>
            <w:pPr>
              <w:pStyle w:val="TableContents"/>
              <w:spacing w:before="0" w:after="0"/>
              <w:rPr/>
            </w:pPr>
            <w:r>
              <w:rPr/>
              <w:t xml:space="preserve">  </w:t>
            </w:r>
          </w:p>
        </w:tc>
        <w:tc>
          <w:tcPr>
            <w:tcW w:w="18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w:t>
            </w:r>
          </w:p>
        </w:tc>
        <w:tc>
          <w:tcPr>
            <w:tcW w:w="9916" w:type="dxa"/>
            <w:tcBorders/>
            <w:shd w:fill="auto" w:val="clear"/>
          </w:tcPr>
          <w:p>
            <w:pPr>
              <w:pStyle w:val="TableContents"/>
              <w:spacing w:before="0" w:after="0"/>
              <w:jc w:val="both"/>
              <w:rPr/>
            </w:pPr>
            <w:r>
              <w:rPr/>
              <w:t>“</w:t>
            </w:r>
            <w:r>
              <w:rPr>
                <w:rFonts w:ascii="Times New Roman" w:hAnsi="Times New Roman"/>
                <w:b/>
                <w:sz w:val="20"/>
              </w:rPr>
              <w:t>Change of Control</w:t>
            </w:r>
            <w:r>
              <w:rPr>
                <w:rFonts w:ascii="Times New Roman" w:hAnsi="Times New Roman"/>
                <w:sz w:val="20"/>
              </w:rPr>
              <w:t>” means, except as provided below, a change in ownership or control of the Company effected through any of the following transactions:</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138" w:name="hangingindent17"/>
      <w:bookmarkStart w:id="139" w:name="hangingindent17"/>
      <w:bookmarkEnd w:id="139"/>
    </w:p>
    <w:tbl>
      <w:tblPr>
        <w:tblW w:w="5000" w:type="pct"/>
        <w:jc w:val="center"/>
        <w:tblInd w:w="0" w:type="dxa"/>
        <w:tblCellMar>
          <w:top w:w="0" w:type="dxa"/>
          <w:left w:w="0" w:type="dxa"/>
          <w:bottom w:w="0" w:type="dxa"/>
          <w:right w:w="0" w:type="dxa"/>
        </w:tblCellMar>
      </w:tblPr>
      <w:tblGrid>
        <w:gridCol w:w="67"/>
        <w:gridCol w:w="148"/>
        <w:gridCol w:w="9990"/>
      </w:tblGrid>
      <w:tr>
        <w:trPr/>
        <w:tc>
          <w:tcPr>
            <w:tcW w:w="67" w:type="dxa"/>
            <w:tcBorders/>
            <w:shd w:fill="auto" w:val="clear"/>
          </w:tcPr>
          <w:p>
            <w:pPr>
              <w:pStyle w:val="TableContents"/>
              <w:spacing w:before="0" w:after="0"/>
              <w:rPr/>
            </w:pPr>
            <w:r>
              <w:rPr/>
              <w:t xml:space="preserve">  </w:t>
            </w:r>
          </w:p>
        </w:tc>
        <w:tc>
          <w:tcPr>
            <w:tcW w:w="14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w:t>
            </w:r>
          </w:p>
        </w:tc>
        <w:tc>
          <w:tcPr>
            <w:tcW w:w="99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direct or indirect acquisition by any person or related group of persons (other than an acquisition from or by the Company or by a Company-sponsored employee benefit plan or by a person that directly or indirectly controls, is controlled by, or is under common control with, the Company) of beneficial ownership (within the meaning of Rule 13d-3 of the Exchange Act) of securities possessing more than 50% of the total combined voting power of the Company’s outstanding securities pursuant to a tender or exchange offer made directly to the Company’s shareholders which a majority of the Continuing Directors who are not Affiliates or Associates of the offeror do not recommend such shareholders accept;</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140" w:name="hangingindent18"/>
      <w:bookmarkStart w:id="141" w:name="hangingindent18"/>
      <w:bookmarkEnd w:id="141"/>
    </w:p>
    <w:tbl>
      <w:tblPr>
        <w:tblW w:w="5000" w:type="pct"/>
        <w:jc w:val="center"/>
        <w:tblInd w:w="0" w:type="dxa"/>
        <w:tblCellMar>
          <w:top w:w="0" w:type="dxa"/>
          <w:left w:w="0" w:type="dxa"/>
          <w:bottom w:w="0" w:type="dxa"/>
          <w:right w:w="0" w:type="dxa"/>
        </w:tblCellMar>
      </w:tblPr>
      <w:tblGrid>
        <w:gridCol w:w="82"/>
        <w:gridCol w:w="223"/>
        <w:gridCol w:w="9900"/>
      </w:tblGrid>
      <w:tr>
        <w:trPr/>
        <w:tc>
          <w:tcPr>
            <w:tcW w:w="82" w:type="dxa"/>
            <w:tcBorders/>
            <w:shd w:fill="auto" w:val="clear"/>
          </w:tcPr>
          <w:p>
            <w:pPr>
              <w:pStyle w:val="TableContents"/>
              <w:spacing w:before="0" w:after="0"/>
              <w:rPr/>
            </w:pPr>
            <w:r>
              <w:rPr/>
              <w:t xml:space="preserve">  </w:t>
            </w:r>
          </w:p>
        </w:tc>
        <w:tc>
          <w:tcPr>
            <w:tcW w:w="22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(ii)</w:t>
            </w:r>
          </w:p>
        </w:tc>
        <w:tc>
          <w:tcPr>
            <w:tcW w:w="990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 change in the composition of the Board over a period of 36 months or less such that a majority of the Board members (rounded up to the next whole number) ceases, by reason of one or more contested elections for Board membership, to be comprised of individuals who are Continuing Directors;</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142" w:name="hangingindent19"/>
      <w:bookmarkStart w:id="143" w:name="hangingindent19"/>
      <w:bookmarkEnd w:id="143"/>
    </w:p>
    <w:tbl>
      <w:tblPr>
        <w:tblW w:w="5000" w:type="pct"/>
        <w:jc w:val="center"/>
        <w:tblInd w:w="0" w:type="dxa"/>
        <w:tblCellMar>
          <w:top w:w="0" w:type="dxa"/>
          <w:left w:w="0" w:type="dxa"/>
          <w:bottom w:w="0" w:type="dxa"/>
          <w:right w:w="0" w:type="dxa"/>
        </w:tblCellMar>
      </w:tblPr>
      <w:tblGrid>
        <w:gridCol w:w="109"/>
        <w:gridCol w:w="310"/>
        <w:gridCol w:w="9786"/>
      </w:tblGrid>
      <w:tr>
        <w:trPr/>
        <w:tc>
          <w:tcPr>
            <w:tcW w:w="109" w:type="dxa"/>
            <w:tcBorders/>
            <w:shd w:fill="auto" w:val="clear"/>
          </w:tcPr>
          <w:p>
            <w:pPr>
              <w:pStyle w:val="TableContents"/>
              <w:spacing w:before="0" w:after="0"/>
              <w:rPr/>
            </w:pPr>
            <w:r>
              <w:rPr/>
              <w:t xml:space="preserve">  </w:t>
            </w:r>
          </w:p>
        </w:tc>
        <w:tc>
          <w:tcPr>
            <w:tcW w:w="31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(iii)</w:t>
            </w:r>
          </w:p>
        </w:tc>
        <w:tc>
          <w:tcPr>
            <w:tcW w:w="978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sale or exchange by the Company (in one or a series of transactions) of all or substantially all of its assets to any other person or entity; or</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144" w:name="hangingindent20"/>
      <w:bookmarkStart w:id="145" w:name="hangingindent20"/>
      <w:bookmarkEnd w:id="145"/>
    </w:p>
    <w:tbl>
      <w:tblPr>
        <w:tblW w:w="5000" w:type="pct"/>
        <w:jc w:val="center"/>
        <w:tblInd w:w="0" w:type="dxa"/>
        <w:tblCellMar>
          <w:top w:w="0" w:type="dxa"/>
          <w:left w:w="0" w:type="dxa"/>
          <w:bottom w:w="0" w:type="dxa"/>
          <w:right w:w="0" w:type="dxa"/>
        </w:tblCellMar>
      </w:tblPr>
      <w:tblGrid>
        <w:gridCol w:w="150"/>
        <w:gridCol w:w="383"/>
        <w:gridCol w:w="9672"/>
      </w:tblGrid>
      <w:tr>
        <w:trPr/>
        <w:tc>
          <w:tcPr>
            <w:tcW w:w="150" w:type="dxa"/>
            <w:tcBorders/>
            <w:shd w:fill="auto" w:val="clear"/>
          </w:tcPr>
          <w:p>
            <w:pPr>
              <w:pStyle w:val="TableContents"/>
              <w:spacing w:before="0" w:after="0"/>
              <w:rPr/>
            </w:pPr>
            <w:r>
              <w:rPr/>
              <w:t xml:space="preserve">  </w:t>
            </w:r>
          </w:p>
        </w:tc>
        <w:tc>
          <w:tcPr>
            <w:tcW w:w="38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(iv)</w:t>
            </w:r>
          </w:p>
        </w:tc>
        <w:tc>
          <w:tcPr>
            <w:tcW w:w="967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approval by the shareholders of the Company of a plan to dissolve and liquidate the Company.</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r>
        <w:rPr>
          <w:rFonts w:ascii="Times New Roman" w:hAnsi="Times New Roman"/>
          <w:sz w:val="20"/>
        </w:rPr>
        <w:t>Notwithstanding the foregoing, the following transactions shall not constitute a “</w:t>
      </w:r>
      <w:r>
        <w:rPr>
          <w:rFonts w:ascii="Times New Roman" w:hAnsi="Times New Roman"/>
          <w:b/>
          <w:sz w:val="20"/>
        </w:rPr>
        <w:t>Change of Control</w:t>
      </w:r>
      <w:r>
        <w:rPr>
          <w:rFonts w:ascii="Times New Roman" w:hAnsi="Times New Roman"/>
          <w:sz w:val="20"/>
        </w:rPr>
        <w:t>”:</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146" w:name="hangingindent21"/>
      <w:bookmarkStart w:id="147" w:name="hangingindent21"/>
      <w:bookmarkEnd w:id="147"/>
    </w:p>
    <w:tbl>
      <w:tblPr>
        <w:tblW w:w="5000" w:type="pct"/>
        <w:jc w:val="center"/>
        <w:tblInd w:w="0" w:type="dxa"/>
        <w:tblCellMar>
          <w:top w:w="0" w:type="dxa"/>
          <w:left w:w="0" w:type="dxa"/>
          <w:bottom w:w="0" w:type="dxa"/>
          <w:right w:w="0" w:type="dxa"/>
        </w:tblCellMar>
      </w:tblPr>
      <w:tblGrid>
        <w:gridCol w:w="100"/>
        <w:gridCol w:w="181"/>
        <w:gridCol w:w="9924"/>
      </w:tblGrid>
      <w:tr>
        <w:trPr/>
        <w:tc>
          <w:tcPr>
            <w:tcW w:w="100" w:type="dxa"/>
            <w:tcBorders/>
            <w:shd w:fill="auto" w:val="clear"/>
          </w:tcPr>
          <w:p>
            <w:pPr>
              <w:pStyle w:val="TableContents"/>
              <w:spacing w:before="0" w:after="0"/>
              <w:rPr/>
            </w:pPr>
            <w:r>
              <w:rPr/>
              <w:t xml:space="preserve">  </w:t>
            </w:r>
          </w:p>
        </w:tc>
        <w:tc>
          <w:tcPr>
            <w:tcW w:w="18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w:t>
            </w:r>
          </w:p>
        </w:tc>
        <w:tc>
          <w:tcPr>
            <w:tcW w:w="992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the closing of any public offering of the Company’s securities pursuant to an effective registration statement filed under the United States </w:t>
            </w:r>
            <w:r>
              <w:rPr>
                <w:rFonts w:ascii="Times New Roman" w:hAnsi="Times New Roman"/>
                <w:i/>
                <w:sz w:val="20"/>
              </w:rPr>
              <w:t>Securities Act of 1933</w:t>
            </w:r>
            <w:r>
              <w:rPr>
                <w:rFonts w:ascii="Times New Roman" w:hAnsi="Times New Roman"/>
                <w:sz w:val="20"/>
              </w:rPr>
              <w:t>, as amended;</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148" w:name="hangingindent22"/>
      <w:bookmarkStart w:id="149" w:name="hangingindent22"/>
      <w:bookmarkEnd w:id="149"/>
    </w:p>
    <w:tbl>
      <w:tblPr>
        <w:tblW w:w="5000" w:type="pct"/>
        <w:jc w:val="center"/>
        <w:tblInd w:w="0" w:type="dxa"/>
        <w:tblCellMar>
          <w:top w:w="0" w:type="dxa"/>
          <w:left w:w="0" w:type="dxa"/>
          <w:bottom w:w="0" w:type="dxa"/>
          <w:right w:w="0" w:type="dxa"/>
        </w:tblCellMar>
      </w:tblPr>
      <w:tblGrid>
        <w:gridCol w:w="135"/>
        <w:gridCol w:w="292"/>
        <w:gridCol w:w="9778"/>
      </w:tblGrid>
      <w:tr>
        <w:trPr/>
        <w:tc>
          <w:tcPr>
            <w:tcW w:w="135" w:type="dxa"/>
            <w:tcBorders/>
            <w:shd w:fill="auto" w:val="clear"/>
          </w:tcPr>
          <w:p>
            <w:pPr>
              <w:pStyle w:val="TableContents"/>
              <w:spacing w:before="0" w:after="0"/>
              <w:rPr/>
            </w:pPr>
            <w:r>
              <w:rPr/>
              <w:t xml:space="preserve">  </w:t>
            </w:r>
          </w:p>
        </w:tc>
        <w:tc>
          <w:tcPr>
            <w:tcW w:w="29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(ii)</w:t>
            </w:r>
          </w:p>
        </w:tc>
        <w:tc>
          <w:tcPr>
            <w:tcW w:w="977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closing of a public offering of the Company’s securities through the facilities of any stock exchange; or</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150" w:name="hangingindent23"/>
      <w:bookmarkStart w:id="151" w:name="hangingindent23"/>
      <w:bookmarkEnd w:id="151"/>
    </w:p>
    <w:tbl>
      <w:tblPr>
        <w:tblW w:w="5000" w:type="pct"/>
        <w:jc w:val="center"/>
        <w:tblInd w:w="0" w:type="dxa"/>
        <w:tblCellMar>
          <w:top w:w="0" w:type="dxa"/>
          <w:left w:w="0" w:type="dxa"/>
          <w:bottom w:w="0" w:type="dxa"/>
          <w:right w:w="0" w:type="dxa"/>
        </w:tblCellMar>
      </w:tblPr>
      <w:tblGrid>
        <w:gridCol w:w="68"/>
        <w:gridCol w:w="269"/>
        <w:gridCol w:w="9868"/>
      </w:tblGrid>
      <w:tr>
        <w:trPr/>
        <w:tc>
          <w:tcPr>
            <w:tcW w:w="68" w:type="dxa"/>
            <w:tcBorders/>
            <w:shd w:fill="auto" w:val="clear"/>
          </w:tcPr>
          <w:p>
            <w:pPr>
              <w:pStyle w:val="TableContents"/>
              <w:spacing w:before="0" w:after="0"/>
              <w:rPr/>
            </w:pPr>
            <w:r>
              <w:rPr/>
              <w:t xml:space="preserve">  </w:t>
            </w:r>
          </w:p>
        </w:tc>
        <w:tc>
          <w:tcPr>
            <w:tcW w:w="26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(iii)</w:t>
            </w:r>
          </w:p>
        </w:tc>
        <w:tc>
          <w:tcPr>
            <w:tcW w:w="986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with respect to an Award that is subject to Section 409A of the Code, and payment or settlement of such Award is to be accelerated in connection with an event that would otherwise constitute a Change of Control, no event set forth previously in this definition shall constitute a Change of Control for purposes of this Plan or any Award Agreement unless such event also constitutes a “</w:t>
            </w:r>
            <w:r>
              <w:rPr>
                <w:rFonts w:ascii="Times New Roman" w:hAnsi="Times New Roman"/>
                <w:b/>
                <w:sz w:val="20"/>
              </w:rPr>
              <w:t>change in the ownership</w:t>
            </w:r>
            <w:r>
              <w:rPr>
                <w:rFonts w:ascii="Times New Roman" w:hAnsi="Times New Roman"/>
                <w:sz w:val="20"/>
              </w:rPr>
              <w:t>”, a “</w:t>
            </w:r>
            <w:r>
              <w:rPr>
                <w:rFonts w:ascii="Times New Roman" w:hAnsi="Times New Roman"/>
                <w:b/>
                <w:sz w:val="20"/>
              </w:rPr>
              <w:t>change in the effective control</w:t>
            </w:r>
            <w:r>
              <w:rPr>
                <w:rFonts w:ascii="Times New Roman" w:hAnsi="Times New Roman"/>
                <w:sz w:val="20"/>
              </w:rPr>
              <w:t>” or a “</w:t>
            </w:r>
            <w:r>
              <w:rPr>
                <w:rFonts w:ascii="Times New Roman" w:hAnsi="Times New Roman"/>
                <w:b/>
                <w:sz w:val="20"/>
              </w:rPr>
              <w:t>change in the ownership of a substantial portion of the assets of the corporation</w:t>
            </w:r>
            <w:r>
              <w:rPr>
                <w:rFonts w:ascii="Times New Roman" w:hAnsi="Times New Roman"/>
                <w:sz w:val="20"/>
              </w:rPr>
              <w:t>” as defined under Section 409A of the Code and Treasury guidance formulated thereunder, which guidance currently provides that:</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152" w:name="hangingindent24"/>
      <w:bookmarkStart w:id="153" w:name="hangingindent24"/>
      <w:bookmarkEnd w:id="153"/>
    </w:p>
    <w:tbl>
      <w:tblPr>
        <w:tblW w:w="5000" w:type="pct"/>
        <w:jc w:val="center"/>
        <w:tblInd w:w="0" w:type="dxa"/>
        <w:tblCellMar>
          <w:top w:w="0" w:type="dxa"/>
          <w:left w:w="0" w:type="dxa"/>
          <w:bottom w:w="0" w:type="dxa"/>
          <w:right w:w="0" w:type="dxa"/>
        </w:tblCellMar>
      </w:tblPr>
      <w:tblGrid>
        <w:gridCol w:w="73"/>
        <w:gridCol w:w="229"/>
        <w:gridCol w:w="9903"/>
      </w:tblGrid>
      <w:tr>
        <w:trPr/>
        <w:tc>
          <w:tcPr>
            <w:tcW w:w="73" w:type="dxa"/>
            <w:tcBorders/>
            <w:shd w:fill="auto" w:val="clear"/>
          </w:tcPr>
          <w:p>
            <w:pPr>
              <w:pStyle w:val="TableContents"/>
              <w:spacing w:before="0" w:after="0"/>
              <w:rPr/>
            </w:pPr>
            <w:r>
              <w:rPr/>
              <w:t xml:space="preserve">  </w:t>
            </w:r>
          </w:p>
        </w:tc>
        <w:tc>
          <w:tcPr>
            <w:tcW w:w="22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0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 change in ownership of a corporation shall be deemed to have occurred if any one person or more than one person acting as a group acquires stock of a corporation that constitutes more than 50% of the total Fair Market Value or total voting power of the stock of the corporation. Stock acquired by any person or group of people who already owns more than 50% of such total Fair Market Value or total voting power of stock shall not trigger a change in ownership;</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154" w:name="hangingindent25"/>
      <w:bookmarkStart w:id="155" w:name="hangingindent25"/>
      <w:bookmarkEnd w:id="155"/>
    </w:p>
    <w:tbl>
      <w:tblPr>
        <w:tblW w:w="5000" w:type="pct"/>
        <w:jc w:val="center"/>
        <w:tblInd w:w="0" w:type="dxa"/>
        <w:tblCellMar>
          <w:top w:w="0" w:type="dxa"/>
          <w:left w:w="0" w:type="dxa"/>
          <w:bottom w:w="0" w:type="dxa"/>
          <w:right w:w="0" w:type="dxa"/>
        </w:tblCellMar>
      </w:tblPr>
      <w:tblGrid>
        <w:gridCol w:w="115"/>
        <w:gridCol w:w="271"/>
        <w:gridCol w:w="9819"/>
      </w:tblGrid>
      <w:tr>
        <w:trPr/>
        <w:tc>
          <w:tcPr>
            <w:tcW w:w="115" w:type="dxa"/>
            <w:tcBorders/>
            <w:shd w:fill="auto" w:val="clear"/>
          </w:tcPr>
          <w:p>
            <w:pPr>
              <w:pStyle w:val="TableContents"/>
              <w:spacing w:before="0" w:after="0"/>
              <w:rPr/>
            </w:pPr>
            <w:r>
              <w:rPr/>
              <w:t xml:space="preserve">  </w:t>
            </w:r>
          </w:p>
        </w:tc>
        <w:tc>
          <w:tcPr>
            <w:tcW w:w="27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81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 change in the effective control of a corporation generally shall be deemed to have occurred if within a 12-month period either:</w:t>
            </w:r>
          </w:p>
        </w:tc>
      </w:tr>
    </w:tbl>
    <w:p>
      <w:pPr>
        <w:pStyle w:val="TextBody"/>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jc w:val="left"/>
        <w:rPr/>
      </w:pPr>
      <w:r>
        <w:rPr/>
      </w:r>
      <w:bookmarkStart w:id="156" w:name="PGBRK11"/>
      <w:bookmarkStart w:id="157" w:name="PGBRK11"/>
      <w:bookmarkEnd w:id="1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r>
      <w:bookmarkStart w:id="158" w:name="FTR11"/>
      <w:bookmarkStart w:id="159" w:name="FTR11"/>
      <w:bookmarkEnd w:id="1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160" w:name="GLFTR11"/>
      <w:bookmarkEnd w:id="1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1" w:name="PN11"/>
      <w:bookmarkEnd w:id="161"/>
      <w:r>
        <w:rPr>
          <w:rFonts w:ascii="Times New Roman" w:hAnsi="Times New Roman"/>
          <w:sz w:val="20"/>
        </w:rPr>
        <w:t>B-2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r>
      <w:bookmarkStart w:id="162" w:name="HDR11"/>
      <w:bookmarkStart w:id="163" w:name="HDR11"/>
      <w:bookmarkEnd w:id="1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164" w:name="GLHDR11"/>
      <w:bookmarkEnd w:id="1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165" w:name="hangingindent26"/>
      <w:bookmarkStart w:id="166" w:name="hangingindent26"/>
      <w:bookmarkEnd w:id="166"/>
    </w:p>
    <w:tbl>
      <w:tblPr>
        <w:tblW w:w="5000" w:type="pct"/>
        <w:jc w:val="center"/>
        <w:tblInd w:w="0" w:type="dxa"/>
        <w:tblCellMar>
          <w:top w:w="0" w:type="dxa"/>
          <w:left w:w="0" w:type="dxa"/>
          <w:bottom w:w="0" w:type="dxa"/>
          <w:right w:w="0" w:type="dxa"/>
        </w:tblCellMar>
      </w:tblPr>
      <w:tblGrid>
        <w:gridCol w:w="100"/>
        <w:gridCol w:w="181"/>
        <w:gridCol w:w="9924"/>
      </w:tblGrid>
      <w:tr>
        <w:trPr/>
        <w:tc>
          <w:tcPr>
            <w:tcW w:w="100" w:type="dxa"/>
            <w:tcBorders/>
            <w:shd w:fill="auto" w:val="clear"/>
          </w:tcPr>
          <w:p>
            <w:pPr>
              <w:pStyle w:val="TableContents"/>
              <w:spacing w:before="0" w:after="0"/>
              <w:rPr/>
            </w:pPr>
            <w:r>
              <w:rPr/>
              <w:t xml:space="preserve">  </w:t>
            </w:r>
          </w:p>
        </w:tc>
        <w:tc>
          <w:tcPr>
            <w:tcW w:w="18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w:t>
            </w:r>
          </w:p>
        </w:tc>
        <w:tc>
          <w:tcPr>
            <w:tcW w:w="992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any one person or more than one person acting as a group acquires ownership of stock possessing 35% or more of the total voting power of the stock of the corporation; or</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167" w:name="hangingindent27"/>
      <w:bookmarkStart w:id="168" w:name="hangingindent27"/>
      <w:bookmarkEnd w:id="168"/>
    </w:p>
    <w:tbl>
      <w:tblPr>
        <w:tblW w:w="5000" w:type="pct"/>
        <w:jc w:val="center"/>
        <w:tblInd w:w="0" w:type="dxa"/>
        <w:tblCellMar>
          <w:top w:w="0" w:type="dxa"/>
          <w:left w:w="0" w:type="dxa"/>
          <w:bottom w:w="0" w:type="dxa"/>
          <w:right w:w="0" w:type="dxa"/>
        </w:tblCellMar>
      </w:tblPr>
      <w:tblGrid>
        <w:gridCol w:w="85"/>
        <w:gridCol w:w="226"/>
        <w:gridCol w:w="9894"/>
      </w:tblGrid>
      <w:tr>
        <w:trPr/>
        <w:tc>
          <w:tcPr>
            <w:tcW w:w="85" w:type="dxa"/>
            <w:tcBorders/>
            <w:shd w:fill="auto" w:val="clear"/>
          </w:tcPr>
          <w:p>
            <w:pPr>
              <w:pStyle w:val="TableContents"/>
              <w:spacing w:before="0" w:after="0"/>
              <w:rPr/>
            </w:pPr>
            <w:r>
              <w:rPr/>
              <w:t xml:space="preserve">  </w:t>
            </w:r>
          </w:p>
        </w:tc>
        <w:tc>
          <w:tcPr>
            <w:tcW w:w="22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(II)</w:t>
            </w:r>
          </w:p>
        </w:tc>
        <w:tc>
          <w:tcPr>
            <w:tcW w:w="989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 majority of the members of the corporation’s board of directors is replaced by directors whose appointment or election is not endorsed by a majority of the members of the corporation’s board of directors prior to the date of the appointment or election; and</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169" w:name="hangingindent28"/>
      <w:bookmarkStart w:id="170" w:name="hangingindent28"/>
      <w:bookmarkEnd w:id="170"/>
    </w:p>
    <w:tbl>
      <w:tblPr>
        <w:tblW w:w="5000" w:type="pct"/>
        <w:jc w:val="center"/>
        <w:tblInd w:w="0" w:type="dxa"/>
        <w:tblCellMar>
          <w:top w:w="0" w:type="dxa"/>
          <w:left w:w="0" w:type="dxa"/>
          <w:bottom w:w="0" w:type="dxa"/>
          <w:right w:w="0" w:type="dxa"/>
        </w:tblCellMar>
      </w:tblPr>
      <w:tblGrid>
        <w:gridCol w:w="72"/>
        <w:gridCol w:w="228"/>
        <w:gridCol w:w="9905"/>
      </w:tblGrid>
      <w:tr>
        <w:trPr/>
        <w:tc>
          <w:tcPr>
            <w:tcW w:w="72" w:type="dxa"/>
            <w:tcBorders/>
            <w:shd w:fill="auto" w:val="clear"/>
          </w:tcPr>
          <w:p>
            <w:pPr>
              <w:pStyle w:val="TableContents"/>
              <w:spacing w:before="0" w:after="0"/>
              <w:rPr/>
            </w:pPr>
            <w:r>
              <w:rPr/>
              <w:t xml:space="preserve">  </w:t>
            </w:r>
          </w:p>
        </w:tc>
        <w:tc>
          <w:tcPr>
            <w:tcW w:w="22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90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 change in the ownership of a substantial portion of the corporation’s assets generally is deemed to occur if within a 12-month period any person, or more than one person acting as a group, acquires assets from the corporation that have a total gross fair market value at least equal to 40% of the total gross fair market value of all the corporation’s assets immediately prior to such acquisition.  The gross fair market value of assets is determined without regard to any liabilities;</w:t>
            </w:r>
          </w:p>
        </w:tc>
      </w:tr>
    </w:tbl>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r>
        <w:rPr>
          <w:rFonts w:ascii="Times New Roman" w:hAnsi="Times New Roman"/>
          <w:sz w:val="20"/>
        </w:rPr>
        <w:t>(j)           “</w:t>
      </w:r>
      <w:r>
        <w:rPr>
          <w:rFonts w:ascii="Times New Roman" w:hAnsi="Times New Roman"/>
          <w:b/>
          <w:sz w:val="20"/>
        </w:rPr>
        <w:t>Code</w:t>
      </w:r>
      <w:r>
        <w:rPr>
          <w:rFonts w:ascii="Times New Roman" w:hAnsi="Times New Roman"/>
          <w:sz w:val="20"/>
        </w:rPr>
        <w:t xml:space="preserve">” means the United States </w:t>
      </w:r>
      <w:r>
        <w:rPr>
          <w:rFonts w:ascii="Times New Roman" w:hAnsi="Times New Roman"/>
          <w:i/>
          <w:sz w:val="20"/>
        </w:rPr>
        <w:t>Internal Revenue Code of 1986</w:t>
      </w:r>
      <w:r>
        <w:rPr>
          <w:rFonts w:ascii="Times New Roman" w:hAnsi="Times New Roman"/>
          <w:sz w:val="20"/>
        </w:rPr>
        <w:t>, as amended;</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171" w:name="hangingindent29"/>
      <w:bookmarkStart w:id="172" w:name="hangingindent29"/>
      <w:bookmarkEnd w:id="172"/>
    </w:p>
    <w:tbl>
      <w:tblPr>
        <w:tblW w:w="5000" w:type="pct"/>
        <w:jc w:val="center"/>
        <w:tblInd w:w="0" w:type="dxa"/>
        <w:tblCellMar>
          <w:top w:w="0" w:type="dxa"/>
          <w:left w:w="0" w:type="dxa"/>
          <w:bottom w:w="0" w:type="dxa"/>
          <w:right w:w="0" w:type="dxa"/>
        </w:tblCellMar>
      </w:tblPr>
      <w:tblGrid>
        <w:gridCol w:w="94"/>
        <w:gridCol w:w="220"/>
        <w:gridCol w:w="9891"/>
      </w:tblGrid>
      <w:tr>
        <w:trPr/>
        <w:tc>
          <w:tcPr>
            <w:tcW w:w="94" w:type="dxa"/>
            <w:tcBorders/>
            <w:shd w:fill="auto" w:val="clear"/>
          </w:tcPr>
          <w:p>
            <w:pPr>
              <w:pStyle w:val="TableContents"/>
              <w:spacing w:before="0" w:after="0"/>
              <w:rPr/>
            </w:pPr>
            <w:r>
              <w:rPr/>
              <w:t xml:space="preserve">  </w:t>
            </w:r>
          </w:p>
        </w:tc>
        <w:tc>
          <w:tcPr>
            <w:tcW w:w="22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(k)</w:t>
            </w:r>
          </w:p>
        </w:tc>
        <w:tc>
          <w:tcPr>
            <w:tcW w:w="9891" w:type="dxa"/>
            <w:tcBorders/>
            <w:shd w:fill="auto" w:val="clear"/>
          </w:tcPr>
          <w:p>
            <w:pPr>
              <w:pStyle w:val="TableContents"/>
              <w:spacing w:before="0" w:after="0"/>
              <w:jc w:val="both"/>
              <w:rPr/>
            </w:pPr>
            <w:r>
              <w:rPr/>
              <w:t>“</w:t>
            </w:r>
            <w:r>
              <w:rPr>
                <w:rFonts w:ascii="Times New Roman" w:hAnsi="Times New Roman"/>
                <w:b/>
                <w:sz w:val="20"/>
              </w:rPr>
              <w:t>Committee</w:t>
            </w:r>
            <w:r>
              <w:rPr>
                <w:rFonts w:ascii="Times New Roman" w:hAnsi="Times New Roman"/>
                <w:sz w:val="20"/>
              </w:rPr>
              <w:t>” means the Compensation Committee or any other committee appointed by the Board to administer this Plan in accordance with the provisions of this Plan; provided, however, that:</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173" w:name="hangingindent30"/>
      <w:bookmarkStart w:id="174" w:name="hangingindent30"/>
      <w:bookmarkEnd w:id="174"/>
    </w:p>
    <w:tbl>
      <w:tblPr>
        <w:tblW w:w="5000" w:type="pct"/>
        <w:jc w:val="center"/>
        <w:tblInd w:w="0" w:type="dxa"/>
        <w:tblCellMar>
          <w:top w:w="0" w:type="dxa"/>
          <w:left w:w="0" w:type="dxa"/>
          <w:bottom w:w="0" w:type="dxa"/>
          <w:right w:w="0" w:type="dxa"/>
        </w:tblCellMar>
      </w:tblPr>
      <w:tblGrid>
        <w:gridCol w:w="215"/>
        <w:gridCol w:w="359"/>
        <w:gridCol w:w="9631"/>
      </w:tblGrid>
      <w:tr>
        <w:trPr/>
        <w:tc>
          <w:tcPr>
            <w:tcW w:w="215" w:type="dxa"/>
            <w:tcBorders/>
            <w:shd w:fill="auto" w:val="clear"/>
          </w:tcPr>
          <w:p>
            <w:pPr>
              <w:pStyle w:val="TableContents"/>
              <w:spacing w:before="0" w:after="0"/>
              <w:rPr/>
            </w:pPr>
            <w:r>
              <w:rPr/>
              <w:t xml:space="preserve">  </w:t>
            </w:r>
          </w:p>
        </w:tc>
        <w:tc>
          <w:tcPr>
            <w:tcW w:w="35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w:t>
            </w:r>
          </w:p>
        </w:tc>
        <w:tc>
          <w:tcPr>
            <w:tcW w:w="963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Committee shall consist of two or more members of the Board;</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175" w:name="hangingindent31"/>
      <w:bookmarkStart w:id="176" w:name="hangingindent31"/>
      <w:bookmarkEnd w:id="176"/>
    </w:p>
    <w:tbl>
      <w:tblPr>
        <w:tblW w:w="5000" w:type="pct"/>
        <w:jc w:val="center"/>
        <w:tblInd w:w="0" w:type="dxa"/>
        <w:tblCellMar>
          <w:top w:w="0" w:type="dxa"/>
          <w:left w:w="0" w:type="dxa"/>
          <w:bottom w:w="0" w:type="dxa"/>
          <w:right w:w="0" w:type="dxa"/>
        </w:tblCellMar>
      </w:tblPr>
      <w:tblGrid>
        <w:gridCol w:w="73"/>
        <w:gridCol w:w="214"/>
        <w:gridCol w:w="9918"/>
      </w:tblGrid>
      <w:tr>
        <w:trPr/>
        <w:tc>
          <w:tcPr>
            <w:tcW w:w="73" w:type="dxa"/>
            <w:tcBorders/>
            <w:shd w:fill="auto" w:val="clear"/>
          </w:tcPr>
          <w:p>
            <w:pPr>
              <w:pStyle w:val="TableContents"/>
              <w:spacing w:before="0" w:after="0"/>
              <w:rPr/>
            </w:pPr>
            <w:r>
              <w:rPr/>
              <w:t xml:space="preserve">  </w:t>
            </w:r>
          </w:p>
        </w:tc>
        <w:tc>
          <w:tcPr>
            <w:tcW w:w="21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(ii)</w:t>
            </w:r>
          </w:p>
        </w:tc>
        <w:tc>
          <w:tcPr>
            <w:tcW w:w="991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directors appointed to serve on the Committee shall be “</w:t>
            </w:r>
            <w:r>
              <w:rPr>
                <w:rFonts w:ascii="Times New Roman" w:hAnsi="Times New Roman"/>
                <w:b/>
                <w:sz w:val="20"/>
              </w:rPr>
              <w:t>non-employee directors</w:t>
            </w:r>
            <w:r>
              <w:rPr>
                <w:rFonts w:ascii="Times New Roman" w:hAnsi="Times New Roman"/>
                <w:sz w:val="20"/>
              </w:rPr>
              <w:t>” (within the meaning of Rule 16b-3 promulgated under the Exchange Act) and “</w:t>
            </w:r>
            <w:r>
              <w:rPr>
                <w:rFonts w:ascii="Times New Roman" w:hAnsi="Times New Roman"/>
                <w:b/>
                <w:sz w:val="20"/>
              </w:rPr>
              <w:t>outside directors</w:t>
            </w:r>
            <w:r>
              <w:rPr>
                <w:rFonts w:ascii="Times New Roman" w:hAnsi="Times New Roman"/>
                <w:sz w:val="20"/>
              </w:rPr>
              <w:t>” (within the meaning of Section 162(m) of the Code) to the extent that Rule 16b-3 and, if necessary for relief from the limitation under Section 162(m) of the Code and such relief is sought by the Company, Section 162(m) of the Code, respectively, are applicable;</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177" w:name="hangingindent32"/>
      <w:bookmarkStart w:id="178" w:name="hangingindent32"/>
      <w:bookmarkEnd w:id="178"/>
    </w:p>
    <w:tbl>
      <w:tblPr>
        <w:tblW w:w="5000" w:type="pct"/>
        <w:jc w:val="center"/>
        <w:tblInd w:w="0" w:type="dxa"/>
        <w:tblCellMar>
          <w:top w:w="0" w:type="dxa"/>
          <w:left w:w="0" w:type="dxa"/>
          <w:bottom w:w="0" w:type="dxa"/>
          <w:right w:w="0" w:type="dxa"/>
        </w:tblCellMar>
      </w:tblPr>
      <w:tblGrid>
        <w:gridCol w:w="82"/>
        <w:gridCol w:w="283"/>
        <w:gridCol w:w="9840"/>
      </w:tblGrid>
      <w:tr>
        <w:trPr/>
        <w:tc>
          <w:tcPr>
            <w:tcW w:w="82" w:type="dxa"/>
            <w:tcBorders/>
            <w:shd w:fill="auto" w:val="clear"/>
          </w:tcPr>
          <w:p>
            <w:pPr>
              <w:pStyle w:val="TableContents"/>
              <w:spacing w:before="0" w:after="0"/>
              <w:rPr/>
            </w:pPr>
            <w:r>
              <w:rPr/>
              <w:t xml:space="preserve">  </w:t>
            </w:r>
          </w:p>
        </w:tc>
        <w:tc>
          <w:tcPr>
            <w:tcW w:w="28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(iii)</w:t>
            </w:r>
          </w:p>
        </w:tc>
        <w:tc>
          <w:tcPr>
            <w:tcW w:w="9840" w:type="dxa"/>
            <w:tcBorders/>
            <w:shd w:fill="auto" w:val="clear"/>
          </w:tcPr>
          <w:p>
            <w:pPr>
              <w:pStyle w:val="TableContents"/>
              <w:spacing w:before="0" w:after="0"/>
              <w:rPr/>
            </w:pPr>
            <w:r>
              <w:rPr/>
              <w:t>the mere fact that a Committee member shall fail to qualify under either of the foregoing requirements set forth in Section 2.1(k)(ii) shall not invalidate any Award made by the Committee which Award is otherwise validly made under the Plan; and</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179" w:name="hangingindent33"/>
      <w:bookmarkStart w:id="180" w:name="hangingindent33"/>
      <w:bookmarkEnd w:id="180"/>
    </w:p>
    <w:tbl>
      <w:tblPr>
        <w:tblW w:w="5000" w:type="pct"/>
        <w:jc w:val="center"/>
        <w:tblInd w:w="0" w:type="dxa"/>
        <w:tblCellMar>
          <w:top w:w="0" w:type="dxa"/>
          <w:left w:w="0" w:type="dxa"/>
          <w:bottom w:w="0" w:type="dxa"/>
          <w:right w:w="0" w:type="dxa"/>
        </w:tblCellMar>
      </w:tblPr>
      <w:tblGrid>
        <w:gridCol w:w="129"/>
        <w:gridCol w:w="328"/>
        <w:gridCol w:w="9748"/>
      </w:tblGrid>
      <w:tr>
        <w:trPr/>
        <w:tc>
          <w:tcPr>
            <w:tcW w:w="129" w:type="dxa"/>
            <w:tcBorders/>
            <w:shd w:fill="auto" w:val="clear"/>
          </w:tcPr>
          <w:p>
            <w:pPr>
              <w:pStyle w:val="TableContents"/>
              <w:spacing w:before="0" w:after="0"/>
              <w:rPr/>
            </w:pPr>
            <w:r>
              <w:rPr/>
              <w:t xml:space="preserve">  </w:t>
            </w:r>
          </w:p>
        </w:tc>
        <w:tc>
          <w:tcPr>
            <w:tcW w:w="32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(iv)</w:t>
            </w:r>
          </w:p>
        </w:tc>
        <w:tc>
          <w:tcPr>
            <w:tcW w:w="974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members of the Committee may be appointed from time to time by, and shall serve at the pleasure of, the Board;</w:t>
            </w:r>
          </w:p>
        </w:tc>
      </w:tr>
    </w:tbl>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r>
        <w:rPr>
          <w:rFonts w:ascii="Times New Roman" w:hAnsi="Times New Roman"/>
          <w:sz w:val="20"/>
        </w:rPr>
        <w:t>(l)           “</w:t>
      </w:r>
      <w:r>
        <w:rPr>
          <w:rFonts w:ascii="Times New Roman" w:hAnsi="Times New Roman"/>
          <w:b/>
          <w:sz w:val="20"/>
        </w:rPr>
        <w:t>Common Stock</w:t>
      </w:r>
      <w:r>
        <w:rPr>
          <w:rFonts w:ascii="Times New Roman" w:hAnsi="Times New Roman"/>
          <w:sz w:val="20"/>
        </w:rPr>
        <w:t>” means the common stock of the Company;</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r>
        <w:rPr>
          <w:rFonts w:ascii="Times New Roman" w:hAnsi="Times New Roman"/>
          <w:sz w:val="20"/>
        </w:rPr>
        <w:t>(m)           “</w:t>
      </w:r>
      <w:r>
        <w:rPr>
          <w:rFonts w:ascii="Times New Roman" w:hAnsi="Times New Roman"/>
          <w:b/>
          <w:sz w:val="20"/>
        </w:rPr>
        <w:t>Company</w:t>
      </w:r>
      <w:r>
        <w:rPr>
          <w:rFonts w:ascii="Times New Roman" w:hAnsi="Times New Roman"/>
          <w:sz w:val="20"/>
        </w:rPr>
        <w:t>” means TapImmune Inc., a Nevada corporation;</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181" w:name="hangingindent34"/>
      <w:bookmarkStart w:id="182" w:name="hangingindent34"/>
      <w:bookmarkEnd w:id="182"/>
    </w:p>
    <w:tbl>
      <w:tblPr>
        <w:tblW w:w="5000" w:type="pct"/>
        <w:jc w:val="center"/>
        <w:tblInd w:w="0" w:type="dxa"/>
        <w:tblCellMar>
          <w:top w:w="0" w:type="dxa"/>
          <w:left w:w="0" w:type="dxa"/>
          <w:bottom w:w="0" w:type="dxa"/>
          <w:right w:w="0" w:type="dxa"/>
        </w:tblCellMar>
      </w:tblPr>
      <w:tblGrid>
        <w:gridCol w:w="94"/>
        <w:gridCol w:w="220"/>
        <w:gridCol w:w="9891"/>
      </w:tblGrid>
      <w:tr>
        <w:trPr/>
        <w:tc>
          <w:tcPr>
            <w:tcW w:w="94" w:type="dxa"/>
            <w:tcBorders/>
            <w:shd w:fill="auto" w:val="clear"/>
          </w:tcPr>
          <w:p>
            <w:pPr>
              <w:pStyle w:val="TableContents"/>
              <w:spacing w:before="0" w:after="0"/>
              <w:rPr/>
            </w:pPr>
            <w:r>
              <w:rPr/>
              <w:t xml:space="preserve">  </w:t>
            </w:r>
          </w:p>
        </w:tc>
        <w:tc>
          <w:tcPr>
            <w:tcW w:w="22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(n)</w:t>
            </w:r>
          </w:p>
        </w:tc>
        <w:tc>
          <w:tcPr>
            <w:tcW w:w="9891" w:type="dxa"/>
            <w:tcBorders/>
            <w:shd w:fill="auto" w:val="clear"/>
          </w:tcPr>
          <w:p>
            <w:pPr>
              <w:pStyle w:val="TableContents"/>
              <w:spacing w:before="0" w:after="0"/>
              <w:jc w:val="both"/>
              <w:rPr/>
            </w:pPr>
            <w:r>
              <w:rPr/>
              <w:t>“</w:t>
            </w:r>
            <w:r>
              <w:rPr>
                <w:rFonts w:ascii="Times New Roman" w:hAnsi="Times New Roman"/>
                <w:b/>
                <w:sz w:val="20"/>
              </w:rPr>
              <w:t>Consultant</w:t>
            </w:r>
            <w:r>
              <w:rPr>
                <w:rFonts w:ascii="Times New Roman" w:hAnsi="Times New Roman"/>
                <w:sz w:val="20"/>
              </w:rPr>
              <w:t>” means any person (other than an Employee) who is engaged by the Company or any Related Entity to render consulting or advisory services to the Company or such Related Entity;</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183" w:name="hangingindent35"/>
      <w:bookmarkStart w:id="184" w:name="hangingindent35"/>
      <w:bookmarkEnd w:id="184"/>
    </w:p>
    <w:tbl>
      <w:tblPr>
        <w:tblW w:w="5000" w:type="pct"/>
        <w:jc w:val="center"/>
        <w:tblInd w:w="0" w:type="dxa"/>
        <w:tblCellMar>
          <w:top w:w="0" w:type="dxa"/>
          <w:left w:w="0" w:type="dxa"/>
          <w:bottom w:w="0" w:type="dxa"/>
          <w:right w:w="0" w:type="dxa"/>
        </w:tblCellMar>
      </w:tblPr>
      <w:tblGrid>
        <w:gridCol w:w="74"/>
        <w:gridCol w:w="200"/>
        <w:gridCol w:w="9931"/>
      </w:tblGrid>
      <w:tr>
        <w:trPr/>
        <w:tc>
          <w:tcPr>
            <w:tcW w:w="74" w:type="dxa"/>
            <w:tcBorders/>
            <w:shd w:fill="auto" w:val="clear"/>
          </w:tcPr>
          <w:p>
            <w:pPr>
              <w:pStyle w:val="TableContents"/>
              <w:spacing w:before="0" w:after="0"/>
              <w:rPr/>
            </w:pPr>
            <w:r>
              <w:rPr/>
              <w:t xml:space="preserve">  </w:t>
            </w:r>
          </w:p>
        </w:tc>
        <w:tc>
          <w:tcPr>
            <w:tcW w:w="20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(o)</w:t>
            </w:r>
          </w:p>
        </w:tc>
        <w:tc>
          <w:tcPr>
            <w:tcW w:w="9931" w:type="dxa"/>
            <w:tcBorders/>
            <w:shd w:fill="auto" w:val="clear"/>
          </w:tcPr>
          <w:p>
            <w:pPr>
              <w:pStyle w:val="TableContents"/>
              <w:spacing w:before="0" w:after="0"/>
              <w:jc w:val="both"/>
              <w:rPr/>
            </w:pPr>
            <w:r>
              <w:rPr/>
              <w:t>“</w:t>
            </w:r>
            <w:r>
              <w:rPr>
                <w:rFonts w:ascii="Times New Roman" w:hAnsi="Times New Roman"/>
                <w:b/>
                <w:sz w:val="20"/>
              </w:rPr>
              <w:t>Continuing Directors</w:t>
            </w:r>
            <w:r>
              <w:rPr>
                <w:rFonts w:ascii="Times New Roman" w:hAnsi="Times New Roman"/>
                <w:sz w:val="20"/>
              </w:rPr>
              <w:t>” means members of the Board who either (i) have been Board members continuously for a period of at least 36 months, or (ii) have been Board members for less than 36 months and were appointed or nominated for election as Board members by at least a majority of the Board members described in clause (i) who were still in office at the time such appointment or nomination was approved by the Board;</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185" w:name="hangingindent36"/>
      <w:bookmarkStart w:id="186" w:name="hangingindent36"/>
      <w:bookmarkEnd w:id="186"/>
    </w:p>
    <w:tbl>
      <w:tblPr>
        <w:tblW w:w="5000" w:type="pct"/>
        <w:jc w:val="center"/>
        <w:tblInd w:w="0" w:type="dxa"/>
        <w:tblCellMar>
          <w:top w:w="0" w:type="dxa"/>
          <w:left w:w="0" w:type="dxa"/>
          <w:bottom w:w="0" w:type="dxa"/>
          <w:right w:w="0" w:type="dxa"/>
        </w:tblCellMar>
      </w:tblPr>
      <w:tblGrid>
        <w:gridCol w:w="68"/>
        <w:gridCol w:w="194"/>
        <w:gridCol w:w="9943"/>
      </w:tblGrid>
      <w:tr>
        <w:trPr/>
        <w:tc>
          <w:tcPr>
            <w:tcW w:w="68" w:type="dxa"/>
            <w:tcBorders/>
            <w:shd w:fill="auto" w:val="clear"/>
          </w:tcPr>
          <w:p>
            <w:pPr>
              <w:pStyle w:val="TableContents"/>
              <w:spacing w:before="0" w:after="0"/>
              <w:rPr/>
            </w:pPr>
            <w:r>
              <w:rPr/>
              <w:t xml:space="preserve">  </w:t>
            </w:r>
          </w:p>
        </w:tc>
        <w:tc>
          <w:tcPr>
            <w:tcW w:w="19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(p)</w:t>
            </w:r>
          </w:p>
        </w:tc>
        <w:tc>
          <w:tcPr>
            <w:tcW w:w="9943" w:type="dxa"/>
            <w:tcBorders/>
            <w:shd w:fill="auto" w:val="clear"/>
          </w:tcPr>
          <w:p>
            <w:pPr>
              <w:pStyle w:val="TableContents"/>
              <w:spacing w:before="0" w:after="0"/>
              <w:jc w:val="both"/>
              <w:rPr/>
            </w:pPr>
            <w:r>
              <w:rPr/>
              <w:t>“</w:t>
            </w:r>
            <w:r>
              <w:rPr>
                <w:rFonts w:ascii="Times New Roman" w:hAnsi="Times New Roman"/>
                <w:b/>
                <w:sz w:val="20"/>
              </w:rPr>
              <w:t>Continuous Service</w:t>
            </w:r>
            <w:r>
              <w:rPr>
                <w:rFonts w:ascii="Times New Roman" w:hAnsi="Times New Roman"/>
                <w:sz w:val="20"/>
              </w:rPr>
              <w:t>” means that the provision of services to the Company or a Related Entity in any capacity of Employee, Director or Consultant that is not interrupted or terminated. Continuous Service shall not be considered interrupted in the case of (i) any approved leave of absence, (ii) transfers between locations of the Company or among the Company, any Related Entity, or any successor, in any capacity of Employee, Director or Consultant, or (iii) any change in status as long as the individual remains in the service of the Company or a Related Entity in any capacity of Employee, Director or Consultant (except as otherwise provided in the Award Agreement). An</w:t>
            </w:r>
          </w:p>
        </w:tc>
      </w:tr>
    </w:tbl>
    <w:p>
      <w:pPr>
        <w:pStyle w:val="TextBody"/>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jc w:val="left"/>
        <w:rPr/>
      </w:pPr>
      <w:r>
        <w:rPr/>
      </w:r>
      <w:bookmarkStart w:id="187" w:name="PGBRK12"/>
      <w:bookmarkStart w:id="188" w:name="PGBRK12"/>
      <w:bookmarkEnd w:id="1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r>
      <w:bookmarkStart w:id="189" w:name="FTR12"/>
      <w:bookmarkStart w:id="190" w:name="FTR12"/>
      <w:bookmarkEnd w:id="1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191" w:name="GLFTR12"/>
      <w:bookmarkEnd w:id="19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2" w:name="PN12"/>
      <w:bookmarkEnd w:id="192"/>
      <w:r>
        <w:rPr>
          <w:rFonts w:ascii="Times New Roman" w:hAnsi="Times New Roman"/>
          <w:sz w:val="20"/>
        </w:rPr>
        <w:t>B-3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r>
      <w:bookmarkStart w:id="193" w:name="HDR12"/>
      <w:bookmarkStart w:id="194" w:name="HDR12"/>
      <w:bookmarkEnd w:id="1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195" w:name="GLHDR12"/>
      <w:bookmarkEnd w:id="1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196" w:name="hangingindent37"/>
      <w:bookmarkStart w:id="197" w:name="hangingindent37"/>
      <w:bookmarkEnd w:id="197"/>
    </w:p>
    <w:tbl>
      <w:tblPr>
        <w:tblW w:w="5000" w:type="pct"/>
        <w:jc w:val="center"/>
        <w:tblInd w:w="0" w:type="dxa"/>
        <w:tblCellMar>
          <w:top w:w="0" w:type="dxa"/>
          <w:left w:w="0" w:type="dxa"/>
          <w:bottom w:w="0" w:type="dxa"/>
          <w:right w:w="0" w:type="dxa"/>
        </w:tblCellMar>
      </w:tblPr>
      <w:tblGrid>
        <w:gridCol w:w="81"/>
        <w:gridCol w:w="10124"/>
      </w:tblGrid>
      <w:tr>
        <w:trPr/>
        <w:tc>
          <w:tcPr>
            <w:tcW w:w="81" w:type="dxa"/>
            <w:tcBorders/>
            <w:shd w:fill="auto" w:val="clear"/>
          </w:tcPr>
          <w:p>
            <w:pPr>
              <w:pStyle w:val="TableContents"/>
              <w:spacing w:before="0" w:after="0"/>
              <w:rPr/>
            </w:pPr>
            <w:r>
              <w:rPr/>
              <w:t xml:space="preserve">  </w:t>
            </w:r>
          </w:p>
        </w:tc>
        <w:tc>
          <w:tcPr>
            <w:tcW w:w="1012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approved leave of absence shall include sick leave, maternity or paternity leave, military leave, or any other authorized personal leave. For purposes of Incentive Stock Options, no such leave may exceed 90 calendar days, unless reemployment upon expiration of such leave is guaranteed by statute or contract;</w:t>
            </w:r>
          </w:p>
        </w:tc>
      </w:tr>
    </w:tbl>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r>
        <w:rPr>
          <w:rFonts w:ascii="Times New Roman" w:hAnsi="Times New Roman"/>
          <w:sz w:val="20"/>
        </w:rPr>
        <w:t>(q)           “</w:t>
      </w:r>
      <w:r>
        <w:rPr>
          <w:rFonts w:ascii="Times New Roman" w:hAnsi="Times New Roman"/>
          <w:b/>
          <w:sz w:val="20"/>
        </w:rPr>
        <w:t>Corporate Transaction</w:t>
      </w:r>
      <w:r>
        <w:rPr>
          <w:rFonts w:ascii="Times New Roman" w:hAnsi="Times New Roman"/>
          <w:sz w:val="20"/>
        </w:rPr>
        <w:t>” means any of the following transactions:</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198" w:name="hangingindent38"/>
      <w:bookmarkStart w:id="199" w:name="hangingindent38"/>
      <w:bookmarkEnd w:id="199"/>
    </w:p>
    <w:tbl>
      <w:tblPr>
        <w:tblW w:w="5000" w:type="pct"/>
        <w:jc w:val="center"/>
        <w:tblInd w:w="0" w:type="dxa"/>
        <w:tblCellMar>
          <w:top w:w="0" w:type="dxa"/>
          <w:left w:w="0" w:type="dxa"/>
          <w:bottom w:w="0" w:type="dxa"/>
          <w:right w:w="0" w:type="dxa"/>
        </w:tblCellMar>
      </w:tblPr>
      <w:tblGrid>
        <w:gridCol w:w="94"/>
        <w:gridCol w:w="175"/>
        <w:gridCol w:w="9936"/>
      </w:tblGrid>
      <w:tr>
        <w:trPr/>
        <w:tc>
          <w:tcPr>
            <w:tcW w:w="94" w:type="dxa"/>
            <w:tcBorders/>
            <w:shd w:fill="auto" w:val="clear"/>
          </w:tcPr>
          <w:p>
            <w:pPr>
              <w:pStyle w:val="TableContents"/>
              <w:spacing w:before="0" w:after="0"/>
              <w:rPr/>
            </w:pPr>
            <w:r>
              <w:rPr/>
              <w:t xml:space="preserve">  </w:t>
            </w:r>
          </w:p>
        </w:tc>
        <w:tc>
          <w:tcPr>
            <w:tcW w:w="17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w:t>
            </w:r>
          </w:p>
        </w:tc>
        <w:tc>
          <w:tcPr>
            <w:tcW w:w="993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 merger or consolidation in which the Company is not the surviving entity, except for a transaction the principal purpose of which is to change the jurisdiction in which the Company is organized;</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00" w:name="hangingindent39"/>
      <w:bookmarkStart w:id="201" w:name="hangingindent39"/>
      <w:bookmarkEnd w:id="201"/>
    </w:p>
    <w:tbl>
      <w:tblPr>
        <w:tblW w:w="5000" w:type="pct"/>
        <w:jc w:val="center"/>
        <w:tblInd w:w="0" w:type="dxa"/>
        <w:tblCellMar>
          <w:top w:w="0" w:type="dxa"/>
          <w:left w:w="0" w:type="dxa"/>
          <w:bottom w:w="0" w:type="dxa"/>
          <w:right w:w="0" w:type="dxa"/>
        </w:tblCellMar>
      </w:tblPr>
      <w:tblGrid>
        <w:gridCol w:w="87"/>
        <w:gridCol w:w="228"/>
        <w:gridCol w:w="9890"/>
      </w:tblGrid>
      <w:tr>
        <w:trPr/>
        <w:tc>
          <w:tcPr>
            <w:tcW w:w="87" w:type="dxa"/>
            <w:tcBorders/>
            <w:shd w:fill="auto" w:val="clear"/>
          </w:tcPr>
          <w:p>
            <w:pPr>
              <w:pStyle w:val="TableContents"/>
              <w:spacing w:before="0" w:after="0"/>
              <w:rPr/>
            </w:pPr>
            <w:r>
              <w:rPr/>
              <w:t xml:space="preserve">  </w:t>
            </w:r>
          </w:p>
        </w:tc>
        <w:tc>
          <w:tcPr>
            <w:tcW w:w="22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(ii)</w:t>
            </w:r>
          </w:p>
        </w:tc>
        <w:tc>
          <w:tcPr>
            <w:tcW w:w="98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sale, transfer or other disposition of all or substantially all of the assets of the Company (including the capital stock of the Company’s subsidiary corporations) in connection with the complete liquidation or dissolution of the Company; or</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02" w:name="hangingindent40"/>
      <w:bookmarkStart w:id="203" w:name="hangingindent40"/>
      <w:bookmarkEnd w:id="203"/>
    </w:p>
    <w:tbl>
      <w:tblPr>
        <w:tblW w:w="5000" w:type="pct"/>
        <w:jc w:val="center"/>
        <w:tblInd w:w="0" w:type="dxa"/>
        <w:tblCellMar>
          <w:top w:w="0" w:type="dxa"/>
          <w:left w:w="0" w:type="dxa"/>
          <w:bottom w:w="0" w:type="dxa"/>
          <w:right w:w="0" w:type="dxa"/>
        </w:tblCellMar>
      </w:tblPr>
      <w:tblGrid>
        <w:gridCol w:w="81"/>
        <w:gridCol w:w="282"/>
        <w:gridCol w:w="9842"/>
      </w:tblGrid>
      <w:tr>
        <w:trPr/>
        <w:tc>
          <w:tcPr>
            <w:tcW w:w="81" w:type="dxa"/>
            <w:tcBorders/>
            <w:shd w:fill="auto" w:val="clear"/>
          </w:tcPr>
          <w:p>
            <w:pPr>
              <w:pStyle w:val="TableContents"/>
              <w:spacing w:before="0" w:after="0"/>
              <w:rPr/>
            </w:pPr>
            <w:r>
              <w:rPr/>
              <w:t xml:space="preserve">  </w:t>
            </w:r>
          </w:p>
        </w:tc>
        <w:tc>
          <w:tcPr>
            <w:tcW w:w="28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(iii)</w:t>
            </w:r>
          </w:p>
        </w:tc>
        <w:tc>
          <w:tcPr>
            <w:tcW w:w="984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any reverse merger in which the Company is the surviving entity but in which securities possessing more than 50% of the total combined voting power of the Company’s outstanding securities are transferred to a person or persons different from those who held such securities immediately prior to such merger;</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04" w:name="hangingindent41"/>
      <w:bookmarkStart w:id="205" w:name="hangingindent41"/>
      <w:bookmarkEnd w:id="205"/>
    </w:p>
    <w:tbl>
      <w:tblPr>
        <w:tblW w:w="5000" w:type="pct"/>
        <w:jc w:val="center"/>
        <w:tblInd w:w="0" w:type="dxa"/>
        <w:tblCellMar>
          <w:top w:w="0" w:type="dxa"/>
          <w:left w:w="0" w:type="dxa"/>
          <w:bottom w:w="0" w:type="dxa"/>
          <w:right w:w="0" w:type="dxa"/>
        </w:tblCellMar>
      </w:tblPr>
      <w:tblGrid>
        <w:gridCol w:w="130"/>
        <w:gridCol w:w="218"/>
        <w:gridCol w:w="9857"/>
      </w:tblGrid>
      <w:tr>
        <w:trPr/>
        <w:tc>
          <w:tcPr>
            <w:tcW w:w="130" w:type="dxa"/>
            <w:tcBorders/>
            <w:shd w:fill="auto" w:val="clear"/>
          </w:tcPr>
          <w:p>
            <w:pPr>
              <w:pStyle w:val="TableContents"/>
              <w:spacing w:before="0" w:after="0"/>
              <w:rPr/>
            </w:pPr>
            <w:r>
              <w:rPr/>
              <w:t xml:space="preserve">  </w:t>
            </w:r>
          </w:p>
        </w:tc>
        <w:tc>
          <w:tcPr>
            <w:tcW w:w="21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(r)</w:t>
            </w:r>
          </w:p>
        </w:tc>
        <w:tc>
          <w:tcPr>
            <w:tcW w:w="9857" w:type="dxa"/>
            <w:tcBorders/>
            <w:shd w:fill="auto" w:val="clear"/>
          </w:tcPr>
          <w:p>
            <w:pPr>
              <w:pStyle w:val="TableContents"/>
              <w:spacing w:before="0" w:after="0"/>
              <w:jc w:val="both"/>
              <w:rPr/>
            </w:pPr>
            <w:r>
              <w:rPr/>
              <w:t>“</w:t>
            </w:r>
            <w:r>
              <w:rPr>
                <w:rFonts w:ascii="Times New Roman" w:hAnsi="Times New Roman"/>
                <w:b/>
                <w:sz w:val="20"/>
              </w:rPr>
              <w:t>Covered Employee</w:t>
            </w:r>
            <w:r>
              <w:rPr>
                <w:rFonts w:ascii="Times New Roman" w:hAnsi="Times New Roman"/>
                <w:sz w:val="20"/>
              </w:rPr>
              <w:t>” means an Employee who is a “</w:t>
            </w:r>
            <w:r>
              <w:rPr>
                <w:rFonts w:ascii="Times New Roman" w:hAnsi="Times New Roman"/>
                <w:b/>
                <w:sz w:val="20"/>
              </w:rPr>
              <w:t>covered employee</w:t>
            </w:r>
            <w:r>
              <w:rPr>
                <w:rFonts w:ascii="Times New Roman" w:hAnsi="Times New Roman"/>
                <w:sz w:val="20"/>
              </w:rPr>
              <w:t>” under Section 162(m)(3) of the Code;</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06" w:name="hangingindent42"/>
      <w:bookmarkStart w:id="207" w:name="hangingindent42"/>
      <w:bookmarkEnd w:id="207"/>
    </w:p>
    <w:tbl>
      <w:tblPr>
        <w:tblW w:w="5000" w:type="pct"/>
        <w:jc w:val="center"/>
        <w:tblInd w:w="0" w:type="dxa"/>
        <w:tblCellMar>
          <w:top w:w="0" w:type="dxa"/>
          <w:left w:w="0" w:type="dxa"/>
          <w:bottom w:w="0" w:type="dxa"/>
          <w:right w:w="0" w:type="dxa"/>
        </w:tblCellMar>
      </w:tblPr>
      <w:tblGrid>
        <w:gridCol w:w="95"/>
        <w:gridCol w:w="191"/>
        <w:gridCol w:w="9919"/>
      </w:tblGrid>
      <w:tr>
        <w:trPr/>
        <w:tc>
          <w:tcPr>
            <w:tcW w:w="95" w:type="dxa"/>
            <w:tcBorders/>
            <w:shd w:fill="auto" w:val="clear"/>
          </w:tcPr>
          <w:p>
            <w:pPr>
              <w:pStyle w:val="TableContents"/>
              <w:spacing w:before="0" w:after="0"/>
              <w:rPr/>
            </w:pPr>
            <w:r>
              <w:rPr/>
              <w:t xml:space="preserve">  </w:t>
            </w:r>
          </w:p>
        </w:tc>
        <w:tc>
          <w:tcPr>
            <w:tcW w:w="19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(s)</w:t>
            </w:r>
          </w:p>
        </w:tc>
        <w:tc>
          <w:tcPr>
            <w:tcW w:w="9919" w:type="dxa"/>
            <w:tcBorders/>
            <w:shd w:fill="auto" w:val="clear"/>
          </w:tcPr>
          <w:p>
            <w:pPr>
              <w:pStyle w:val="TableContents"/>
              <w:spacing w:before="0" w:after="0"/>
              <w:jc w:val="both"/>
              <w:rPr/>
            </w:pPr>
            <w:r>
              <w:rPr/>
              <w:t>“</w:t>
            </w:r>
            <w:r>
              <w:rPr>
                <w:rFonts w:ascii="Times New Roman" w:hAnsi="Times New Roman"/>
                <w:b/>
                <w:sz w:val="20"/>
              </w:rPr>
              <w:t>Deferred Stock Units</w:t>
            </w:r>
            <w:r>
              <w:rPr>
                <w:rFonts w:ascii="Times New Roman" w:hAnsi="Times New Roman"/>
                <w:sz w:val="20"/>
              </w:rPr>
              <w:t>” means Awards that are granted to Directors and are subject to the additional provisions set out in Subpart A which is attached hereto and which forms a material part hereof;</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08" w:name="hangingindent43"/>
      <w:bookmarkStart w:id="209" w:name="hangingindent43"/>
      <w:bookmarkEnd w:id="209"/>
    </w:p>
    <w:tbl>
      <w:tblPr>
        <w:tblW w:w="5000" w:type="pct"/>
        <w:jc w:val="center"/>
        <w:tblInd w:w="0" w:type="dxa"/>
        <w:tblCellMar>
          <w:top w:w="0" w:type="dxa"/>
          <w:left w:w="0" w:type="dxa"/>
          <w:bottom w:w="0" w:type="dxa"/>
          <w:right w:w="0" w:type="dxa"/>
        </w:tblCellMar>
      </w:tblPr>
      <w:tblGrid>
        <w:gridCol w:w="163"/>
        <w:gridCol w:w="271"/>
        <w:gridCol w:w="9771"/>
      </w:tblGrid>
      <w:tr>
        <w:trPr/>
        <w:tc>
          <w:tcPr>
            <w:tcW w:w="163" w:type="dxa"/>
            <w:tcBorders/>
            <w:shd w:fill="auto" w:val="clear"/>
          </w:tcPr>
          <w:p>
            <w:pPr>
              <w:pStyle w:val="TableContents"/>
              <w:spacing w:before="0" w:after="0"/>
              <w:rPr/>
            </w:pPr>
            <w:r>
              <w:rPr/>
              <w:t xml:space="preserve">  </w:t>
            </w:r>
          </w:p>
        </w:tc>
        <w:tc>
          <w:tcPr>
            <w:tcW w:w="27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(t)</w:t>
            </w:r>
          </w:p>
        </w:tc>
        <w:tc>
          <w:tcPr>
            <w:tcW w:w="9771" w:type="dxa"/>
            <w:tcBorders/>
            <w:shd w:fill="auto" w:val="clear"/>
          </w:tcPr>
          <w:p>
            <w:pPr>
              <w:pStyle w:val="TableContents"/>
              <w:spacing w:before="0" w:after="0"/>
              <w:jc w:val="both"/>
              <w:rPr/>
            </w:pPr>
            <w:r>
              <w:rPr/>
              <w:t>“</w:t>
            </w:r>
            <w:r>
              <w:rPr>
                <w:rFonts w:ascii="Times New Roman" w:hAnsi="Times New Roman"/>
                <w:b/>
                <w:sz w:val="20"/>
              </w:rPr>
              <w:t>Director</w:t>
            </w:r>
            <w:r>
              <w:rPr>
                <w:rFonts w:ascii="Times New Roman" w:hAnsi="Times New Roman"/>
                <w:sz w:val="20"/>
              </w:rPr>
              <w:t>” means a member of the Board or the board of directors of any Related Entity;</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10" w:name="hangingindent44"/>
      <w:bookmarkStart w:id="211" w:name="hangingindent44"/>
      <w:bookmarkEnd w:id="211"/>
    </w:p>
    <w:tbl>
      <w:tblPr>
        <w:tblW w:w="5000" w:type="pct"/>
        <w:jc w:val="center"/>
        <w:tblInd w:w="0" w:type="dxa"/>
        <w:tblCellMar>
          <w:top w:w="0" w:type="dxa"/>
          <w:left w:w="0" w:type="dxa"/>
          <w:bottom w:w="0" w:type="dxa"/>
          <w:right w:w="0" w:type="dxa"/>
        </w:tblCellMar>
      </w:tblPr>
      <w:tblGrid>
        <w:gridCol w:w="65"/>
        <w:gridCol w:w="191"/>
        <w:gridCol w:w="9949"/>
      </w:tblGrid>
      <w:tr>
        <w:trPr/>
        <w:tc>
          <w:tcPr>
            <w:tcW w:w="65" w:type="dxa"/>
            <w:tcBorders/>
            <w:shd w:fill="auto" w:val="clear"/>
          </w:tcPr>
          <w:p>
            <w:pPr>
              <w:pStyle w:val="TableContents"/>
              <w:spacing w:before="0" w:after="0"/>
              <w:rPr/>
            </w:pPr>
            <w:r>
              <w:rPr/>
              <w:t xml:space="preserve">  </w:t>
            </w:r>
          </w:p>
        </w:tc>
        <w:tc>
          <w:tcPr>
            <w:tcW w:w="19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(u)</w:t>
            </w:r>
          </w:p>
        </w:tc>
        <w:tc>
          <w:tcPr>
            <w:tcW w:w="9949" w:type="dxa"/>
            <w:tcBorders/>
            <w:shd w:fill="auto" w:val="clear"/>
          </w:tcPr>
          <w:p>
            <w:pPr>
              <w:pStyle w:val="TableContents"/>
              <w:spacing w:before="0" w:after="0"/>
              <w:jc w:val="both"/>
              <w:rPr/>
            </w:pPr>
            <w:r>
              <w:rPr/>
              <w:t>“</w:t>
            </w:r>
            <w:r>
              <w:rPr>
                <w:rFonts w:ascii="Times New Roman" w:hAnsi="Times New Roman"/>
                <w:b/>
                <w:sz w:val="20"/>
              </w:rPr>
              <w:t>Disability</w:t>
            </w:r>
            <w:r>
              <w:rPr>
                <w:rFonts w:ascii="Times New Roman" w:hAnsi="Times New Roman"/>
                <w:sz w:val="20"/>
              </w:rPr>
              <w:t>” or “</w:t>
            </w:r>
            <w:r>
              <w:rPr>
                <w:rFonts w:ascii="Times New Roman" w:hAnsi="Times New Roman"/>
                <w:b/>
                <w:sz w:val="20"/>
              </w:rPr>
              <w:t>Disabled</w:t>
            </w:r>
            <w:r>
              <w:rPr>
                <w:rFonts w:ascii="Times New Roman" w:hAnsi="Times New Roman"/>
                <w:sz w:val="20"/>
              </w:rPr>
              <w:t>” means that a Grantee is unable to carry out the responsibilities and functions of the position held by the Grantee by reason of any medically determinable physical or mental impairment.  A Grantee shall not be considered to have incurred a Disability unless he or she furnishes proof of such impairment sufficient to satisfy the Administrator in its discretion.  Notwithstanding the above, (i) with respect to an Incentive Stock Option, Disability or Disabled shall mean permanent and total disability as defined in Section 22(e)(3) of the Code and (ii) to the extent an Option is subject to Section 409A of the Code, and payment or settlement of the Option is to be accelerated solely as a result of the Eligible Participant’s Disability, Disability shall have the meaning ascribed thereto under Section 409A of the Code and the Treasury guidance promulgated thereunder;</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12" w:name="hangingindent45"/>
      <w:bookmarkStart w:id="213" w:name="hangingindent45"/>
      <w:bookmarkEnd w:id="213"/>
    </w:p>
    <w:tbl>
      <w:tblPr>
        <w:tblW w:w="5000" w:type="pct"/>
        <w:jc w:val="center"/>
        <w:tblInd w:w="0" w:type="dxa"/>
        <w:tblCellMar>
          <w:top w:w="0" w:type="dxa"/>
          <w:left w:w="0" w:type="dxa"/>
          <w:bottom w:w="0" w:type="dxa"/>
          <w:right w:w="0" w:type="dxa"/>
        </w:tblCellMar>
      </w:tblPr>
      <w:tblGrid>
        <w:gridCol w:w="88"/>
        <w:gridCol w:w="214"/>
        <w:gridCol w:w="9903"/>
      </w:tblGrid>
      <w:tr>
        <w:trPr/>
        <w:tc>
          <w:tcPr>
            <w:tcW w:w="88" w:type="dxa"/>
            <w:tcBorders/>
            <w:shd w:fill="auto" w:val="clear"/>
          </w:tcPr>
          <w:p>
            <w:pPr>
              <w:pStyle w:val="TableContents"/>
              <w:spacing w:before="0" w:after="0"/>
              <w:rPr/>
            </w:pPr>
            <w:r>
              <w:rPr/>
              <w:t xml:space="preserve">  </w:t>
            </w:r>
          </w:p>
        </w:tc>
        <w:tc>
          <w:tcPr>
            <w:tcW w:w="21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(v)</w:t>
            </w:r>
          </w:p>
        </w:tc>
        <w:tc>
          <w:tcPr>
            <w:tcW w:w="9903" w:type="dxa"/>
            <w:tcBorders/>
            <w:shd w:fill="auto" w:val="clear"/>
          </w:tcPr>
          <w:p>
            <w:pPr>
              <w:pStyle w:val="TableContents"/>
              <w:spacing w:before="0" w:after="0"/>
              <w:jc w:val="both"/>
              <w:rPr/>
            </w:pPr>
            <w:r>
              <w:rPr/>
              <w:t>“</w:t>
            </w:r>
            <w:r>
              <w:rPr>
                <w:rFonts w:ascii="Times New Roman" w:hAnsi="Times New Roman"/>
                <w:b/>
                <w:sz w:val="20"/>
              </w:rPr>
              <w:t>Disinterested Shareholder Approval</w:t>
            </w:r>
            <w:r>
              <w:rPr>
                <w:rFonts w:ascii="Times New Roman" w:hAnsi="Times New Roman"/>
                <w:sz w:val="20"/>
              </w:rPr>
              <w:t>” means approval by a majority of the votes cast by all the Company’s shareholders at a duly constituted shareholders’ meeting, excluding votes attached to shares beneficially owned by Insiders;</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14" w:name="hangingindent46"/>
      <w:bookmarkStart w:id="215" w:name="hangingindent46"/>
      <w:bookmarkEnd w:id="215"/>
    </w:p>
    <w:tbl>
      <w:tblPr>
        <w:tblW w:w="5000" w:type="pct"/>
        <w:jc w:val="center"/>
        <w:tblInd w:w="0" w:type="dxa"/>
        <w:tblCellMar>
          <w:top w:w="0" w:type="dxa"/>
          <w:left w:w="0" w:type="dxa"/>
          <w:bottom w:w="0" w:type="dxa"/>
          <w:right w:w="0" w:type="dxa"/>
        </w:tblCellMar>
      </w:tblPr>
      <w:tblGrid>
        <w:gridCol w:w="93"/>
        <w:gridCol w:w="249"/>
        <w:gridCol w:w="9863"/>
      </w:tblGrid>
      <w:tr>
        <w:trPr/>
        <w:tc>
          <w:tcPr>
            <w:tcW w:w="93" w:type="dxa"/>
            <w:tcBorders/>
            <w:shd w:fill="auto" w:val="clear"/>
          </w:tcPr>
          <w:p>
            <w:pPr>
              <w:pStyle w:val="TableContents"/>
              <w:spacing w:before="0" w:after="0"/>
              <w:rPr/>
            </w:pPr>
            <w:r>
              <w:rPr/>
              <w:t xml:space="preserve">  </w:t>
            </w:r>
          </w:p>
        </w:tc>
        <w:tc>
          <w:tcPr>
            <w:tcW w:w="24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w:t>
            </w:r>
          </w:p>
        </w:tc>
        <w:tc>
          <w:tcPr>
            <w:tcW w:w="9863" w:type="dxa"/>
            <w:tcBorders/>
            <w:shd w:fill="auto" w:val="clear"/>
          </w:tcPr>
          <w:p>
            <w:pPr>
              <w:pStyle w:val="TableContents"/>
              <w:spacing w:before="0" w:after="0"/>
              <w:jc w:val="both"/>
              <w:rPr/>
            </w:pPr>
            <w:r>
              <w:rPr/>
              <w:t>“</w:t>
            </w:r>
            <w:r>
              <w:rPr>
                <w:rFonts w:ascii="Times New Roman" w:hAnsi="Times New Roman"/>
                <w:b/>
                <w:sz w:val="20"/>
              </w:rPr>
              <w:t>Eligible Participant</w:t>
            </w:r>
            <w:r>
              <w:rPr>
                <w:rFonts w:ascii="Times New Roman" w:hAnsi="Times New Roman"/>
                <w:sz w:val="20"/>
              </w:rPr>
              <w:t>” means any person who is an Officer, a Director, an Employee or a Consultant, including individuals who are foreign nationals or are employed or reside outside the United States;</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16" w:name="hangingindent47"/>
      <w:bookmarkStart w:id="217" w:name="hangingindent47"/>
      <w:bookmarkEnd w:id="217"/>
    </w:p>
    <w:tbl>
      <w:tblPr>
        <w:tblW w:w="5000" w:type="pct"/>
        <w:jc w:val="center"/>
        <w:tblInd w:w="0" w:type="dxa"/>
        <w:tblCellMar>
          <w:top w:w="0" w:type="dxa"/>
          <w:left w:w="0" w:type="dxa"/>
          <w:bottom w:w="0" w:type="dxa"/>
          <w:right w:w="0" w:type="dxa"/>
        </w:tblCellMar>
      </w:tblPr>
      <w:tblGrid>
        <w:gridCol w:w="130"/>
        <w:gridCol w:w="266"/>
        <w:gridCol w:w="9809"/>
      </w:tblGrid>
      <w:tr>
        <w:trPr/>
        <w:tc>
          <w:tcPr>
            <w:tcW w:w="130" w:type="dxa"/>
            <w:tcBorders/>
            <w:shd w:fill="auto" w:val="clear"/>
          </w:tcPr>
          <w:p>
            <w:pPr>
              <w:pStyle w:val="TableContents"/>
              <w:spacing w:before="0" w:after="0"/>
              <w:rPr/>
            </w:pPr>
            <w:r>
              <w:rPr/>
              <w:t xml:space="preserve">  </w:t>
            </w:r>
          </w:p>
        </w:tc>
        <w:tc>
          <w:tcPr>
            <w:tcW w:w="26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(x)</w:t>
            </w:r>
          </w:p>
        </w:tc>
        <w:tc>
          <w:tcPr>
            <w:tcW w:w="9809" w:type="dxa"/>
            <w:tcBorders/>
            <w:shd w:fill="auto" w:val="clear"/>
          </w:tcPr>
          <w:p>
            <w:pPr>
              <w:pStyle w:val="TableContents"/>
              <w:spacing w:before="0" w:after="0"/>
              <w:jc w:val="both"/>
              <w:rPr/>
            </w:pPr>
            <w:r>
              <w:rPr/>
              <w:t>“</w:t>
            </w:r>
            <w:r>
              <w:rPr>
                <w:rFonts w:ascii="Times New Roman" w:hAnsi="Times New Roman"/>
                <w:b/>
                <w:sz w:val="20"/>
              </w:rPr>
              <w:t>Employee</w:t>
            </w:r>
            <w:r>
              <w:rPr>
                <w:rFonts w:ascii="Times New Roman" w:hAnsi="Times New Roman"/>
                <w:sz w:val="20"/>
              </w:rPr>
              <w:t>” means any person who is a full-time or part-time employee of the Company or any Related Entity;</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18" w:name="hangingindent48"/>
      <w:bookmarkStart w:id="219" w:name="hangingindent48"/>
      <w:bookmarkEnd w:id="219"/>
    </w:p>
    <w:tbl>
      <w:tblPr>
        <w:tblW w:w="5000" w:type="pct"/>
        <w:jc w:val="center"/>
        <w:tblInd w:w="0" w:type="dxa"/>
        <w:tblCellMar>
          <w:top w:w="0" w:type="dxa"/>
          <w:left w:w="0" w:type="dxa"/>
          <w:bottom w:w="0" w:type="dxa"/>
          <w:right w:w="0" w:type="dxa"/>
        </w:tblCellMar>
      </w:tblPr>
      <w:tblGrid>
        <w:gridCol w:w="162"/>
        <w:gridCol w:w="332"/>
        <w:gridCol w:w="9711"/>
      </w:tblGrid>
      <w:tr>
        <w:trPr/>
        <w:tc>
          <w:tcPr>
            <w:tcW w:w="162" w:type="dxa"/>
            <w:tcBorders/>
            <w:shd w:fill="auto" w:val="clear"/>
          </w:tcPr>
          <w:p>
            <w:pPr>
              <w:pStyle w:val="TableContents"/>
              <w:spacing w:before="0" w:after="0"/>
              <w:rPr/>
            </w:pPr>
            <w:r>
              <w:rPr/>
              <w:t xml:space="preserve">  </w:t>
            </w:r>
          </w:p>
        </w:tc>
        <w:tc>
          <w:tcPr>
            <w:tcW w:w="33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(y)</w:t>
            </w:r>
          </w:p>
        </w:tc>
        <w:tc>
          <w:tcPr>
            <w:tcW w:w="9711" w:type="dxa"/>
            <w:tcBorders/>
            <w:shd w:fill="auto" w:val="clear"/>
          </w:tcPr>
          <w:p>
            <w:pPr>
              <w:pStyle w:val="TableContents"/>
              <w:spacing w:before="0" w:after="0"/>
              <w:jc w:val="both"/>
              <w:rPr/>
            </w:pPr>
            <w:r>
              <w:rPr/>
              <w:t>“</w:t>
            </w:r>
            <w:r>
              <w:rPr>
                <w:rFonts w:ascii="Times New Roman" w:hAnsi="Times New Roman"/>
                <w:b/>
                <w:sz w:val="20"/>
              </w:rPr>
              <w:t>Exchange Act</w:t>
            </w:r>
            <w:r>
              <w:rPr>
                <w:rFonts w:ascii="Times New Roman" w:hAnsi="Times New Roman"/>
                <w:sz w:val="20"/>
              </w:rPr>
              <w:t xml:space="preserve">” means the United States </w:t>
            </w:r>
            <w:r>
              <w:rPr>
                <w:rFonts w:ascii="Times New Roman" w:hAnsi="Times New Roman"/>
                <w:i/>
                <w:sz w:val="20"/>
              </w:rPr>
              <w:t>Securities Exchange Act of 1934</w:t>
            </w:r>
            <w:r>
              <w:rPr>
                <w:rFonts w:ascii="Times New Roman" w:hAnsi="Times New Roman"/>
                <w:sz w:val="20"/>
              </w:rPr>
              <w:t>, as amended;</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20" w:name="hangingindent49"/>
      <w:bookmarkStart w:id="221" w:name="hangingindent49"/>
      <w:bookmarkEnd w:id="221"/>
    </w:p>
    <w:tbl>
      <w:tblPr>
        <w:tblW w:w="5000" w:type="pct"/>
        <w:jc w:val="center"/>
        <w:tblInd w:w="0" w:type="dxa"/>
        <w:tblCellMar>
          <w:top w:w="0" w:type="dxa"/>
          <w:left w:w="0" w:type="dxa"/>
          <w:bottom w:w="0" w:type="dxa"/>
          <w:right w:w="0" w:type="dxa"/>
        </w:tblCellMar>
      </w:tblPr>
      <w:tblGrid>
        <w:gridCol w:w="84"/>
        <w:gridCol w:w="195"/>
        <w:gridCol w:w="9926"/>
      </w:tblGrid>
      <w:tr>
        <w:trPr/>
        <w:tc>
          <w:tcPr>
            <w:tcW w:w="84" w:type="dxa"/>
            <w:tcBorders/>
            <w:shd w:fill="auto" w:val="clear"/>
          </w:tcPr>
          <w:p>
            <w:pPr>
              <w:pStyle w:val="TableContents"/>
              <w:spacing w:before="0" w:after="0"/>
              <w:rPr/>
            </w:pPr>
            <w:r>
              <w:rPr/>
              <w:t xml:space="preserve">  </w:t>
            </w:r>
          </w:p>
        </w:tc>
        <w:tc>
          <w:tcPr>
            <w:tcW w:w="19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(z)</w:t>
            </w:r>
          </w:p>
        </w:tc>
        <w:tc>
          <w:tcPr>
            <w:tcW w:w="9926" w:type="dxa"/>
            <w:tcBorders/>
            <w:shd w:fill="auto" w:val="clear"/>
          </w:tcPr>
          <w:p>
            <w:pPr>
              <w:pStyle w:val="TableContents"/>
              <w:spacing w:before="0" w:after="0"/>
              <w:jc w:val="both"/>
              <w:rPr/>
            </w:pPr>
            <w:r>
              <w:rPr/>
              <w:t>“</w:t>
            </w:r>
            <w:r>
              <w:rPr>
                <w:rFonts w:ascii="Times New Roman" w:hAnsi="Times New Roman"/>
                <w:b/>
                <w:sz w:val="20"/>
              </w:rPr>
              <w:t>Fair Market Value</w:t>
            </w:r>
            <w:r>
              <w:rPr>
                <w:rFonts w:ascii="Times New Roman" w:hAnsi="Times New Roman"/>
                <w:sz w:val="20"/>
              </w:rPr>
              <w:t>” means, as of any date, the value of a Share determined in good faith by the Administrator.  By way of illustration, but not limitation, for the purpose of this definition, good faith shall be met if the Administrator employs the following methods:</w:t>
            </w:r>
          </w:p>
        </w:tc>
      </w:tr>
    </w:tbl>
    <w:p>
      <w:pPr>
        <w:pStyle w:val="TextBody"/>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jc w:val="left"/>
        <w:rPr/>
      </w:pPr>
      <w:r>
        <w:rPr/>
      </w:r>
      <w:bookmarkStart w:id="222" w:name="PGBRK13"/>
      <w:bookmarkStart w:id="223" w:name="PGBRK13"/>
      <w:bookmarkEnd w:id="2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r>
      <w:bookmarkStart w:id="224" w:name="FTR13"/>
      <w:bookmarkStart w:id="225" w:name="FTR13"/>
      <w:bookmarkEnd w:id="2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226" w:name="GLFTR13"/>
      <w:bookmarkEnd w:id="2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27" w:name="PN13"/>
      <w:bookmarkEnd w:id="227"/>
      <w:r>
        <w:rPr>
          <w:rFonts w:ascii="Times New Roman" w:hAnsi="Times New Roman"/>
          <w:sz w:val="20"/>
        </w:rPr>
        <w:t>B-4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r>
      <w:bookmarkStart w:id="228" w:name="HDR13"/>
      <w:bookmarkStart w:id="229" w:name="HDR13"/>
      <w:bookmarkEnd w:id="2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230" w:name="GLHDR13"/>
      <w:bookmarkEnd w:id="2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31" w:name="hangingindent50"/>
      <w:bookmarkStart w:id="232" w:name="hangingindent50"/>
      <w:bookmarkEnd w:id="232"/>
    </w:p>
    <w:tbl>
      <w:tblPr>
        <w:tblW w:w="5000" w:type="pct"/>
        <w:jc w:val="center"/>
        <w:tblInd w:w="0" w:type="dxa"/>
        <w:tblCellMar>
          <w:top w:w="0" w:type="dxa"/>
          <w:left w:w="0" w:type="dxa"/>
          <w:bottom w:w="0" w:type="dxa"/>
          <w:right w:w="0" w:type="dxa"/>
        </w:tblCellMar>
      </w:tblPr>
      <w:tblGrid>
        <w:gridCol w:w="64"/>
        <w:gridCol w:w="145"/>
        <w:gridCol w:w="9996"/>
      </w:tblGrid>
      <w:tr>
        <w:trPr/>
        <w:tc>
          <w:tcPr>
            <w:tcW w:w="64" w:type="dxa"/>
            <w:tcBorders/>
            <w:shd w:fill="auto" w:val="clear"/>
          </w:tcPr>
          <w:p>
            <w:pPr>
              <w:pStyle w:val="TableContents"/>
              <w:spacing w:before="0" w:after="0"/>
              <w:rPr/>
            </w:pPr>
            <w:r>
              <w:rPr/>
              <w:t xml:space="preserve">  </w:t>
            </w:r>
          </w:p>
        </w:tc>
        <w:tc>
          <w:tcPr>
            <w:tcW w:w="14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w:t>
            </w:r>
          </w:p>
        </w:tc>
        <w:tc>
          <w:tcPr>
            <w:tcW w:w="9996" w:type="dxa"/>
            <w:tcBorders/>
            <w:shd w:fill="auto" w:val="clear"/>
          </w:tcPr>
          <w:p>
            <w:pPr>
              <w:pStyle w:val="TableContents"/>
              <w:spacing w:before="0" w:after="0"/>
              <w:jc w:val="both"/>
              <w:rPr>
                <w:rFonts w:ascii="Times New Roman" w:hAnsi="Times New Roman"/>
                <w:sz w:val="20"/>
              </w:rPr>
            </w:pPr>
            <w:r>
              <w:rPr>
                <w:rFonts w:ascii="Times New Roman" w:hAnsi="Times New Roman"/>
                <w:sz w:val="20"/>
                <w:u w:val="single"/>
              </w:rPr>
              <w:t>Listed Stock</w:t>
            </w:r>
            <w:r>
              <w:rPr>
                <w:rFonts w:ascii="Times New Roman" w:hAnsi="Times New Roman"/>
                <w:sz w:val="20"/>
              </w:rPr>
              <w:t>. If the Common Stock is traded on any established stock exchange or quoted on a national market system, Fair Market Value shall be (A) the closing sales price for the Common Stock as quoted on that stock exchange or system for the date the value is to be determined (the “</w:t>
            </w:r>
            <w:r>
              <w:rPr>
                <w:rFonts w:ascii="Times New Roman" w:hAnsi="Times New Roman"/>
                <w:b/>
                <w:sz w:val="20"/>
              </w:rPr>
              <w:t>Value Date</w:t>
            </w:r>
            <w:r>
              <w:rPr>
                <w:rFonts w:ascii="Times New Roman" w:hAnsi="Times New Roman"/>
                <w:sz w:val="20"/>
              </w:rPr>
              <w:t>”) as reported in The Wall Street Journal or a similar publication, or (B) if the rules of the applicable stock exchange require, the volume-weighted average trading price for five days prior to the date the Board approves the grant of the Award.  If no sales are reported as having occurred on the Value Date, Fair Market Value shall be that closing sales price for the last preceding trading day on which sales of Common Stock is reported as having occurred.  If no sales are reported as having occurred during the five trading days before the Value Date, Fair Market Value shall be the closing bid for Common Stock on the Value Date.  If the Common Stock is listed on multiple exchanges or systems, Fair Market Value shall be based on sales or bids on the primary exchange or system on which Common Stock is traded or quoted.  If the rules of any applicable stock exchange or system require a different method of calculating Fair Market Value, then such method as is required by those rules;</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33" w:name="hangingindent51"/>
      <w:bookmarkStart w:id="234" w:name="hangingindent51"/>
      <w:bookmarkEnd w:id="234"/>
    </w:p>
    <w:tbl>
      <w:tblPr>
        <w:tblW w:w="5000" w:type="pct"/>
        <w:jc w:val="center"/>
        <w:tblInd w:w="0" w:type="dxa"/>
        <w:tblCellMar>
          <w:top w:w="0" w:type="dxa"/>
          <w:left w:w="0" w:type="dxa"/>
          <w:bottom w:w="0" w:type="dxa"/>
          <w:right w:w="0" w:type="dxa"/>
        </w:tblCellMar>
      </w:tblPr>
      <w:tblGrid>
        <w:gridCol w:w="72"/>
        <w:gridCol w:w="213"/>
        <w:gridCol w:w="9920"/>
      </w:tblGrid>
      <w:tr>
        <w:trPr/>
        <w:tc>
          <w:tcPr>
            <w:tcW w:w="72" w:type="dxa"/>
            <w:tcBorders/>
            <w:shd w:fill="auto" w:val="clear"/>
          </w:tcPr>
          <w:p>
            <w:pPr>
              <w:pStyle w:val="TableContents"/>
              <w:spacing w:before="0" w:after="0"/>
              <w:rPr/>
            </w:pPr>
            <w:r>
              <w:rPr/>
              <w:t xml:space="preserve">  </w:t>
            </w:r>
          </w:p>
        </w:tc>
        <w:tc>
          <w:tcPr>
            <w:tcW w:w="21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(ii)</w:t>
            </w:r>
          </w:p>
        </w:tc>
        <w:tc>
          <w:tcPr>
            <w:tcW w:w="9920" w:type="dxa"/>
            <w:tcBorders/>
            <w:shd w:fill="auto" w:val="clear"/>
          </w:tcPr>
          <w:p>
            <w:pPr>
              <w:pStyle w:val="TableContents"/>
              <w:spacing w:before="0" w:after="0"/>
              <w:jc w:val="both"/>
              <w:rPr>
                <w:rFonts w:ascii="Times New Roman" w:hAnsi="Times New Roman"/>
                <w:sz w:val="20"/>
              </w:rPr>
            </w:pPr>
            <w:r>
              <w:rPr>
                <w:rFonts w:ascii="Times New Roman" w:hAnsi="Times New Roman"/>
                <w:sz w:val="20"/>
                <w:u w:val="single"/>
              </w:rPr>
              <w:t>Stock Quoted by Securities Dealer</w:t>
            </w:r>
            <w:r>
              <w:rPr>
                <w:rFonts w:ascii="Times New Roman" w:hAnsi="Times New Roman"/>
                <w:sz w:val="20"/>
              </w:rPr>
              <w:t>. If Common Stock is regularly quoted by a recognized securities dealer but selling prices are not reported on any established stock exchange or quoted on a national market system, Fair Market Value shall be the mean between the high bid and low asked prices on the Value Date.  If no prices are quoted for the Value Date, Fair Market Value shall be the mean between the high bid and low asked prices on the last preceding trading day on which any bid and asked prices were quoted;</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35" w:name="hangingindent52"/>
      <w:bookmarkStart w:id="236" w:name="hangingindent52"/>
      <w:bookmarkEnd w:id="236"/>
    </w:p>
    <w:tbl>
      <w:tblPr>
        <w:tblW w:w="5000" w:type="pct"/>
        <w:jc w:val="center"/>
        <w:tblInd w:w="0" w:type="dxa"/>
        <w:tblCellMar>
          <w:top w:w="0" w:type="dxa"/>
          <w:left w:w="0" w:type="dxa"/>
          <w:bottom w:w="0" w:type="dxa"/>
          <w:right w:w="0" w:type="dxa"/>
        </w:tblCellMar>
      </w:tblPr>
      <w:tblGrid>
        <w:gridCol w:w="66"/>
        <w:gridCol w:w="267"/>
        <w:gridCol w:w="9872"/>
      </w:tblGrid>
      <w:tr>
        <w:trPr/>
        <w:tc>
          <w:tcPr>
            <w:tcW w:w="66" w:type="dxa"/>
            <w:tcBorders/>
            <w:shd w:fill="auto" w:val="clear"/>
          </w:tcPr>
          <w:p>
            <w:pPr>
              <w:pStyle w:val="TableContents"/>
              <w:spacing w:before="0" w:after="0"/>
              <w:rPr/>
            </w:pPr>
            <w:r>
              <w:rPr/>
              <w:t xml:space="preserve">  </w:t>
            </w:r>
          </w:p>
        </w:tc>
        <w:tc>
          <w:tcPr>
            <w:tcW w:w="26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(iii)</w:t>
            </w:r>
          </w:p>
        </w:tc>
        <w:tc>
          <w:tcPr>
            <w:tcW w:w="9872" w:type="dxa"/>
            <w:tcBorders/>
            <w:shd w:fill="auto" w:val="clear"/>
          </w:tcPr>
          <w:p>
            <w:pPr>
              <w:pStyle w:val="TableContents"/>
              <w:spacing w:before="0" w:after="0"/>
              <w:jc w:val="both"/>
              <w:rPr>
                <w:rFonts w:ascii="Times New Roman" w:hAnsi="Times New Roman"/>
                <w:sz w:val="20"/>
              </w:rPr>
            </w:pPr>
            <w:r>
              <w:rPr>
                <w:rFonts w:ascii="Times New Roman" w:hAnsi="Times New Roman"/>
                <w:sz w:val="20"/>
                <w:u w:val="single"/>
              </w:rPr>
              <w:t>No Established Market</w:t>
            </w:r>
            <w:r>
              <w:rPr>
                <w:rFonts w:ascii="Times New Roman" w:hAnsi="Times New Roman"/>
                <w:sz w:val="20"/>
              </w:rPr>
              <w:t>. If Common Stock is not traded on any established stock exchange or quoted on a national market system and is not quoted by a recognized securities dealer, the Administrator will determine Fair Market Value in good faith.  The Administrator will consider the following factors, and any others it considers significant, in determining Fair Market Value: (A) the price at which other securities of the Company have been issued to purchasers other than Employees, Directors, or Consultants; (B) the Company’s net worth, prospective earning power, dividend-paying capacity, and non-operating assets, if any; and (C) any other relevant factors, including the economic outlook for the Company and the Company’s industry, the Company’s position in that industry, the Company’s goodwill and other intellectual property, and the values of securities of other businesses in the same industry;</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37" w:name="hangingindent53"/>
      <w:bookmarkStart w:id="238" w:name="hangingindent53"/>
      <w:bookmarkEnd w:id="238"/>
    </w:p>
    <w:tbl>
      <w:tblPr>
        <w:tblW w:w="5000" w:type="pct"/>
        <w:jc w:val="center"/>
        <w:tblInd w:w="0" w:type="dxa"/>
        <w:tblCellMar>
          <w:top w:w="0" w:type="dxa"/>
          <w:left w:w="0" w:type="dxa"/>
          <w:bottom w:w="0" w:type="dxa"/>
          <w:right w:w="0" w:type="dxa"/>
        </w:tblCellMar>
      </w:tblPr>
      <w:tblGrid>
        <w:gridCol w:w="107"/>
        <w:gridCol w:w="293"/>
        <w:gridCol w:w="9805"/>
      </w:tblGrid>
      <w:tr>
        <w:trPr/>
        <w:tc>
          <w:tcPr>
            <w:tcW w:w="107" w:type="dxa"/>
            <w:tcBorders/>
            <w:shd w:fill="auto" w:val="clear"/>
          </w:tcPr>
          <w:p>
            <w:pPr>
              <w:pStyle w:val="TableContents"/>
              <w:spacing w:before="0" w:after="0"/>
              <w:rPr/>
            </w:pPr>
            <w:r>
              <w:rPr/>
              <w:t xml:space="preserve">  </w:t>
            </w:r>
          </w:p>
        </w:tc>
        <w:tc>
          <w:tcPr>
            <w:tcW w:w="29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(iv)</w:t>
            </w:r>
          </w:p>
        </w:tc>
        <w:tc>
          <w:tcPr>
            <w:tcW w:w="9805" w:type="dxa"/>
            <w:tcBorders/>
            <w:shd w:fill="auto" w:val="clear"/>
          </w:tcPr>
          <w:p>
            <w:pPr>
              <w:pStyle w:val="TableContents"/>
              <w:spacing w:before="0" w:after="0"/>
              <w:jc w:val="both"/>
              <w:rPr>
                <w:rFonts w:ascii="Times New Roman" w:hAnsi="Times New Roman"/>
                <w:sz w:val="20"/>
              </w:rPr>
            </w:pPr>
            <w:r>
              <w:rPr>
                <w:rFonts w:ascii="Times New Roman" w:hAnsi="Times New Roman"/>
                <w:sz w:val="20"/>
                <w:u w:val="single"/>
              </w:rPr>
              <w:t>Additional Valuation</w:t>
            </w:r>
            <w:r>
              <w:rPr>
                <w:rFonts w:ascii="Times New Roman" w:hAnsi="Times New Roman"/>
                <w:sz w:val="20"/>
              </w:rPr>
              <w:t>.  For publicly traded companies, any valuation method permitted under Section 20.2031-2 of the Estate Tax Regulations; or</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39" w:name="hangingindent54"/>
      <w:bookmarkStart w:id="240" w:name="hangingindent54"/>
      <w:bookmarkEnd w:id="240"/>
    </w:p>
    <w:tbl>
      <w:tblPr>
        <w:tblW w:w="5000" w:type="pct"/>
        <w:jc w:val="center"/>
        <w:tblInd w:w="0" w:type="dxa"/>
        <w:tblCellMar>
          <w:top w:w="0" w:type="dxa"/>
          <w:left w:w="0" w:type="dxa"/>
          <w:bottom w:w="0" w:type="dxa"/>
          <w:right w:w="0" w:type="dxa"/>
        </w:tblCellMar>
      </w:tblPr>
      <w:tblGrid>
        <w:gridCol w:w="77"/>
        <w:gridCol w:w="203"/>
        <w:gridCol w:w="9925"/>
      </w:tblGrid>
      <w:tr>
        <w:trPr/>
        <w:tc>
          <w:tcPr>
            <w:tcW w:w="77" w:type="dxa"/>
            <w:tcBorders/>
            <w:shd w:fill="auto" w:val="clear"/>
          </w:tcPr>
          <w:p>
            <w:pPr>
              <w:pStyle w:val="TableContents"/>
              <w:spacing w:before="0" w:after="0"/>
              <w:rPr/>
            </w:pPr>
            <w:r>
              <w:rPr/>
              <w:t xml:space="preserve">  </w:t>
            </w:r>
          </w:p>
        </w:tc>
        <w:tc>
          <w:tcPr>
            <w:tcW w:w="20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(v)</w:t>
            </w:r>
          </w:p>
        </w:tc>
        <w:tc>
          <w:tcPr>
            <w:tcW w:w="9925" w:type="dxa"/>
            <w:tcBorders/>
            <w:shd w:fill="auto" w:val="clear"/>
          </w:tcPr>
          <w:p>
            <w:pPr>
              <w:pStyle w:val="TableContents"/>
              <w:spacing w:before="0" w:after="0"/>
              <w:jc w:val="both"/>
              <w:rPr>
                <w:rFonts w:ascii="Times New Roman" w:hAnsi="Times New Roman"/>
                <w:sz w:val="20"/>
              </w:rPr>
            </w:pPr>
            <w:r>
              <w:rPr>
                <w:rFonts w:ascii="Times New Roman" w:hAnsi="Times New Roman"/>
                <w:sz w:val="20"/>
                <w:u w:val="single"/>
              </w:rPr>
              <w:t>Non-Publicly Traded Stock</w:t>
            </w:r>
            <w:r>
              <w:rPr>
                <w:rFonts w:ascii="Times New Roman" w:hAnsi="Times New Roman"/>
                <w:sz w:val="20"/>
              </w:rPr>
              <w:t>.  For non-publicly traded stock, the Fair Market Value of the Common Stock at the Grant Date based on an average of the Fair Market Values as of such date set forth in the opinions of completely independent and well-qualified experts (the Participant’s status as a majority or minority shareholder may be taken into consideration).</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r>
        <w:rPr>
          <w:rFonts w:ascii="Times New Roman" w:hAnsi="Times New Roman"/>
          <w:sz w:val="20"/>
        </w:rPr>
        <w:t>Regardless of whether the Common Stock offered under the Award is publicly traded, a good faith attempt under this definition shall not be met unless the Fair Market Value of the Common Stock on the Grant Date is determined with regard to nonlapse restrictions (as defined in Section 1.83-3(h) of the Treasury Regulations) and without regard to lapse restrictions (as defined in Section 1.83-3(i) of the Treasury Regulations);</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41" w:name="hangingindent55"/>
      <w:bookmarkStart w:id="242" w:name="hangingindent55"/>
      <w:bookmarkEnd w:id="242"/>
    </w:p>
    <w:tbl>
      <w:tblPr>
        <w:tblW w:w="5000" w:type="pct"/>
        <w:jc w:val="center"/>
        <w:tblInd w:w="0" w:type="dxa"/>
        <w:tblCellMar>
          <w:top w:w="0" w:type="dxa"/>
          <w:left w:w="0" w:type="dxa"/>
          <w:bottom w:w="0" w:type="dxa"/>
          <w:right w:w="0" w:type="dxa"/>
        </w:tblCellMar>
      </w:tblPr>
      <w:tblGrid>
        <w:gridCol w:w="144"/>
        <w:gridCol w:w="387"/>
        <w:gridCol w:w="9674"/>
      </w:tblGrid>
      <w:tr>
        <w:trPr/>
        <w:tc>
          <w:tcPr>
            <w:tcW w:w="144" w:type="dxa"/>
            <w:tcBorders/>
            <w:shd w:fill="auto" w:val="clear"/>
          </w:tcPr>
          <w:p>
            <w:pPr>
              <w:pStyle w:val="TableContents"/>
              <w:spacing w:before="0" w:after="0"/>
              <w:rPr/>
            </w:pPr>
            <w:r>
              <w:rPr/>
              <w:t xml:space="preserve">  </w:t>
            </w:r>
          </w:p>
        </w:tc>
        <w:tc>
          <w:tcPr>
            <w:tcW w:w="38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(aa)</w:t>
            </w:r>
          </w:p>
        </w:tc>
        <w:tc>
          <w:tcPr>
            <w:tcW w:w="9674" w:type="dxa"/>
            <w:tcBorders/>
            <w:shd w:fill="auto" w:val="clear"/>
          </w:tcPr>
          <w:p>
            <w:pPr>
              <w:pStyle w:val="TableContents"/>
              <w:spacing w:before="0" w:after="0"/>
              <w:jc w:val="both"/>
              <w:rPr/>
            </w:pPr>
            <w:r>
              <w:rPr/>
              <w:t>“</w:t>
            </w:r>
            <w:r>
              <w:rPr>
                <w:rFonts w:ascii="Times New Roman" w:hAnsi="Times New Roman"/>
                <w:b/>
                <w:sz w:val="20"/>
              </w:rPr>
              <w:t>Grantee</w:t>
            </w:r>
            <w:r>
              <w:rPr>
                <w:rFonts w:ascii="Times New Roman" w:hAnsi="Times New Roman"/>
                <w:sz w:val="20"/>
              </w:rPr>
              <w:t>” means an Eligible Participant who receives an Award pursuant to an Award Agreement;</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43" w:name="hangingindent56"/>
      <w:bookmarkStart w:id="244" w:name="hangingindent56"/>
      <w:bookmarkEnd w:id="244"/>
    </w:p>
    <w:tbl>
      <w:tblPr>
        <w:tblW w:w="5000" w:type="pct"/>
        <w:jc w:val="center"/>
        <w:tblInd w:w="0" w:type="dxa"/>
        <w:tblCellMar>
          <w:top w:w="0" w:type="dxa"/>
          <w:left w:w="0" w:type="dxa"/>
          <w:bottom w:w="0" w:type="dxa"/>
          <w:right w:w="0" w:type="dxa"/>
        </w:tblCellMar>
      </w:tblPr>
      <w:tblGrid>
        <w:gridCol w:w="81"/>
        <w:gridCol w:w="312"/>
        <w:gridCol w:w="9812"/>
      </w:tblGrid>
      <w:tr>
        <w:trPr/>
        <w:tc>
          <w:tcPr>
            <w:tcW w:w="81" w:type="dxa"/>
            <w:tcBorders/>
            <w:shd w:fill="auto" w:val="clear"/>
          </w:tcPr>
          <w:p>
            <w:pPr>
              <w:pStyle w:val="TableContents"/>
              <w:spacing w:before="0" w:after="0"/>
              <w:rPr/>
            </w:pPr>
            <w:r>
              <w:rPr/>
              <w:t xml:space="preserve">  </w:t>
            </w:r>
          </w:p>
        </w:tc>
        <w:tc>
          <w:tcPr>
            <w:tcW w:w="31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(bb)</w:t>
            </w:r>
          </w:p>
        </w:tc>
        <w:tc>
          <w:tcPr>
            <w:tcW w:w="9812" w:type="dxa"/>
            <w:tcBorders/>
            <w:shd w:fill="auto" w:val="clear"/>
          </w:tcPr>
          <w:p>
            <w:pPr>
              <w:pStyle w:val="TableContents"/>
              <w:spacing w:before="0" w:after="0"/>
              <w:jc w:val="both"/>
              <w:rPr/>
            </w:pPr>
            <w:r>
              <w:rPr/>
              <w:t>“</w:t>
            </w:r>
            <w:r>
              <w:rPr>
                <w:rFonts w:ascii="Times New Roman" w:hAnsi="Times New Roman"/>
                <w:b/>
                <w:sz w:val="20"/>
              </w:rPr>
              <w:t>Grant Date</w:t>
            </w:r>
            <w:r>
              <w:rPr>
                <w:rFonts w:ascii="Times New Roman" w:hAnsi="Times New Roman"/>
                <w:sz w:val="20"/>
              </w:rPr>
              <w:t>” means the date the Administrator approves that grant of an Award.  However, if the Administrator specifies that an Award’s Grant Date is a future date or the date on which a condition is satisfied, the Grant Date for such Award is that future date or the date that the condition is satisfied;</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45" w:name="hangingindent57"/>
      <w:bookmarkStart w:id="246" w:name="hangingindent57"/>
      <w:bookmarkEnd w:id="246"/>
    </w:p>
    <w:tbl>
      <w:tblPr>
        <w:tblW w:w="5000" w:type="pct"/>
        <w:jc w:val="center"/>
        <w:tblInd w:w="0" w:type="dxa"/>
        <w:tblCellMar>
          <w:top w:w="0" w:type="dxa"/>
          <w:left w:w="0" w:type="dxa"/>
          <w:bottom w:w="0" w:type="dxa"/>
          <w:right w:w="0" w:type="dxa"/>
        </w:tblCellMar>
      </w:tblPr>
      <w:tblGrid>
        <w:gridCol w:w="155"/>
        <w:gridCol w:w="414"/>
        <w:gridCol w:w="9636"/>
      </w:tblGrid>
      <w:tr>
        <w:trPr/>
        <w:tc>
          <w:tcPr>
            <w:tcW w:w="155" w:type="dxa"/>
            <w:tcBorders/>
            <w:shd w:fill="auto" w:val="clear"/>
          </w:tcPr>
          <w:p>
            <w:pPr>
              <w:pStyle w:val="TableContents"/>
              <w:spacing w:before="0" w:after="0"/>
              <w:rPr/>
            </w:pPr>
            <w:r>
              <w:rPr/>
              <w:t xml:space="preserve">  </w:t>
            </w:r>
          </w:p>
        </w:tc>
        <w:tc>
          <w:tcPr>
            <w:tcW w:w="41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(cc)</w:t>
            </w:r>
          </w:p>
        </w:tc>
        <w:tc>
          <w:tcPr>
            <w:tcW w:w="9636" w:type="dxa"/>
            <w:tcBorders/>
            <w:shd w:fill="auto" w:val="clear"/>
          </w:tcPr>
          <w:p>
            <w:pPr>
              <w:pStyle w:val="TableContents"/>
              <w:spacing w:before="0" w:after="0"/>
              <w:jc w:val="both"/>
              <w:rPr/>
            </w:pPr>
            <w:r>
              <w:rPr/>
              <w:t>“</w:t>
            </w:r>
            <w:r>
              <w:rPr>
                <w:rFonts w:ascii="Times New Roman" w:hAnsi="Times New Roman"/>
                <w:b/>
                <w:sz w:val="20"/>
              </w:rPr>
              <w:t>Incentive Stock Option</w:t>
            </w:r>
            <w:r>
              <w:rPr>
                <w:rFonts w:ascii="Times New Roman" w:hAnsi="Times New Roman"/>
                <w:sz w:val="20"/>
              </w:rPr>
              <w:t>” means an Option within the meaning of Section 422 of the Code;</w:t>
            </w:r>
          </w:p>
        </w:tc>
      </w:tr>
    </w:tbl>
    <w:p>
      <w:pPr>
        <w:pStyle w:val="TextBody"/>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jc w:val="left"/>
        <w:rPr/>
      </w:pPr>
      <w:r>
        <w:rPr/>
      </w:r>
      <w:bookmarkStart w:id="247" w:name="PGBRK14"/>
      <w:bookmarkStart w:id="248" w:name="PGBRK14"/>
      <w:bookmarkEnd w:id="2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r>
      <w:bookmarkStart w:id="249" w:name="FTR14"/>
      <w:bookmarkStart w:id="250" w:name="FTR14"/>
      <w:bookmarkEnd w:id="2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251" w:name="GLFTR14"/>
      <w:bookmarkEnd w:id="2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2" w:name="PN14"/>
      <w:bookmarkEnd w:id="252"/>
      <w:r>
        <w:rPr>
          <w:rFonts w:ascii="Times New Roman" w:hAnsi="Times New Roman"/>
          <w:sz w:val="20"/>
        </w:rPr>
        <w:t>B-5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r>
      <w:bookmarkStart w:id="253" w:name="HDR14"/>
      <w:bookmarkStart w:id="254" w:name="HDR14"/>
      <w:bookmarkEnd w:id="2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255" w:name="GLHDR14"/>
      <w:bookmarkEnd w:id="2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56" w:name="hangingindent58"/>
      <w:bookmarkStart w:id="257" w:name="hangingindent58"/>
      <w:bookmarkEnd w:id="257"/>
    </w:p>
    <w:tbl>
      <w:tblPr>
        <w:tblW w:w="5000" w:type="pct"/>
        <w:jc w:val="center"/>
        <w:tblInd w:w="0" w:type="dxa"/>
        <w:tblCellMar>
          <w:top w:w="0" w:type="dxa"/>
          <w:left w:w="0" w:type="dxa"/>
          <w:bottom w:w="0" w:type="dxa"/>
          <w:right w:w="0" w:type="dxa"/>
        </w:tblCellMar>
      </w:tblPr>
      <w:tblGrid>
        <w:gridCol w:w="644"/>
        <w:gridCol w:w="1880"/>
        <w:gridCol w:w="7681"/>
      </w:tblGrid>
      <w:tr>
        <w:trPr/>
        <w:tc>
          <w:tcPr>
            <w:tcW w:w="644" w:type="dxa"/>
            <w:tcBorders/>
            <w:shd w:fill="auto" w:val="clear"/>
          </w:tcPr>
          <w:p>
            <w:pPr>
              <w:pStyle w:val="TableContents"/>
              <w:spacing w:before="0" w:after="0"/>
              <w:rPr/>
            </w:pPr>
            <w:r>
              <w:rPr/>
              <w:t xml:space="preserve">  </w:t>
            </w:r>
          </w:p>
        </w:tc>
        <w:tc>
          <w:tcPr>
            <w:tcW w:w="188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(dd)</w:t>
            </w:r>
          </w:p>
        </w:tc>
        <w:tc>
          <w:tcPr>
            <w:tcW w:w="7681" w:type="dxa"/>
            <w:tcBorders/>
            <w:shd w:fill="auto" w:val="clear"/>
          </w:tcPr>
          <w:p>
            <w:pPr>
              <w:pStyle w:val="TableContents"/>
              <w:spacing w:before="0" w:after="0"/>
              <w:jc w:val="both"/>
              <w:rPr/>
            </w:pPr>
            <w:r>
              <w:rPr/>
              <w:t>“</w:t>
            </w:r>
            <w:r>
              <w:rPr>
                <w:rFonts w:ascii="Times New Roman" w:hAnsi="Times New Roman"/>
                <w:b/>
                <w:sz w:val="20"/>
              </w:rPr>
              <w:t>Insider</w:t>
            </w:r>
            <w:r>
              <w:rPr>
                <w:rFonts w:ascii="Times New Roman" w:hAnsi="Times New Roman"/>
                <w:sz w:val="20"/>
              </w:rPr>
              <w:t>” means:</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r>
        <w:rPr>
          <w:rFonts w:ascii="Times New Roman" w:hAnsi="Times New Roman"/>
          <w:sz w:val="20"/>
        </w:rPr>
        <w:t>(i)           a Director or Senior Officer of the Company;</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58" w:name="hangingindent59"/>
      <w:bookmarkStart w:id="259" w:name="hangingindent59"/>
      <w:bookmarkEnd w:id="259"/>
    </w:p>
    <w:tbl>
      <w:tblPr>
        <w:tblW w:w="5000" w:type="pct"/>
        <w:jc w:val="center"/>
        <w:tblInd w:w="0" w:type="dxa"/>
        <w:tblCellMar>
          <w:top w:w="0" w:type="dxa"/>
          <w:left w:w="0" w:type="dxa"/>
          <w:bottom w:w="0" w:type="dxa"/>
          <w:right w:w="0" w:type="dxa"/>
        </w:tblCellMar>
      </w:tblPr>
      <w:tblGrid>
        <w:gridCol w:w="155"/>
        <w:gridCol w:w="337"/>
        <w:gridCol w:w="9713"/>
      </w:tblGrid>
      <w:tr>
        <w:trPr/>
        <w:tc>
          <w:tcPr>
            <w:tcW w:w="155" w:type="dxa"/>
            <w:tcBorders/>
            <w:shd w:fill="auto" w:val="clear"/>
          </w:tcPr>
          <w:p>
            <w:pPr>
              <w:pStyle w:val="TableContents"/>
              <w:spacing w:before="0" w:after="0"/>
              <w:rPr/>
            </w:pPr>
            <w:r>
              <w:rPr/>
              <w:t xml:space="preserve">  </w:t>
            </w:r>
          </w:p>
        </w:tc>
        <w:tc>
          <w:tcPr>
            <w:tcW w:w="33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(ii)</w:t>
            </w:r>
          </w:p>
        </w:tc>
        <w:tc>
          <w:tcPr>
            <w:tcW w:w="971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 Director or Senior Officer of a person that is itself an Insider or Subsidiary of the Company;</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r>
        <w:rPr>
          <w:rFonts w:ascii="Times New Roman" w:hAnsi="Times New Roman"/>
          <w:sz w:val="20"/>
        </w:rPr>
        <w:t>(iii)          a person that has</w:t>
      </w:r>
    </w:p>
    <w:p>
      <w:pPr>
        <w:pStyle w:val="TextBody"/>
        <w:spacing w:before="0" w:after="0"/>
        <w:ind w:left="0" w:right="0" w:hanging="0"/>
        <w:jc w:val="both"/>
        <w:rPr/>
      </w:pPr>
      <w:r>
        <w:rPr/>
        <w:t> </w:t>
      </w:r>
    </w:p>
    <w:p>
      <w:pPr>
        <w:pStyle w:val="TextBody"/>
        <w:spacing w:before="0" w:after="0"/>
        <w:ind w:left="2160" w:right="0" w:hanging="0"/>
        <w:jc w:val="both"/>
        <w:rPr>
          <w:rFonts w:ascii="Times New Roman" w:hAnsi="Times New Roman"/>
          <w:sz w:val="20"/>
        </w:rPr>
      </w:pPr>
      <w:r>
        <w:rPr>
          <w:rFonts w:ascii="Times New Roman" w:hAnsi="Times New Roman"/>
          <w:sz w:val="20"/>
        </w:rPr>
        <w:t>(A)           direct or indirect beneficial ownership of,</w:t>
      </w:r>
    </w:p>
    <w:p>
      <w:pPr>
        <w:pStyle w:val="TextBody"/>
        <w:spacing w:before="0" w:after="0"/>
        <w:ind w:left="0" w:right="0" w:hanging="0"/>
        <w:jc w:val="both"/>
        <w:rPr/>
      </w:pPr>
      <w:r>
        <w:rPr/>
        <w:t> </w:t>
      </w:r>
    </w:p>
    <w:p>
      <w:pPr>
        <w:pStyle w:val="TextBody"/>
        <w:spacing w:before="0" w:after="0"/>
        <w:ind w:left="2160" w:right="0" w:hanging="0"/>
        <w:jc w:val="both"/>
        <w:rPr>
          <w:rFonts w:ascii="Times New Roman" w:hAnsi="Times New Roman"/>
          <w:sz w:val="20"/>
        </w:rPr>
      </w:pPr>
      <w:r>
        <w:rPr>
          <w:rFonts w:ascii="Times New Roman" w:hAnsi="Times New Roman"/>
          <w:sz w:val="20"/>
        </w:rPr>
        <w:t>(B)           control or direction over, or</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60" w:name="hangingindent60"/>
      <w:bookmarkStart w:id="261" w:name="hangingindent60"/>
      <w:bookmarkEnd w:id="261"/>
    </w:p>
    <w:tbl>
      <w:tblPr>
        <w:tblW w:w="5000" w:type="pct"/>
        <w:jc w:val="center"/>
        <w:tblInd w:w="0" w:type="dxa"/>
        <w:tblCellMar>
          <w:top w:w="0" w:type="dxa"/>
          <w:left w:w="0" w:type="dxa"/>
          <w:bottom w:w="0" w:type="dxa"/>
          <w:right w:w="0" w:type="dxa"/>
        </w:tblCellMar>
      </w:tblPr>
      <w:tblGrid>
        <w:gridCol w:w="161"/>
        <w:gridCol w:w="372"/>
        <w:gridCol w:w="9672"/>
      </w:tblGrid>
      <w:tr>
        <w:trPr/>
        <w:tc>
          <w:tcPr>
            <w:tcW w:w="161" w:type="dxa"/>
            <w:tcBorders/>
            <w:shd w:fill="auto" w:val="clear"/>
          </w:tcPr>
          <w:p>
            <w:pPr>
              <w:pStyle w:val="TableContents"/>
              <w:spacing w:before="0" w:after="0"/>
              <w:rPr/>
            </w:pPr>
            <w:r>
              <w:rPr/>
              <w:t xml:space="preserve">  </w:t>
            </w:r>
          </w:p>
        </w:tc>
        <w:tc>
          <w:tcPr>
            <w:tcW w:w="37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67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 combination of direct or indirect beneficial ownership of and control or direction over,</w:t>
            </w:r>
          </w:p>
        </w:tc>
      </w:tr>
    </w:tbl>
    <w:p>
      <w:pPr>
        <w:pStyle w:val="TextBody"/>
        <w:spacing w:before="0" w:after="0"/>
        <w:ind w:left="0" w:right="0" w:hanging="0"/>
        <w:jc w:val="both"/>
        <w:rPr/>
      </w:pPr>
      <w:r>
        <w:rPr/>
        <w:t> </w:t>
      </w:r>
    </w:p>
    <w:p>
      <w:pPr>
        <w:pStyle w:val="TextBody"/>
        <w:spacing w:before="0" w:after="0"/>
        <w:ind w:left="2160" w:right="0" w:hanging="0"/>
        <w:jc w:val="both"/>
        <w:rPr>
          <w:rFonts w:ascii="Times New Roman" w:hAnsi="Times New Roman"/>
          <w:sz w:val="20"/>
        </w:rPr>
      </w:pPr>
      <w:r>
        <w:rPr>
          <w:rFonts w:ascii="Times New Roman" w:hAnsi="Times New Roman"/>
          <w:sz w:val="20"/>
        </w:rPr>
        <w:t>securities of the Company carrying more than 10% of the voting rights attached to all the Company’s outstanding voting securities, excluding, for the purpose of the calculation of the percentage held, any securities held by the person as underwriter in the course of a distribution; or</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62" w:name="hangingindent61"/>
      <w:bookmarkStart w:id="263" w:name="hangingindent61"/>
      <w:bookmarkEnd w:id="263"/>
    </w:p>
    <w:tbl>
      <w:tblPr>
        <w:tblW w:w="5000" w:type="pct"/>
        <w:jc w:val="center"/>
        <w:tblInd w:w="0" w:type="dxa"/>
        <w:tblCellMar>
          <w:top w:w="0" w:type="dxa"/>
          <w:left w:w="0" w:type="dxa"/>
          <w:bottom w:w="0" w:type="dxa"/>
          <w:right w:w="0" w:type="dxa"/>
        </w:tblCellMar>
      </w:tblPr>
      <w:tblGrid>
        <w:gridCol w:w="105"/>
        <w:gridCol w:w="291"/>
        <w:gridCol w:w="9809"/>
      </w:tblGrid>
      <w:tr>
        <w:trPr/>
        <w:tc>
          <w:tcPr>
            <w:tcW w:w="105" w:type="dxa"/>
            <w:tcBorders/>
            <w:shd w:fill="auto" w:val="clear"/>
          </w:tcPr>
          <w:p>
            <w:pPr>
              <w:pStyle w:val="TableContents"/>
              <w:spacing w:before="0" w:after="0"/>
              <w:rPr/>
            </w:pPr>
            <w:r>
              <w:rPr/>
              <w:t xml:space="preserve">  </w:t>
            </w:r>
          </w:p>
        </w:tc>
        <w:tc>
          <w:tcPr>
            <w:tcW w:w="29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(iv)</w:t>
            </w:r>
          </w:p>
        </w:tc>
        <w:tc>
          <w:tcPr>
            <w:tcW w:w="980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Company itself, if it has purchased, redeemed or otherwise acquired any securities of its own issue, for so long as it continues to hold those securities;</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64" w:name="hangingindent62"/>
      <w:bookmarkStart w:id="265" w:name="hangingindent62"/>
      <w:bookmarkEnd w:id="265"/>
    </w:p>
    <w:tbl>
      <w:tblPr>
        <w:tblW w:w="5000" w:type="pct"/>
        <w:jc w:val="center"/>
        <w:tblInd w:w="0" w:type="dxa"/>
        <w:tblCellMar>
          <w:top w:w="0" w:type="dxa"/>
          <w:left w:w="0" w:type="dxa"/>
          <w:bottom w:w="0" w:type="dxa"/>
          <w:right w:w="0" w:type="dxa"/>
        </w:tblCellMar>
      </w:tblPr>
      <w:tblGrid>
        <w:gridCol w:w="96"/>
        <w:gridCol w:w="297"/>
        <w:gridCol w:w="9812"/>
      </w:tblGrid>
      <w:tr>
        <w:trPr/>
        <w:tc>
          <w:tcPr>
            <w:tcW w:w="96" w:type="dxa"/>
            <w:tcBorders/>
            <w:shd w:fill="auto" w:val="clear"/>
          </w:tcPr>
          <w:p>
            <w:pPr>
              <w:pStyle w:val="TableContents"/>
              <w:spacing w:before="0" w:after="0"/>
              <w:rPr/>
            </w:pPr>
            <w:r>
              <w:rPr/>
              <w:t xml:space="preserve">  </w:t>
            </w:r>
          </w:p>
        </w:tc>
        <w:tc>
          <w:tcPr>
            <w:tcW w:w="29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(ee)</w:t>
            </w:r>
          </w:p>
        </w:tc>
        <w:tc>
          <w:tcPr>
            <w:tcW w:w="9812" w:type="dxa"/>
            <w:tcBorders/>
            <w:shd w:fill="auto" w:val="clear"/>
          </w:tcPr>
          <w:p>
            <w:pPr>
              <w:pStyle w:val="TableContents"/>
              <w:spacing w:before="0" w:after="0"/>
              <w:jc w:val="both"/>
              <w:rPr/>
            </w:pPr>
            <w:r>
              <w:rPr/>
              <w:t>“</w:t>
            </w:r>
            <w:r>
              <w:rPr>
                <w:rFonts w:ascii="Times New Roman" w:hAnsi="Times New Roman"/>
                <w:b/>
                <w:sz w:val="20"/>
              </w:rPr>
              <w:t>Named Executive Officer</w:t>
            </w:r>
            <w:r>
              <w:rPr>
                <w:rFonts w:ascii="Times New Roman" w:hAnsi="Times New Roman"/>
                <w:sz w:val="20"/>
              </w:rPr>
              <w:t>” means, if applicable, an Eligible Participant who, as of the date of vesting and/or payout of an Award, is one of the group of Covered Employees as defined;</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66" w:name="hangingindent63"/>
      <w:bookmarkStart w:id="267" w:name="hangingindent63"/>
      <w:bookmarkEnd w:id="267"/>
    </w:p>
    <w:tbl>
      <w:tblPr>
        <w:tblW w:w="5000" w:type="pct"/>
        <w:jc w:val="center"/>
        <w:tblInd w:w="0" w:type="dxa"/>
        <w:tblCellMar>
          <w:top w:w="0" w:type="dxa"/>
          <w:left w:w="0" w:type="dxa"/>
          <w:bottom w:w="0" w:type="dxa"/>
          <w:right w:w="0" w:type="dxa"/>
        </w:tblCellMar>
      </w:tblPr>
      <w:tblGrid>
        <w:gridCol w:w="160"/>
        <w:gridCol w:w="349"/>
        <w:gridCol w:w="9696"/>
      </w:tblGrid>
      <w:tr>
        <w:trPr/>
        <w:tc>
          <w:tcPr>
            <w:tcW w:w="160" w:type="dxa"/>
            <w:tcBorders/>
            <w:shd w:fill="auto" w:val="clear"/>
          </w:tcPr>
          <w:p>
            <w:pPr>
              <w:pStyle w:val="TableContents"/>
              <w:spacing w:before="0" w:after="0"/>
              <w:rPr/>
            </w:pPr>
            <w:r>
              <w:rPr/>
              <w:t xml:space="preserve">  </w:t>
            </w:r>
          </w:p>
        </w:tc>
        <w:tc>
          <w:tcPr>
            <w:tcW w:w="34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(ff)</w:t>
            </w:r>
          </w:p>
        </w:tc>
        <w:tc>
          <w:tcPr>
            <w:tcW w:w="9696" w:type="dxa"/>
            <w:tcBorders/>
            <w:shd w:fill="auto" w:val="clear"/>
          </w:tcPr>
          <w:p>
            <w:pPr>
              <w:pStyle w:val="TableContents"/>
              <w:spacing w:before="0" w:after="0"/>
              <w:jc w:val="both"/>
              <w:rPr/>
            </w:pPr>
            <w:r>
              <w:rPr/>
              <w:t>“</w:t>
            </w:r>
            <w:r>
              <w:rPr>
                <w:rFonts w:ascii="Times New Roman" w:hAnsi="Times New Roman"/>
                <w:b/>
                <w:sz w:val="20"/>
              </w:rPr>
              <w:t>Non-Qualified Stock Option</w:t>
            </w:r>
            <w:r>
              <w:rPr>
                <w:rFonts w:ascii="Times New Roman" w:hAnsi="Times New Roman"/>
                <w:sz w:val="20"/>
              </w:rPr>
              <w:t>” means an Option which is not an Incentive Stock Option;</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68" w:name="hangingindent64"/>
      <w:bookmarkStart w:id="269" w:name="hangingindent64"/>
      <w:bookmarkEnd w:id="269"/>
    </w:p>
    <w:tbl>
      <w:tblPr>
        <w:tblW w:w="5000" w:type="pct"/>
        <w:jc w:val="center"/>
        <w:tblInd w:w="0" w:type="dxa"/>
        <w:tblCellMar>
          <w:top w:w="0" w:type="dxa"/>
          <w:left w:w="0" w:type="dxa"/>
          <w:bottom w:w="0" w:type="dxa"/>
          <w:right w:w="0" w:type="dxa"/>
        </w:tblCellMar>
      </w:tblPr>
      <w:tblGrid>
        <w:gridCol w:w="90"/>
        <w:gridCol w:w="321"/>
        <w:gridCol w:w="9794"/>
      </w:tblGrid>
      <w:tr>
        <w:trPr/>
        <w:tc>
          <w:tcPr>
            <w:tcW w:w="90" w:type="dxa"/>
            <w:tcBorders/>
            <w:shd w:fill="auto" w:val="clear"/>
          </w:tcPr>
          <w:p>
            <w:pPr>
              <w:pStyle w:val="TableContents"/>
              <w:spacing w:before="0" w:after="0"/>
              <w:rPr/>
            </w:pPr>
            <w:r>
              <w:rPr/>
              <w:t xml:space="preserve">  </w:t>
            </w:r>
          </w:p>
        </w:tc>
        <w:tc>
          <w:tcPr>
            <w:tcW w:w="32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(gg)</w:t>
            </w:r>
          </w:p>
        </w:tc>
        <w:tc>
          <w:tcPr>
            <w:tcW w:w="9794" w:type="dxa"/>
            <w:tcBorders/>
            <w:shd w:fill="auto" w:val="clear"/>
          </w:tcPr>
          <w:p>
            <w:pPr>
              <w:pStyle w:val="TableContents"/>
              <w:spacing w:before="0" w:after="0"/>
              <w:jc w:val="both"/>
              <w:rPr/>
            </w:pPr>
            <w:r>
              <w:rPr/>
              <w:t>“</w:t>
            </w:r>
            <w:r>
              <w:rPr>
                <w:rFonts w:ascii="Times New Roman" w:hAnsi="Times New Roman"/>
                <w:b/>
                <w:sz w:val="20"/>
              </w:rPr>
              <w:t>Officer</w:t>
            </w:r>
            <w:r>
              <w:rPr>
                <w:rFonts w:ascii="Times New Roman" w:hAnsi="Times New Roman"/>
                <w:sz w:val="20"/>
              </w:rPr>
              <w:t>” means a person who is an officer, including a Senior Officer, of the Company or a Related Entity within the meaning of Section 16 of the Exchange Act and the rules and regulations promulgated thereunder;</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70" w:name="hangingindent65"/>
      <w:bookmarkStart w:id="271" w:name="hangingindent65"/>
      <w:bookmarkEnd w:id="271"/>
    </w:p>
    <w:tbl>
      <w:tblPr>
        <w:tblW w:w="5000" w:type="pct"/>
        <w:jc w:val="center"/>
        <w:tblInd w:w="0" w:type="dxa"/>
        <w:tblCellMar>
          <w:top w:w="0" w:type="dxa"/>
          <w:left w:w="0" w:type="dxa"/>
          <w:bottom w:w="0" w:type="dxa"/>
          <w:right w:w="0" w:type="dxa"/>
        </w:tblCellMar>
      </w:tblPr>
      <w:tblGrid>
        <w:gridCol w:w="138"/>
        <w:gridCol w:w="405"/>
        <w:gridCol w:w="9662"/>
      </w:tblGrid>
      <w:tr>
        <w:trPr/>
        <w:tc>
          <w:tcPr>
            <w:tcW w:w="138" w:type="dxa"/>
            <w:tcBorders/>
            <w:shd w:fill="auto" w:val="clear"/>
          </w:tcPr>
          <w:p>
            <w:pPr>
              <w:pStyle w:val="TableContents"/>
              <w:spacing w:before="0" w:after="0"/>
              <w:rPr/>
            </w:pPr>
            <w:r>
              <w:rPr/>
              <w:t xml:space="preserve">  </w:t>
            </w:r>
          </w:p>
        </w:tc>
        <w:tc>
          <w:tcPr>
            <w:tcW w:w="40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(hh)</w:t>
            </w:r>
          </w:p>
        </w:tc>
        <w:tc>
          <w:tcPr>
            <w:tcW w:w="9662" w:type="dxa"/>
            <w:tcBorders/>
            <w:shd w:fill="auto" w:val="clear"/>
          </w:tcPr>
          <w:p>
            <w:pPr>
              <w:pStyle w:val="TableContents"/>
              <w:spacing w:before="0" w:after="0"/>
              <w:jc w:val="both"/>
              <w:rPr/>
            </w:pPr>
            <w:r>
              <w:rPr/>
              <w:t>“</w:t>
            </w:r>
            <w:r>
              <w:rPr>
                <w:rFonts w:ascii="Times New Roman" w:hAnsi="Times New Roman"/>
                <w:b/>
                <w:sz w:val="20"/>
              </w:rPr>
              <w:t>Option</w:t>
            </w:r>
            <w:r>
              <w:rPr>
                <w:rFonts w:ascii="Times New Roman" w:hAnsi="Times New Roman"/>
                <w:sz w:val="20"/>
              </w:rPr>
              <w:t>” means an option to purchase Shares pursuant to an Award Agreement granted under the Plan;</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72" w:name="hangingindent66"/>
      <w:bookmarkStart w:id="273" w:name="hangingindent66"/>
      <w:bookmarkEnd w:id="273"/>
    </w:p>
    <w:tbl>
      <w:tblPr>
        <w:tblW w:w="5000" w:type="pct"/>
        <w:jc w:val="center"/>
        <w:tblInd w:w="0" w:type="dxa"/>
        <w:tblCellMar>
          <w:top w:w="0" w:type="dxa"/>
          <w:left w:w="0" w:type="dxa"/>
          <w:bottom w:w="0" w:type="dxa"/>
          <w:right w:w="0" w:type="dxa"/>
        </w:tblCellMar>
      </w:tblPr>
      <w:tblGrid>
        <w:gridCol w:w="125"/>
        <w:gridCol w:w="271"/>
        <w:gridCol w:w="9809"/>
      </w:tblGrid>
      <w:tr>
        <w:trPr/>
        <w:tc>
          <w:tcPr>
            <w:tcW w:w="125" w:type="dxa"/>
            <w:tcBorders/>
            <w:shd w:fill="auto" w:val="clear"/>
          </w:tcPr>
          <w:p>
            <w:pPr>
              <w:pStyle w:val="TableContents"/>
              <w:spacing w:before="0" w:after="0"/>
              <w:rPr/>
            </w:pPr>
            <w:r>
              <w:rPr/>
              <w:t xml:space="preserve">  </w:t>
            </w:r>
          </w:p>
        </w:tc>
        <w:tc>
          <w:tcPr>
            <w:tcW w:w="27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(ii)</w:t>
            </w:r>
          </w:p>
        </w:tc>
        <w:tc>
          <w:tcPr>
            <w:tcW w:w="9809" w:type="dxa"/>
            <w:tcBorders/>
            <w:shd w:fill="auto" w:val="clear"/>
          </w:tcPr>
          <w:p>
            <w:pPr>
              <w:pStyle w:val="TableContents"/>
              <w:spacing w:before="0" w:after="0"/>
              <w:jc w:val="both"/>
              <w:rPr/>
            </w:pPr>
            <w:r>
              <w:rPr/>
              <w:t>“</w:t>
            </w:r>
            <w:r>
              <w:rPr>
                <w:rFonts w:ascii="Times New Roman" w:hAnsi="Times New Roman"/>
                <w:b/>
                <w:sz w:val="20"/>
              </w:rPr>
              <w:t>Parent</w:t>
            </w:r>
            <w:r>
              <w:rPr>
                <w:rFonts w:ascii="Times New Roman" w:hAnsi="Times New Roman"/>
                <w:sz w:val="20"/>
              </w:rPr>
              <w:t>” means a “parent corporation”, whether now or hereafter existing, as defined in Section 424(e) of the Code;</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74" w:name="hangingindent67"/>
      <w:bookmarkStart w:id="275" w:name="hangingindent67"/>
      <w:bookmarkEnd w:id="275"/>
    </w:p>
    <w:tbl>
      <w:tblPr>
        <w:tblW w:w="5000" w:type="pct"/>
        <w:jc w:val="center"/>
        <w:tblInd w:w="0" w:type="dxa"/>
        <w:tblCellMar>
          <w:top w:w="0" w:type="dxa"/>
          <w:left w:w="0" w:type="dxa"/>
          <w:bottom w:w="0" w:type="dxa"/>
          <w:right w:w="0" w:type="dxa"/>
        </w:tblCellMar>
      </w:tblPr>
      <w:tblGrid>
        <w:gridCol w:w="107"/>
        <w:gridCol w:w="248"/>
        <w:gridCol w:w="9850"/>
      </w:tblGrid>
      <w:tr>
        <w:trPr/>
        <w:tc>
          <w:tcPr>
            <w:tcW w:w="107" w:type="dxa"/>
            <w:tcBorders/>
            <w:shd w:fill="auto" w:val="clear"/>
          </w:tcPr>
          <w:p>
            <w:pPr>
              <w:pStyle w:val="TableContents"/>
              <w:spacing w:before="0" w:after="0"/>
              <w:rPr/>
            </w:pPr>
            <w:r>
              <w:rPr/>
              <w:t xml:space="preserve">  </w:t>
            </w:r>
          </w:p>
        </w:tc>
        <w:tc>
          <w:tcPr>
            <w:tcW w:w="24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(jj)</w:t>
            </w:r>
          </w:p>
        </w:tc>
        <w:tc>
          <w:tcPr>
            <w:tcW w:w="9850" w:type="dxa"/>
            <w:tcBorders/>
            <w:shd w:fill="auto" w:val="clear"/>
          </w:tcPr>
          <w:p>
            <w:pPr>
              <w:pStyle w:val="TableContents"/>
              <w:spacing w:before="0" w:after="0"/>
              <w:jc w:val="both"/>
              <w:rPr/>
            </w:pPr>
            <w:r>
              <w:rPr/>
              <w:t>“</w:t>
            </w:r>
            <w:r>
              <w:rPr>
                <w:rFonts w:ascii="Times New Roman" w:hAnsi="Times New Roman"/>
                <w:b/>
                <w:sz w:val="20"/>
              </w:rPr>
              <w:t>Performance-Based Compensation</w:t>
            </w:r>
            <w:r>
              <w:rPr>
                <w:rFonts w:ascii="Times New Roman" w:hAnsi="Times New Roman"/>
                <w:sz w:val="20"/>
              </w:rPr>
              <w:t>” means compensation qualifying as “performance-based compensation” under Section 162(m) of the Code;</w:t>
            </w:r>
          </w:p>
        </w:tc>
      </w:tr>
    </w:tbl>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r>
        <w:rPr>
          <w:rFonts w:ascii="Times New Roman" w:hAnsi="Times New Roman"/>
          <w:sz w:val="20"/>
        </w:rPr>
        <w:t>(kk)           “</w:t>
      </w:r>
      <w:r>
        <w:rPr>
          <w:rFonts w:ascii="Times New Roman" w:hAnsi="Times New Roman"/>
          <w:b/>
          <w:sz w:val="20"/>
        </w:rPr>
        <w:t>Plan</w:t>
      </w:r>
      <w:r>
        <w:rPr>
          <w:rFonts w:ascii="Times New Roman" w:hAnsi="Times New Roman"/>
          <w:sz w:val="20"/>
        </w:rPr>
        <w:t>” means this 2009 Stock Incentive Plan as amended from time to time;</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76" w:name="hangingindent68"/>
      <w:bookmarkStart w:id="277" w:name="hangingindent68"/>
      <w:bookmarkEnd w:id="277"/>
    </w:p>
    <w:tbl>
      <w:tblPr>
        <w:tblW w:w="5000" w:type="pct"/>
        <w:jc w:val="center"/>
        <w:tblInd w:w="0" w:type="dxa"/>
        <w:tblCellMar>
          <w:top w:w="0" w:type="dxa"/>
          <w:left w:w="0" w:type="dxa"/>
          <w:bottom w:w="0" w:type="dxa"/>
          <w:right w:w="0" w:type="dxa"/>
        </w:tblCellMar>
      </w:tblPr>
      <w:tblGrid>
        <w:gridCol w:w="85"/>
        <w:gridCol w:w="226"/>
        <w:gridCol w:w="9894"/>
      </w:tblGrid>
      <w:tr>
        <w:trPr/>
        <w:tc>
          <w:tcPr>
            <w:tcW w:w="85" w:type="dxa"/>
            <w:tcBorders/>
            <w:shd w:fill="auto" w:val="clear"/>
          </w:tcPr>
          <w:p>
            <w:pPr>
              <w:pStyle w:val="TableContents"/>
              <w:spacing w:before="0" w:after="0"/>
              <w:rPr/>
            </w:pPr>
            <w:r>
              <w:rPr/>
              <w:t xml:space="preserve">  </w:t>
            </w:r>
          </w:p>
        </w:tc>
        <w:tc>
          <w:tcPr>
            <w:tcW w:w="22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(ll)</w:t>
            </w:r>
          </w:p>
        </w:tc>
        <w:tc>
          <w:tcPr>
            <w:tcW w:w="9894" w:type="dxa"/>
            <w:tcBorders/>
            <w:shd w:fill="auto" w:val="clear"/>
          </w:tcPr>
          <w:p>
            <w:pPr>
              <w:pStyle w:val="TableContents"/>
              <w:spacing w:before="0" w:after="0"/>
              <w:jc w:val="both"/>
              <w:rPr/>
            </w:pPr>
            <w:r>
              <w:rPr/>
              <w:t>“</w:t>
            </w:r>
            <w:r>
              <w:rPr>
                <w:rFonts w:ascii="Times New Roman" w:hAnsi="Times New Roman"/>
                <w:b/>
                <w:sz w:val="20"/>
              </w:rPr>
              <w:t>Related Entity</w:t>
            </w:r>
            <w:r>
              <w:rPr>
                <w:rFonts w:ascii="Times New Roman" w:hAnsi="Times New Roman"/>
                <w:sz w:val="20"/>
              </w:rPr>
              <w:t>” means any Parent or Subsidiary, and includes any business, corporation, partnership, limited liability company or other entity in which the Company, a Parent or a Subsidiary holds a greater than 50% ownership interest, directly or indirectly;</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78" w:name="hangingindent69"/>
      <w:bookmarkStart w:id="279" w:name="hangingindent69"/>
      <w:bookmarkEnd w:id="279"/>
    </w:p>
    <w:tbl>
      <w:tblPr>
        <w:tblW w:w="5000" w:type="pct"/>
        <w:jc w:val="center"/>
        <w:tblInd w:w="0" w:type="dxa"/>
        <w:tblCellMar>
          <w:top w:w="0" w:type="dxa"/>
          <w:left w:w="0" w:type="dxa"/>
          <w:bottom w:w="0" w:type="dxa"/>
          <w:right w:w="0" w:type="dxa"/>
        </w:tblCellMar>
      </w:tblPr>
      <w:tblGrid>
        <w:gridCol w:w="78"/>
        <w:gridCol w:w="399"/>
        <w:gridCol w:w="9728"/>
      </w:tblGrid>
      <w:tr>
        <w:trPr/>
        <w:tc>
          <w:tcPr>
            <w:tcW w:w="78" w:type="dxa"/>
            <w:tcBorders/>
            <w:shd w:fill="auto" w:val="clear"/>
          </w:tcPr>
          <w:p>
            <w:pPr>
              <w:pStyle w:val="TableContents"/>
              <w:spacing w:before="0" w:after="0"/>
              <w:rPr/>
            </w:pPr>
            <w:r>
              <w:rPr/>
              <w:t xml:space="preserve">  </w:t>
            </w:r>
          </w:p>
        </w:tc>
        <w:tc>
          <w:tcPr>
            <w:tcW w:w="39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(mm)</w:t>
            </w:r>
          </w:p>
        </w:tc>
        <w:tc>
          <w:tcPr>
            <w:tcW w:w="9728" w:type="dxa"/>
            <w:tcBorders/>
            <w:shd w:fill="auto" w:val="clear"/>
          </w:tcPr>
          <w:p>
            <w:pPr>
              <w:pStyle w:val="TableContents"/>
              <w:spacing w:before="0" w:after="0"/>
              <w:jc w:val="both"/>
              <w:rPr/>
            </w:pPr>
            <w:r>
              <w:rPr/>
              <w:t>“</w:t>
            </w:r>
            <w:r>
              <w:rPr>
                <w:rFonts w:ascii="Times New Roman" w:hAnsi="Times New Roman"/>
                <w:b/>
                <w:sz w:val="20"/>
              </w:rPr>
              <w:t>Related Entity Disposition</w:t>
            </w:r>
            <w:r>
              <w:rPr>
                <w:rFonts w:ascii="Times New Roman" w:hAnsi="Times New Roman"/>
                <w:sz w:val="20"/>
              </w:rPr>
              <w:t>” means the sale, distribution or other disposition by the Company of all or substantially all of the Company’s interests in any Related Entity effected by a sale, merger or consolidation or other transaction involving that Related Entity or the sale of all or substantially all of the assets of that Related Entity;</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80" w:name="hangingindent70"/>
      <w:bookmarkStart w:id="281" w:name="hangingindent70"/>
      <w:bookmarkEnd w:id="281"/>
    </w:p>
    <w:tbl>
      <w:tblPr>
        <w:tblW w:w="5000" w:type="pct"/>
        <w:jc w:val="center"/>
        <w:tblInd w:w="0" w:type="dxa"/>
        <w:tblCellMar>
          <w:top w:w="0" w:type="dxa"/>
          <w:left w:w="0" w:type="dxa"/>
          <w:bottom w:w="0" w:type="dxa"/>
          <w:right w:w="0" w:type="dxa"/>
        </w:tblCellMar>
      </w:tblPr>
      <w:tblGrid>
        <w:gridCol w:w="79"/>
        <w:gridCol w:w="310"/>
        <w:gridCol w:w="9816"/>
      </w:tblGrid>
      <w:tr>
        <w:trPr/>
        <w:tc>
          <w:tcPr>
            <w:tcW w:w="79" w:type="dxa"/>
            <w:tcBorders/>
            <w:shd w:fill="auto" w:val="clear"/>
          </w:tcPr>
          <w:p>
            <w:pPr>
              <w:pStyle w:val="TableContents"/>
              <w:spacing w:before="0" w:after="0"/>
              <w:rPr/>
            </w:pPr>
            <w:r>
              <w:rPr/>
              <w:t xml:space="preserve">  </w:t>
            </w:r>
          </w:p>
        </w:tc>
        <w:tc>
          <w:tcPr>
            <w:tcW w:w="31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(nn)</w:t>
            </w:r>
          </w:p>
        </w:tc>
        <w:tc>
          <w:tcPr>
            <w:tcW w:w="9816" w:type="dxa"/>
            <w:tcBorders/>
            <w:shd w:fill="auto" w:val="clear"/>
          </w:tcPr>
          <w:p>
            <w:pPr>
              <w:pStyle w:val="TableContents"/>
              <w:spacing w:before="0" w:after="0"/>
              <w:jc w:val="both"/>
              <w:rPr/>
            </w:pPr>
            <w:r>
              <w:rPr/>
              <w:t>“</w:t>
            </w:r>
            <w:r>
              <w:rPr>
                <w:rFonts w:ascii="Times New Roman" w:hAnsi="Times New Roman"/>
                <w:b/>
                <w:sz w:val="20"/>
              </w:rPr>
              <w:t>Restricted Stock</w:t>
            </w:r>
            <w:r>
              <w:rPr>
                <w:rFonts w:ascii="Times New Roman" w:hAnsi="Times New Roman"/>
                <w:sz w:val="20"/>
              </w:rPr>
              <w:t>” means Shares issued under the Plan to the Grantee for such consideration, if any, and subject to such restrictions on transfer, rights of first refusal, repurchase provisions, forfeiture provisions, and other terms and conditions as, established by the Administrator and specified in the related Award Agreement;</w:t>
            </w:r>
          </w:p>
        </w:tc>
      </w:tr>
    </w:tbl>
    <w:p>
      <w:pPr>
        <w:pStyle w:val="TextBody"/>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jc w:val="left"/>
        <w:rPr/>
      </w:pPr>
      <w:r>
        <w:rPr/>
      </w:r>
      <w:bookmarkStart w:id="282" w:name="PGBRK15"/>
      <w:bookmarkStart w:id="283" w:name="PGBRK15"/>
      <w:bookmarkEnd w:id="2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r>
      <w:bookmarkStart w:id="284" w:name="FTR15"/>
      <w:bookmarkStart w:id="285" w:name="FTR15"/>
      <w:bookmarkEnd w:id="2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286" w:name="GLFTR15"/>
      <w:bookmarkEnd w:id="2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87" w:name="PN15"/>
      <w:bookmarkEnd w:id="287"/>
      <w:r>
        <w:rPr>
          <w:rFonts w:ascii="Times New Roman" w:hAnsi="Times New Roman"/>
          <w:sz w:val="20"/>
        </w:rPr>
        <w:t>B-6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r>
      <w:bookmarkStart w:id="288" w:name="HDR15"/>
      <w:bookmarkStart w:id="289" w:name="HDR15"/>
      <w:bookmarkEnd w:id="2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290" w:name="GLHDR15"/>
      <w:bookmarkEnd w:id="2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91" w:name="hangingindent71"/>
      <w:bookmarkStart w:id="292" w:name="hangingindent71"/>
      <w:bookmarkEnd w:id="292"/>
    </w:p>
    <w:tbl>
      <w:tblPr>
        <w:tblW w:w="5000" w:type="pct"/>
        <w:jc w:val="center"/>
        <w:tblInd w:w="0" w:type="dxa"/>
        <w:tblCellMar>
          <w:top w:w="0" w:type="dxa"/>
          <w:left w:w="0" w:type="dxa"/>
          <w:bottom w:w="0" w:type="dxa"/>
          <w:right w:w="0" w:type="dxa"/>
        </w:tblCellMar>
      </w:tblPr>
      <w:tblGrid>
        <w:gridCol w:w="84"/>
        <w:gridCol w:w="315"/>
        <w:gridCol w:w="9806"/>
      </w:tblGrid>
      <w:tr>
        <w:trPr/>
        <w:tc>
          <w:tcPr>
            <w:tcW w:w="84" w:type="dxa"/>
            <w:tcBorders/>
            <w:shd w:fill="auto" w:val="clear"/>
          </w:tcPr>
          <w:p>
            <w:pPr>
              <w:pStyle w:val="TableContents"/>
              <w:spacing w:before="0" w:after="0"/>
              <w:rPr/>
            </w:pPr>
            <w:r>
              <w:rPr/>
              <w:t xml:space="preserve">  </w:t>
            </w:r>
          </w:p>
        </w:tc>
        <w:tc>
          <w:tcPr>
            <w:tcW w:w="31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(oo)</w:t>
            </w:r>
          </w:p>
        </w:tc>
        <w:tc>
          <w:tcPr>
            <w:tcW w:w="9806" w:type="dxa"/>
            <w:tcBorders/>
            <w:shd w:fill="auto" w:val="clear"/>
          </w:tcPr>
          <w:p>
            <w:pPr>
              <w:pStyle w:val="TableContents"/>
              <w:spacing w:before="0" w:after="0"/>
              <w:jc w:val="both"/>
              <w:rPr/>
            </w:pPr>
            <w:r>
              <w:rPr/>
              <w:t>“</w:t>
            </w:r>
            <w:r>
              <w:rPr>
                <w:rFonts w:ascii="Times New Roman" w:hAnsi="Times New Roman"/>
                <w:b/>
                <w:sz w:val="20"/>
              </w:rPr>
              <w:t>Restricted Stock Unit</w:t>
            </w:r>
            <w:r>
              <w:rPr>
                <w:rFonts w:ascii="Times New Roman" w:hAnsi="Times New Roman"/>
                <w:sz w:val="20"/>
              </w:rPr>
              <w:t>” means a notional account established pursuant to an Award granted to a Grantee, as described in this Plan, that is (i) valued solely by reference to Shares, (ii) subject to restrictions specified in the Award Agreement, and (iii) payable only in Shares;</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93" w:name="hangingindent72"/>
      <w:bookmarkStart w:id="294" w:name="hangingindent72"/>
      <w:bookmarkEnd w:id="294"/>
    </w:p>
    <w:tbl>
      <w:tblPr>
        <w:tblW w:w="5000" w:type="pct"/>
        <w:jc w:val="center"/>
        <w:tblInd w:w="0" w:type="dxa"/>
        <w:tblCellMar>
          <w:top w:w="0" w:type="dxa"/>
          <w:left w:w="0" w:type="dxa"/>
          <w:bottom w:w="0" w:type="dxa"/>
          <w:right w:w="0" w:type="dxa"/>
        </w:tblCellMar>
      </w:tblPr>
      <w:tblGrid>
        <w:gridCol w:w="79"/>
        <w:gridCol w:w="310"/>
        <w:gridCol w:w="9816"/>
      </w:tblGrid>
      <w:tr>
        <w:trPr/>
        <w:tc>
          <w:tcPr>
            <w:tcW w:w="79" w:type="dxa"/>
            <w:tcBorders/>
            <w:shd w:fill="auto" w:val="clear"/>
          </w:tcPr>
          <w:p>
            <w:pPr>
              <w:pStyle w:val="TableContents"/>
              <w:spacing w:before="0" w:after="0"/>
              <w:rPr/>
            </w:pPr>
            <w:r>
              <w:rPr/>
              <w:t xml:space="preserve">  </w:t>
            </w:r>
          </w:p>
        </w:tc>
        <w:tc>
          <w:tcPr>
            <w:tcW w:w="31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(pp)</w:t>
            </w:r>
          </w:p>
        </w:tc>
        <w:tc>
          <w:tcPr>
            <w:tcW w:w="9816" w:type="dxa"/>
            <w:tcBorders/>
            <w:shd w:fill="auto" w:val="clear"/>
          </w:tcPr>
          <w:p>
            <w:pPr>
              <w:pStyle w:val="TableContents"/>
              <w:spacing w:before="0" w:after="0"/>
              <w:jc w:val="both"/>
              <w:rPr/>
            </w:pPr>
            <w:r>
              <w:rPr/>
              <w:t>“</w:t>
            </w:r>
            <w:r>
              <w:rPr>
                <w:rFonts w:ascii="Times New Roman" w:hAnsi="Times New Roman"/>
                <w:b/>
                <w:sz w:val="20"/>
              </w:rPr>
              <w:t>Restriction Period</w:t>
            </w:r>
            <w:r>
              <w:rPr>
                <w:rFonts w:ascii="Times New Roman" w:hAnsi="Times New Roman"/>
                <w:sz w:val="20"/>
              </w:rPr>
              <w:t>” means the period during which the transfer of Shares of Restricted Stock is limited in some way (based on the passage of time, the achievement of performance objectives, or the occurrence of other events as determined by the Administrator, in its sole discretion) or the Restricted Stock is not vested;</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95" w:name="hangingindent73"/>
      <w:bookmarkStart w:id="296" w:name="hangingindent73"/>
      <w:bookmarkEnd w:id="296"/>
    </w:p>
    <w:tbl>
      <w:tblPr>
        <w:tblW w:w="5000" w:type="pct"/>
        <w:jc w:val="center"/>
        <w:tblInd w:w="0" w:type="dxa"/>
        <w:tblCellMar>
          <w:top w:w="0" w:type="dxa"/>
          <w:left w:w="0" w:type="dxa"/>
          <w:bottom w:w="0" w:type="dxa"/>
          <w:right w:w="0" w:type="dxa"/>
        </w:tblCellMar>
      </w:tblPr>
      <w:tblGrid>
        <w:gridCol w:w="95"/>
        <w:gridCol w:w="326"/>
        <w:gridCol w:w="9784"/>
      </w:tblGrid>
      <w:tr>
        <w:trPr/>
        <w:tc>
          <w:tcPr>
            <w:tcW w:w="95" w:type="dxa"/>
            <w:tcBorders/>
            <w:shd w:fill="auto" w:val="clear"/>
          </w:tcPr>
          <w:p>
            <w:pPr>
              <w:pStyle w:val="TableContents"/>
              <w:spacing w:before="0" w:after="0"/>
              <w:rPr/>
            </w:pPr>
            <w:r>
              <w:rPr/>
              <w:t xml:space="preserve">  </w:t>
            </w:r>
          </w:p>
        </w:tc>
        <w:tc>
          <w:tcPr>
            <w:tcW w:w="32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(qq)</w:t>
            </w:r>
          </w:p>
        </w:tc>
        <w:tc>
          <w:tcPr>
            <w:tcW w:w="9784" w:type="dxa"/>
            <w:tcBorders/>
            <w:shd w:fill="auto" w:val="clear"/>
          </w:tcPr>
          <w:p>
            <w:pPr>
              <w:pStyle w:val="TableContents"/>
              <w:spacing w:before="0" w:after="0"/>
              <w:jc w:val="both"/>
              <w:rPr/>
            </w:pPr>
            <w:r>
              <w:rPr/>
              <w:t>“</w:t>
            </w:r>
            <w:r>
              <w:rPr>
                <w:rFonts w:ascii="Times New Roman" w:hAnsi="Times New Roman"/>
                <w:b/>
                <w:sz w:val="20"/>
              </w:rPr>
              <w:t>SAR</w:t>
            </w:r>
            <w:r>
              <w:rPr>
                <w:rFonts w:ascii="Times New Roman" w:hAnsi="Times New Roman"/>
                <w:sz w:val="20"/>
              </w:rPr>
              <w:t>” means a stock appreciation right entitling the Grantee to Shares or cash compensation, as established by the Administrator, measured by appreciation in the value of Common Stock;</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97" w:name="hangingindent74"/>
      <w:bookmarkStart w:id="298" w:name="hangingindent74"/>
      <w:bookmarkEnd w:id="298"/>
    </w:p>
    <w:tbl>
      <w:tblPr>
        <w:tblW w:w="5000" w:type="pct"/>
        <w:jc w:val="center"/>
        <w:tblInd w:w="0" w:type="dxa"/>
        <w:tblCellMar>
          <w:top w:w="0" w:type="dxa"/>
          <w:left w:w="0" w:type="dxa"/>
          <w:bottom w:w="0" w:type="dxa"/>
          <w:right w:w="0" w:type="dxa"/>
        </w:tblCellMar>
      </w:tblPr>
      <w:tblGrid>
        <w:gridCol w:w="212"/>
        <w:gridCol w:w="459"/>
        <w:gridCol w:w="9534"/>
      </w:tblGrid>
      <w:tr>
        <w:trPr/>
        <w:tc>
          <w:tcPr>
            <w:tcW w:w="212" w:type="dxa"/>
            <w:tcBorders/>
            <w:shd w:fill="auto" w:val="clear"/>
          </w:tcPr>
          <w:p>
            <w:pPr>
              <w:pStyle w:val="TableContents"/>
              <w:spacing w:before="0" w:after="0"/>
              <w:rPr/>
            </w:pPr>
            <w:r>
              <w:rPr/>
              <w:t xml:space="preserve">  </w:t>
            </w:r>
          </w:p>
        </w:tc>
        <w:tc>
          <w:tcPr>
            <w:tcW w:w="45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(rr)</w:t>
            </w:r>
          </w:p>
        </w:tc>
        <w:tc>
          <w:tcPr>
            <w:tcW w:w="9534" w:type="dxa"/>
            <w:tcBorders/>
            <w:shd w:fill="auto" w:val="clear"/>
          </w:tcPr>
          <w:p>
            <w:pPr>
              <w:pStyle w:val="TableContents"/>
              <w:spacing w:before="0" w:after="0"/>
              <w:jc w:val="both"/>
              <w:rPr/>
            </w:pPr>
            <w:r>
              <w:rPr/>
              <w:t>“</w:t>
            </w:r>
            <w:r>
              <w:rPr>
                <w:rFonts w:ascii="Times New Roman" w:hAnsi="Times New Roman"/>
                <w:b/>
                <w:sz w:val="20"/>
              </w:rPr>
              <w:t>SEC</w:t>
            </w:r>
            <w:r>
              <w:rPr>
                <w:rFonts w:ascii="Times New Roman" w:hAnsi="Times New Roman"/>
                <w:sz w:val="20"/>
              </w:rPr>
              <w:t>” means the United States Securities Exchange Commission;</w:t>
            </w:r>
          </w:p>
        </w:tc>
      </w:tr>
    </w:tbl>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r>
        <w:rPr>
          <w:rFonts w:ascii="Times New Roman" w:hAnsi="Times New Roman"/>
          <w:sz w:val="20"/>
        </w:rPr>
        <w:t>(ss)           “</w:t>
      </w:r>
      <w:r>
        <w:rPr>
          <w:rFonts w:ascii="Times New Roman" w:hAnsi="Times New Roman"/>
          <w:b/>
          <w:sz w:val="20"/>
        </w:rPr>
        <w:t>Senior Officer</w:t>
      </w:r>
      <w:r>
        <w:rPr>
          <w:rFonts w:ascii="Times New Roman" w:hAnsi="Times New Roman"/>
          <w:sz w:val="20"/>
        </w:rPr>
        <w:t>” means:</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299" w:name="hangingindent75"/>
      <w:bookmarkStart w:id="300" w:name="hangingindent75"/>
      <w:bookmarkEnd w:id="300"/>
    </w:p>
    <w:tbl>
      <w:tblPr>
        <w:tblW w:w="5000" w:type="pct"/>
        <w:jc w:val="center"/>
        <w:tblInd w:w="0" w:type="dxa"/>
        <w:tblCellMar>
          <w:top w:w="0" w:type="dxa"/>
          <w:left w:w="0" w:type="dxa"/>
          <w:bottom w:w="0" w:type="dxa"/>
          <w:right w:w="0" w:type="dxa"/>
        </w:tblCellMar>
      </w:tblPr>
      <w:tblGrid>
        <w:gridCol w:w="92"/>
        <w:gridCol w:w="173"/>
        <w:gridCol w:w="9940"/>
      </w:tblGrid>
      <w:tr>
        <w:trPr/>
        <w:tc>
          <w:tcPr>
            <w:tcW w:w="92" w:type="dxa"/>
            <w:tcBorders/>
            <w:shd w:fill="auto" w:val="clear"/>
          </w:tcPr>
          <w:p>
            <w:pPr>
              <w:pStyle w:val="TableContents"/>
              <w:spacing w:before="0" w:after="0"/>
              <w:rPr/>
            </w:pPr>
            <w:r>
              <w:rPr/>
              <w:t xml:space="preserve">  </w:t>
            </w:r>
          </w:p>
        </w:tc>
        <w:tc>
          <w:tcPr>
            <w:tcW w:w="17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w:t>
            </w:r>
          </w:p>
        </w:tc>
        <w:tc>
          <w:tcPr>
            <w:tcW w:w="994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chair or vice chair of the Board, the president, the chief executive officer, the chief financial officer, a vice-president, the secretary, the treasurer or the general manager of the Company or a Related Entity;</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301" w:name="hangingindent76"/>
      <w:bookmarkStart w:id="302" w:name="hangingindent76"/>
      <w:bookmarkEnd w:id="302"/>
    </w:p>
    <w:tbl>
      <w:tblPr>
        <w:tblW w:w="5000" w:type="pct"/>
        <w:jc w:val="center"/>
        <w:tblInd w:w="0" w:type="dxa"/>
        <w:tblCellMar>
          <w:top w:w="0" w:type="dxa"/>
          <w:left w:w="0" w:type="dxa"/>
          <w:bottom w:w="0" w:type="dxa"/>
          <w:right w:w="0" w:type="dxa"/>
        </w:tblCellMar>
      </w:tblPr>
      <w:tblGrid>
        <w:gridCol w:w="101"/>
        <w:gridCol w:w="242"/>
        <w:gridCol w:w="9862"/>
      </w:tblGrid>
      <w:tr>
        <w:trPr/>
        <w:tc>
          <w:tcPr>
            <w:tcW w:w="101" w:type="dxa"/>
            <w:tcBorders/>
            <w:shd w:fill="auto" w:val="clear"/>
          </w:tcPr>
          <w:p>
            <w:pPr>
              <w:pStyle w:val="TableContents"/>
              <w:spacing w:before="0" w:after="0"/>
              <w:rPr/>
            </w:pPr>
            <w:r>
              <w:rPr/>
              <w:t xml:space="preserve">  </w:t>
            </w:r>
          </w:p>
        </w:tc>
        <w:tc>
          <w:tcPr>
            <w:tcW w:w="24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(ii)</w:t>
            </w:r>
          </w:p>
        </w:tc>
        <w:tc>
          <w:tcPr>
            <w:tcW w:w="986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any individual who performs functions for a person similar to those normally performed by an individual occupying any office specified in Section 2.1(ss)(i) above; and</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303" w:name="hangingindent77"/>
      <w:bookmarkStart w:id="304" w:name="hangingindent77"/>
      <w:bookmarkEnd w:id="304"/>
    </w:p>
    <w:tbl>
      <w:tblPr>
        <w:tblW w:w="5000" w:type="pct"/>
        <w:jc w:val="center"/>
        <w:tblInd w:w="0" w:type="dxa"/>
        <w:tblCellMar>
          <w:top w:w="0" w:type="dxa"/>
          <w:left w:w="0" w:type="dxa"/>
          <w:bottom w:w="0" w:type="dxa"/>
          <w:right w:w="0" w:type="dxa"/>
        </w:tblCellMar>
      </w:tblPr>
      <w:tblGrid>
        <w:gridCol w:w="89"/>
        <w:gridCol w:w="290"/>
        <w:gridCol w:w="9826"/>
      </w:tblGrid>
      <w:tr>
        <w:trPr/>
        <w:tc>
          <w:tcPr>
            <w:tcW w:w="89" w:type="dxa"/>
            <w:tcBorders/>
            <w:shd w:fill="auto" w:val="clear"/>
          </w:tcPr>
          <w:p>
            <w:pPr>
              <w:pStyle w:val="TableContents"/>
              <w:spacing w:before="0" w:after="0"/>
              <w:rPr/>
            </w:pPr>
            <w:r>
              <w:rPr/>
              <w:t xml:space="preserve">  </w:t>
            </w:r>
          </w:p>
        </w:tc>
        <w:tc>
          <w:tcPr>
            <w:tcW w:w="29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(iii)</w:t>
            </w:r>
          </w:p>
        </w:tc>
        <w:tc>
          <w:tcPr>
            <w:tcW w:w="982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five highest paid employees of the Company or a Related Entity, including any individual referred to in Section 2.1(ss)(i) or 2.1(ss)(ii) and excluding a commissioned salesperson who does not act in a managerial capacity;</w:t>
            </w:r>
          </w:p>
        </w:tc>
      </w:tr>
    </w:tbl>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r>
        <w:rPr>
          <w:rFonts w:ascii="Times New Roman" w:hAnsi="Times New Roman"/>
          <w:sz w:val="20"/>
        </w:rPr>
        <w:t>(tt)           “</w:t>
      </w:r>
      <w:r>
        <w:rPr>
          <w:rFonts w:ascii="Times New Roman" w:hAnsi="Times New Roman"/>
          <w:b/>
          <w:sz w:val="20"/>
        </w:rPr>
        <w:t>Share</w:t>
      </w:r>
      <w:r>
        <w:rPr>
          <w:rFonts w:ascii="Times New Roman" w:hAnsi="Times New Roman"/>
          <w:sz w:val="20"/>
        </w:rPr>
        <w:t>” means a share of the Common Stock; and</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305" w:name="hangingindent78"/>
      <w:bookmarkStart w:id="306" w:name="hangingindent78"/>
      <w:bookmarkEnd w:id="306"/>
    </w:p>
    <w:tbl>
      <w:tblPr>
        <w:tblW w:w="5000" w:type="pct"/>
        <w:jc w:val="center"/>
        <w:tblInd w:w="0" w:type="dxa"/>
        <w:tblCellMar>
          <w:top w:w="0" w:type="dxa"/>
          <w:left w:w="0" w:type="dxa"/>
          <w:bottom w:w="0" w:type="dxa"/>
          <w:right w:w="0" w:type="dxa"/>
        </w:tblCellMar>
      </w:tblPr>
      <w:tblGrid>
        <w:gridCol w:w="116"/>
        <w:gridCol w:w="347"/>
        <w:gridCol w:w="9742"/>
      </w:tblGrid>
      <w:tr>
        <w:trPr/>
        <w:tc>
          <w:tcPr>
            <w:tcW w:w="116" w:type="dxa"/>
            <w:tcBorders/>
            <w:shd w:fill="auto" w:val="clear"/>
          </w:tcPr>
          <w:p>
            <w:pPr>
              <w:pStyle w:val="TableContents"/>
              <w:spacing w:before="0" w:after="0"/>
              <w:rPr/>
            </w:pPr>
            <w:r>
              <w:rPr/>
              <w:t xml:space="preserve">  </w:t>
            </w:r>
          </w:p>
        </w:tc>
        <w:tc>
          <w:tcPr>
            <w:tcW w:w="34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(uu)</w:t>
            </w:r>
          </w:p>
        </w:tc>
        <w:tc>
          <w:tcPr>
            <w:tcW w:w="9742" w:type="dxa"/>
            <w:tcBorders/>
            <w:shd w:fill="auto" w:val="clear"/>
          </w:tcPr>
          <w:p>
            <w:pPr>
              <w:pStyle w:val="TableContents"/>
              <w:spacing w:before="0" w:after="0"/>
              <w:jc w:val="both"/>
              <w:rPr/>
            </w:pPr>
            <w:r>
              <w:rPr/>
              <w:t>“</w:t>
            </w:r>
            <w:r>
              <w:rPr>
                <w:rFonts w:ascii="Times New Roman" w:hAnsi="Times New Roman"/>
                <w:b/>
                <w:sz w:val="20"/>
              </w:rPr>
              <w:t>Subsidiary”</w:t>
            </w:r>
            <w:r>
              <w:rPr>
                <w:rFonts w:ascii="Times New Roman" w:hAnsi="Times New Roman"/>
                <w:sz w:val="20"/>
              </w:rPr>
              <w:t xml:space="preserve"> means a “</w:t>
            </w:r>
            <w:r>
              <w:rPr>
                <w:rFonts w:ascii="Times New Roman" w:hAnsi="Times New Roman"/>
                <w:b/>
                <w:sz w:val="20"/>
              </w:rPr>
              <w:t>subsidiary corporation</w:t>
            </w:r>
            <w:r>
              <w:rPr>
                <w:rFonts w:ascii="Times New Roman" w:hAnsi="Times New Roman"/>
                <w:sz w:val="20"/>
              </w:rPr>
              <w:t>”, whether now or hereafter existing, as defined in Section 424(f) of the Code.</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307" w:name="hangingindent79"/>
      <w:bookmarkStart w:id="308" w:name="hangingindent79"/>
      <w:bookmarkEnd w:id="308"/>
    </w:p>
    <w:tbl>
      <w:tblPr>
        <w:tblW w:w="5000" w:type="pct"/>
        <w:jc w:val="center"/>
        <w:tblInd w:w="0" w:type="dxa"/>
        <w:tblCellMar>
          <w:top w:w="0" w:type="dxa"/>
          <w:left w:w="0" w:type="dxa"/>
          <w:bottom w:w="0" w:type="dxa"/>
          <w:right w:w="0" w:type="dxa"/>
        </w:tblCellMar>
      </w:tblPr>
      <w:tblGrid>
        <w:gridCol w:w="548"/>
        <w:gridCol w:w="9657"/>
      </w:tblGrid>
      <w:tr>
        <w:trPr/>
        <w:tc>
          <w:tcPr>
            <w:tcW w:w="548"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3.</w:t>
            </w:r>
          </w:p>
        </w:tc>
        <w:tc>
          <w:tcPr>
            <w:tcW w:w="9657" w:type="dxa"/>
            <w:tcBorders/>
            <w:shd w:fill="auto" w:val="clear"/>
          </w:tcPr>
          <w:p>
            <w:pPr>
              <w:pStyle w:val="TableContents"/>
              <w:spacing w:before="0" w:after="0"/>
              <w:jc w:val="both"/>
              <w:rPr>
                <w:rFonts w:ascii="Times New Roman" w:hAnsi="Times New Roman"/>
                <w:b/>
                <w:sz w:val="20"/>
                <w:u w:val="single"/>
              </w:rPr>
            </w:pPr>
            <w:r>
              <w:rPr>
                <w:rFonts w:ascii="Times New Roman" w:hAnsi="Times New Roman"/>
                <w:b/>
                <w:sz w:val="20"/>
                <w:u w:val="single"/>
              </w:rPr>
              <w:t>STOCK SUBJECT TO THE PLAN</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309" w:name="TAB1"/>
      <w:bookmarkEnd w:id="309"/>
      <w:r>
        <w:rPr>
          <w:rFonts w:ascii="Times New Roman" w:hAnsi="Times New Roman"/>
          <w:b/>
          <w:sz w:val="20"/>
          <w:u w:val="single"/>
        </w:rPr>
        <w:t>Number of Shares Available</w:t>
      </w:r>
    </w:p>
    <w:tbl>
      <w:tblPr>
        <w:tblW w:w="5000" w:type="pct"/>
        <w:jc w:val="left"/>
        <w:tblInd w:w="0" w:type="dxa"/>
        <w:tblCellMar>
          <w:top w:w="0" w:type="dxa"/>
          <w:left w:w="0" w:type="dxa"/>
          <w:bottom w:w="0" w:type="dxa"/>
          <w:right w:w="0" w:type="dxa"/>
        </w:tblCellMar>
      </w:tblPr>
      <w:tblGrid>
        <w:gridCol w:w="305"/>
        <w:gridCol w:w="306"/>
        <w:gridCol w:w="9594"/>
      </w:tblGrid>
      <w:tr>
        <w:trPr/>
        <w:tc>
          <w:tcPr>
            <w:tcW w:w="30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3.1</w:t>
            </w:r>
          </w:p>
        </w:tc>
        <w:tc>
          <w:tcPr>
            <w:tcW w:w="30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w:t>
            </w:r>
          </w:p>
        </w:tc>
        <w:tc>
          <w:tcPr>
            <w:tcW w:w="9594" w:type="dxa"/>
            <w:tcBorders/>
            <w:shd w:fill="auto" w:val="clear"/>
          </w:tcPr>
          <w:p>
            <w:pPr>
              <w:pStyle w:val="TableContents"/>
              <w:spacing w:before="0" w:after="0"/>
              <w:rPr/>
            </w:pPr>
            <w:r>
              <w:rPr/>
              <w:t xml:space="preserve">Subject to the provisions of Section 18, the maximum aggregate number of Shares which may be issued pursuant to all Awards (including Incentive Stock Options) under this Plan is </w:t>
            </w:r>
            <w:r>
              <w:rPr>
                <w:b/>
              </w:rPr>
              <w:t>10,000,000</w:t>
            </w:r>
            <w:r>
              <w:rPr/>
              <w:t xml:space="preserve"> (the “</w:t>
            </w:r>
            <w:r>
              <w:rPr>
                <w:b/>
              </w:rPr>
              <w:t>Maximum Number</w:t>
            </w:r>
            <w:r>
              <w:rPr/>
              <w:t>”).  See Section 29 for Reservation of Shares.</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310" w:name="hangingindent80"/>
      <w:bookmarkStart w:id="311" w:name="hangingindent80"/>
      <w:bookmarkEnd w:id="311"/>
    </w:p>
    <w:tbl>
      <w:tblPr>
        <w:tblW w:w="5000" w:type="pct"/>
        <w:jc w:val="center"/>
        <w:tblInd w:w="0" w:type="dxa"/>
        <w:tblCellMar>
          <w:top w:w="0" w:type="dxa"/>
          <w:left w:w="0" w:type="dxa"/>
          <w:bottom w:w="0" w:type="dxa"/>
          <w:right w:w="0" w:type="dxa"/>
        </w:tblCellMar>
      </w:tblPr>
      <w:tblGrid>
        <w:gridCol w:w="69"/>
        <w:gridCol w:w="195"/>
        <w:gridCol w:w="9941"/>
      </w:tblGrid>
      <w:tr>
        <w:trPr/>
        <w:tc>
          <w:tcPr>
            <w:tcW w:w="69" w:type="dxa"/>
            <w:tcBorders/>
            <w:shd w:fill="auto" w:val="clear"/>
          </w:tcPr>
          <w:p>
            <w:pPr>
              <w:pStyle w:val="TableContents"/>
              <w:spacing w:before="0" w:after="0"/>
              <w:rPr/>
            </w:pPr>
            <w:r>
              <w:rPr/>
              <w:t xml:space="preserve">  </w:t>
            </w:r>
          </w:p>
        </w:tc>
        <w:tc>
          <w:tcPr>
            <w:tcW w:w="19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4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Shares that have been issued under the Plan pursuant to an Award shall not be returned to the Plan and shall not become available for future issuance under the Plan except that Shares (i) covered by an Award (or portion of an Award) which is forfeited or cancelled, expires or is settled in cash, or (ii) withheld to satisfy a Grantee’s minimum tax withholding obligations, shall be deemed not to have been issued for purposes of determining the Maximum Number of Shares which may be issued under the Plan.  Also, only the net numbers of Shares that are issued pursuant to the exercise of an Award shall be counted against the Maximum Number.</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312" w:name="hangingindent81"/>
      <w:bookmarkStart w:id="313" w:name="hangingindent81"/>
      <w:bookmarkEnd w:id="313"/>
    </w:p>
    <w:tbl>
      <w:tblPr>
        <w:tblW w:w="5000" w:type="pct"/>
        <w:jc w:val="center"/>
        <w:tblInd w:w="0" w:type="dxa"/>
        <w:tblCellMar>
          <w:top w:w="0" w:type="dxa"/>
          <w:left w:w="0" w:type="dxa"/>
          <w:bottom w:w="0" w:type="dxa"/>
          <w:right w:w="0" w:type="dxa"/>
        </w:tblCellMar>
      </w:tblPr>
      <w:tblGrid>
        <w:gridCol w:w="74"/>
        <w:gridCol w:w="185"/>
        <w:gridCol w:w="9946"/>
      </w:tblGrid>
      <w:tr>
        <w:trPr/>
        <w:tc>
          <w:tcPr>
            <w:tcW w:w="74" w:type="dxa"/>
            <w:tcBorders/>
            <w:shd w:fill="auto" w:val="clear"/>
          </w:tcPr>
          <w:p>
            <w:pPr>
              <w:pStyle w:val="TableContents"/>
              <w:spacing w:before="0" w:after="0"/>
              <w:rPr/>
            </w:pPr>
            <w:r>
              <w:rPr/>
              <w:t xml:space="preserve">  </w:t>
            </w:r>
          </w:p>
        </w:tc>
        <w:tc>
          <w:tcPr>
            <w:tcW w:w="18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94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However, in the event that prior to the Award’s cancellation, termination, expiration, forfeiture or lapse, the holder of the Award at any time received one or more elements of beneficial ownership pursuant to such Award (as defined by the SEC, pursuant to any rule or interpretations promulgated under Section 16 of the Exchange Act), the Shares subject to such Award shall not again be made available for regrant under the Plan.</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314" w:name="TAB11"/>
      <w:bookmarkEnd w:id="314"/>
      <w:r>
        <w:rPr>
          <w:rFonts w:ascii="Times New Roman" w:hAnsi="Times New Roman"/>
          <w:b/>
          <w:sz w:val="20"/>
          <w:u w:val="single"/>
        </w:rPr>
        <w:t>Shares to Insiders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3.2                      Subject to Section 15.1(b) and 15.1(c), no Insider of the Company is eligible to receive an Award where:</w:t>
      </w:r>
    </w:p>
    <w:p>
      <w:pPr>
        <w:pStyle w:val="TextBody"/>
        <w:spacing w:before="0" w:after="0"/>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315" w:name="PGBRK16"/>
      <w:bookmarkStart w:id="316" w:name="PGBRK16"/>
      <w:bookmarkEnd w:id="3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317" w:name="FTR16"/>
      <w:bookmarkStart w:id="318" w:name="FTR16"/>
      <w:bookmarkEnd w:id="3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19" w:name="GLFTR16"/>
      <w:bookmarkEnd w:id="3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20" w:name="PN16"/>
      <w:bookmarkEnd w:id="320"/>
      <w:r>
        <w:rPr>
          <w:rFonts w:ascii="Times New Roman" w:hAnsi="Times New Roman"/>
          <w:sz w:val="20"/>
        </w:rPr>
        <w:t>B-7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321" w:name="HDR16"/>
      <w:bookmarkStart w:id="322" w:name="HDR16"/>
      <w:bookmarkEnd w:id="3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23" w:name="GLHDR16"/>
      <w:bookmarkEnd w:id="3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ind w:left="0" w:right="0" w:hanging="0"/>
        <w:jc w:val="left"/>
        <w:rPr>
          <w:sz w:val="4"/>
          <w:szCs w:val="4"/>
        </w:rPr>
      </w:pPr>
      <w:r>
        <w:rPr>
          <w:sz w:val="4"/>
          <w:szCs w:val="4"/>
        </w:rPr>
      </w:r>
      <w:bookmarkStart w:id="324" w:name="hangingindent82"/>
      <w:bookmarkStart w:id="325" w:name="hangingindent82"/>
      <w:bookmarkEnd w:id="325"/>
    </w:p>
    <w:tbl>
      <w:tblPr>
        <w:tblW w:w="5000" w:type="pct"/>
        <w:jc w:val="center"/>
        <w:tblInd w:w="0" w:type="dxa"/>
        <w:tblCellMar>
          <w:top w:w="0" w:type="dxa"/>
          <w:left w:w="0" w:type="dxa"/>
          <w:bottom w:w="0" w:type="dxa"/>
          <w:right w:w="0" w:type="dxa"/>
        </w:tblCellMar>
      </w:tblPr>
      <w:tblGrid>
        <w:gridCol w:w="44"/>
        <w:gridCol w:w="447"/>
        <w:gridCol w:w="9714"/>
      </w:tblGrid>
      <w:tr>
        <w:trPr/>
        <w:tc>
          <w:tcPr>
            <w:tcW w:w="44" w:type="dxa"/>
            <w:tcBorders/>
            <w:shd w:fill="auto" w:val="clear"/>
          </w:tcPr>
          <w:p>
            <w:pPr>
              <w:pStyle w:val="TableContents"/>
              <w:spacing w:before="0" w:after="283"/>
              <w:rPr>
                <w:sz w:val="4"/>
                <w:szCs w:val="4"/>
              </w:rPr>
            </w:pPr>
            <w:r>
              <w:rPr>
                <w:sz w:val="4"/>
                <w:szCs w:val="4"/>
              </w:rPr>
            </w:r>
          </w:p>
        </w:tc>
        <w:tc>
          <w:tcPr>
            <w:tcW w:w="44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71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Insider is not a Director or Senior Officer of the Company;</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326" w:name="hangingindent83"/>
      <w:bookmarkStart w:id="327" w:name="hangingindent83"/>
      <w:bookmarkEnd w:id="327"/>
    </w:p>
    <w:tbl>
      <w:tblPr>
        <w:tblW w:w="5000" w:type="pct"/>
        <w:jc w:val="center"/>
        <w:tblInd w:w="0" w:type="dxa"/>
        <w:tblCellMar>
          <w:top w:w="0" w:type="dxa"/>
          <w:left w:w="0" w:type="dxa"/>
          <w:bottom w:w="0" w:type="dxa"/>
          <w:right w:w="0" w:type="dxa"/>
        </w:tblCellMar>
      </w:tblPr>
      <w:tblGrid>
        <w:gridCol w:w="111"/>
        <w:gridCol w:w="237"/>
        <w:gridCol w:w="9857"/>
      </w:tblGrid>
      <w:tr>
        <w:trPr/>
        <w:tc>
          <w:tcPr>
            <w:tcW w:w="111" w:type="dxa"/>
            <w:tcBorders/>
            <w:shd w:fill="auto" w:val="clear"/>
          </w:tcPr>
          <w:p>
            <w:pPr>
              <w:pStyle w:val="TableContents"/>
              <w:spacing w:before="0" w:after="0"/>
              <w:rPr/>
            </w:pPr>
            <w:r>
              <w:rPr/>
              <w:t xml:space="preserve">  </w:t>
            </w:r>
          </w:p>
        </w:tc>
        <w:tc>
          <w:tcPr>
            <w:tcW w:w="23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85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any Award, together with all of the Company’s other previously established or proposed Awards under the Plan could result at any time in:</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328" w:name="hangingindent84"/>
      <w:bookmarkStart w:id="329" w:name="hangingindent84"/>
      <w:bookmarkEnd w:id="329"/>
    </w:p>
    <w:tbl>
      <w:tblPr>
        <w:tblW w:w="5000" w:type="pct"/>
        <w:jc w:val="center"/>
        <w:tblInd w:w="0" w:type="dxa"/>
        <w:tblCellMar>
          <w:top w:w="0" w:type="dxa"/>
          <w:left w:w="0" w:type="dxa"/>
          <w:bottom w:w="0" w:type="dxa"/>
          <w:right w:w="0" w:type="dxa"/>
        </w:tblCellMar>
      </w:tblPr>
      <w:tblGrid>
        <w:gridCol w:w="108"/>
        <w:gridCol w:w="189"/>
        <w:gridCol w:w="9908"/>
      </w:tblGrid>
      <w:tr>
        <w:trPr/>
        <w:tc>
          <w:tcPr>
            <w:tcW w:w="108" w:type="dxa"/>
            <w:tcBorders/>
            <w:shd w:fill="auto" w:val="clear"/>
          </w:tcPr>
          <w:p>
            <w:pPr>
              <w:pStyle w:val="TableContents"/>
              <w:spacing w:before="0" w:after="0"/>
              <w:rPr/>
            </w:pPr>
            <w:r>
              <w:rPr/>
              <w:t xml:space="preserve">  </w:t>
            </w:r>
          </w:p>
        </w:tc>
        <w:tc>
          <w:tcPr>
            <w:tcW w:w="18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w:t>
            </w:r>
          </w:p>
        </w:tc>
        <w:tc>
          <w:tcPr>
            <w:tcW w:w="990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number of Shares reserved for issuance pursuant to Options granted to Insiders exceeding 50% of the outstanding issue of Common Stock; or</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330" w:name="hangingindent85"/>
      <w:bookmarkStart w:id="331" w:name="hangingindent85"/>
      <w:bookmarkEnd w:id="331"/>
    </w:p>
    <w:tbl>
      <w:tblPr>
        <w:tblW w:w="5000" w:type="pct"/>
        <w:jc w:val="center"/>
        <w:tblInd w:w="0" w:type="dxa"/>
        <w:tblCellMar>
          <w:top w:w="0" w:type="dxa"/>
          <w:left w:w="0" w:type="dxa"/>
          <w:bottom w:w="0" w:type="dxa"/>
          <w:right w:w="0" w:type="dxa"/>
        </w:tblCellMar>
      </w:tblPr>
      <w:tblGrid>
        <w:gridCol w:w="100"/>
        <w:gridCol w:w="241"/>
        <w:gridCol w:w="9864"/>
      </w:tblGrid>
      <w:tr>
        <w:trPr/>
        <w:tc>
          <w:tcPr>
            <w:tcW w:w="100" w:type="dxa"/>
            <w:tcBorders/>
            <w:shd w:fill="auto" w:val="clear"/>
          </w:tcPr>
          <w:p>
            <w:pPr>
              <w:pStyle w:val="TableContents"/>
              <w:spacing w:before="0" w:after="0"/>
              <w:rPr/>
            </w:pPr>
            <w:r>
              <w:rPr/>
              <w:t xml:space="preserve">  </w:t>
            </w:r>
          </w:p>
        </w:tc>
        <w:tc>
          <w:tcPr>
            <w:tcW w:w="24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(ii)</w:t>
            </w:r>
          </w:p>
        </w:tc>
        <w:tc>
          <w:tcPr>
            <w:tcW w:w="986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issuance to Insiders pursuant to the exercise of Options, within a one year period of a number of Shares exceeding 50% of the outstanding issue of the Common Stock;</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provided, however, that this restriction on the eligibility of Insiders to receive an Award shall cease to apply if it is no longer required under any Applicable Laws.</w:t>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332" w:name="TAB12"/>
      <w:bookmarkEnd w:id="332"/>
      <w:r>
        <w:rPr>
          <w:rFonts w:ascii="Times New Roman" w:hAnsi="Times New Roman"/>
          <w:b/>
          <w:sz w:val="20"/>
          <w:u w:val="single"/>
        </w:rPr>
        <w:t>Limitations on Award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3.3                      Unless and until the Administrator determines that an Award to a Grantee is not designed to qualify as Performance-Based Compensation, the following limits (the “</w:t>
      </w:r>
      <w:r>
        <w:rPr>
          <w:rFonts w:ascii="Times New Roman" w:hAnsi="Times New Roman"/>
          <w:b/>
          <w:sz w:val="20"/>
        </w:rPr>
        <w:t>Award Limits</w:t>
      </w:r>
      <w:r>
        <w:rPr>
          <w:rFonts w:ascii="Times New Roman" w:hAnsi="Times New Roman"/>
          <w:sz w:val="20"/>
        </w:rPr>
        <w:t>”) shall apply to grants of Awards to Grantees subject to the Award Limits by Applicable Laws under this Plan:</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333" w:name="hangingindent86"/>
      <w:bookmarkStart w:id="334" w:name="hangingindent86"/>
      <w:bookmarkEnd w:id="334"/>
    </w:p>
    <w:tbl>
      <w:tblPr>
        <w:tblW w:w="5000" w:type="pct"/>
        <w:jc w:val="center"/>
        <w:tblInd w:w="0" w:type="dxa"/>
        <w:tblCellMar>
          <w:top w:w="0" w:type="dxa"/>
          <w:left w:w="0" w:type="dxa"/>
          <w:bottom w:w="0" w:type="dxa"/>
          <w:right w:w="0" w:type="dxa"/>
        </w:tblCellMar>
      </w:tblPr>
      <w:tblGrid>
        <w:gridCol w:w="74"/>
        <w:gridCol w:w="185"/>
        <w:gridCol w:w="9946"/>
      </w:tblGrid>
      <w:tr>
        <w:trPr/>
        <w:tc>
          <w:tcPr>
            <w:tcW w:w="74" w:type="dxa"/>
            <w:tcBorders/>
            <w:shd w:fill="auto" w:val="clear"/>
          </w:tcPr>
          <w:p>
            <w:pPr>
              <w:pStyle w:val="TableContents"/>
              <w:spacing w:before="0" w:after="0"/>
              <w:rPr/>
            </w:pPr>
            <w:r>
              <w:rPr/>
              <w:t xml:space="preserve">  </w:t>
            </w:r>
          </w:p>
        </w:tc>
        <w:tc>
          <w:tcPr>
            <w:tcW w:w="18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46" w:type="dxa"/>
            <w:tcBorders/>
            <w:shd w:fill="auto" w:val="clear"/>
          </w:tcPr>
          <w:p>
            <w:pPr>
              <w:pStyle w:val="TableContents"/>
              <w:spacing w:before="0" w:after="0"/>
              <w:jc w:val="both"/>
              <w:rPr>
                <w:rFonts w:ascii="Times New Roman" w:hAnsi="Times New Roman"/>
                <w:sz w:val="20"/>
              </w:rPr>
            </w:pPr>
            <w:r>
              <w:rPr>
                <w:rFonts w:ascii="Times New Roman" w:hAnsi="Times New Roman"/>
                <w:sz w:val="20"/>
                <w:u w:val="single"/>
              </w:rPr>
              <w:t>Options and SARs</w:t>
            </w:r>
            <w:r>
              <w:rPr>
                <w:rFonts w:ascii="Times New Roman" w:hAnsi="Times New Roman"/>
                <w:sz w:val="20"/>
              </w:rPr>
              <w:t xml:space="preserve">.  Notwithstanding any provision in the Plan to the contrary (but subject to adjustment as provided in Section 18), the maximum number of Shares with respect to one or more Options and/or Stock Appreciation Rights that may be granted during any one calendar year under the Plan to any one Grantee shall be </w:t>
            </w:r>
            <w:r>
              <w:rPr>
                <w:rFonts w:ascii="Times New Roman" w:hAnsi="Times New Roman"/>
                <w:b/>
                <w:sz w:val="20"/>
              </w:rPr>
              <w:t>5,000,000</w:t>
            </w:r>
            <w:r>
              <w:rPr>
                <w:rFonts w:ascii="Times New Roman" w:hAnsi="Times New Roman"/>
                <w:sz w:val="20"/>
              </w:rPr>
              <w:t>; all of which may be granted as Incentive Stock Options); and</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335" w:name="hangingindent87"/>
      <w:bookmarkStart w:id="336" w:name="hangingindent87"/>
      <w:bookmarkEnd w:id="336"/>
    </w:p>
    <w:tbl>
      <w:tblPr>
        <w:tblW w:w="5000" w:type="pct"/>
        <w:jc w:val="center"/>
        <w:tblInd w:w="0" w:type="dxa"/>
        <w:tblCellMar>
          <w:top w:w="0" w:type="dxa"/>
          <w:left w:w="0" w:type="dxa"/>
          <w:bottom w:w="0" w:type="dxa"/>
          <w:right w:w="0" w:type="dxa"/>
        </w:tblCellMar>
      </w:tblPr>
      <w:tblGrid>
        <w:gridCol w:w="76"/>
        <w:gridCol w:w="202"/>
        <w:gridCol w:w="9927"/>
      </w:tblGrid>
      <w:tr>
        <w:trPr/>
        <w:tc>
          <w:tcPr>
            <w:tcW w:w="76" w:type="dxa"/>
            <w:tcBorders/>
            <w:shd w:fill="auto" w:val="clear"/>
          </w:tcPr>
          <w:p>
            <w:pPr>
              <w:pStyle w:val="TableContents"/>
              <w:spacing w:before="0" w:after="0"/>
              <w:rPr/>
            </w:pPr>
            <w:r>
              <w:rPr/>
              <w:t xml:space="preserve">  </w:t>
            </w:r>
          </w:p>
        </w:tc>
        <w:tc>
          <w:tcPr>
            <w:tcW w:w="20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27" w:type="dxa"/>
            <w:tcBorders/>
            <w:shd w:fill="auto" w:val="clear"/>
          </w:tcPr>
          <w:p>
            <w:pPr>
              <w:pStyle w:val="TableContents"/>
              <w:spacing w:before="0" w:after="0"/>
              <w:jc w:val="both"/>
              <w:rPr>
                <w:rFonts w:ascii="Times New Roman" w:hAnsi="Times New Roman"/>
                <w:sz w:val="20"/>
              </w:rPr>
            </w:pPr>
            <w:r>
              <w:rPr>
                <w:rFonts w:ascii="Times New Roman" w:hAnsi="Times New Roman"/>
                <w:sz w:val="20"/>
                <w:u w:val="single"/>
              </w:rPr>
              <w:t>Other Awards</w:t>
            </w:r>
            <w:r>
              <w:rPr>
                <w:rFonts w:ascii="Times New Roman" w:hAnsi="Times New Roman"/>
                <w:sz w:val="20"/>
              </w:rPr>
              <w:t xml:space="preserve">.  The maximum aggregate grant with respect to Awards of Restricted Stock, unrestricted Shares, Restricted Stock Units and Deferred Stock Units (or used to provide a basis of measurement for or to determine the value of Restricted Stock Units and Deferred Stock Units) in any one calendar year to any one Grantee (determined on the date of payment of settlement) shall be </w:t>
            </w:r>
            <w:r>
              <w:rPr>
                <w:rFonts w:ascii="Times New Roman" w:hAnsi="Times New Roman"/>
                <w:b/>
                <w:sz w:val="20"/>
              </w:rPr>
              <w:t>5,000,000</w:t>
            </w:r>
            <w:r>
              <w:rPr>
                <w:rFonts w:ascii="Times New Roman" w:hAnsi="Times New Roman"/>
                <w:sz w:val="20"/>
              </w:rPr>
              <w:t>.</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337" w:name="hangingindent88"/>
      <w:bookmarkStart w:id="338" w:name="hangingindent88"/>
      <w:bookmarkEnd w:id="338"/>
    </w:p>
    <w:tbl>
      <w:tblPr>
        <w:tblW w:w="5000" w:type="pct"/>
        <w:jc w:val="center"/>
        <w:tblInd w:w="0" w:type="dxa"/>
        <w:tblCellMar>
          <w:top w:w="0" w:type="dxa"/>
          <w:left w:w="0" w:type="dxa"/>
          <w:bottom w:w="0" w:type="dxa"/>
          <w:right w:w="0" w:type="dxa"/>
        </w:tblCellMar>
      </w:tblPr>
      <w:tblGrid>
        <w:gridCol w:w="898"/>
        <w:gridCol w:w="9307"/>
      </w:tblGrid>
      <w:tr>
        <w:trPr/>
        <w:tc>
          <w:tcPr>
            <w:tcW w:w="898"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4.</w:t>
            </w:r>
          </w:p>
        </w:tc>
        <w:tc>
          <w:tcPr>
            <w:tcW w:w="9307" w:type="dxa"/>
            <w:tcBorders/>
            <w:shd w:fill="auto" w:val="clear"/>
          </w:tcPr>
          <w:p>
            <w:pPr>
              <w:pStyle w:val="TableContents"/>
              <w:spacing w:before="0" w:after="0"/>
              <w:jc w:val="both"/>
              <w:rPr>
                <w:rFonts w:ascii="Times New Roman" w:hAnsi="Times New Roman"/>
                <w:b/>
                <w:sz w:val="20"/>
                <w:u w:val="single"/>
              </w:rPr>
            </w:pPr>
            <w:r>
              <w:rPr>
                <w:rFonts w:ascii="Times New Roman" w:hAnsi="Times New Roman"/>
                <w:b/>
                <w:sz w:val="20"/>
                <w:u w:val="single"/>
              </w:rPr>
              <w:t>ADMINISTRATION</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339" w:name="TAB13"/>
      <w:bookmarkEnd w:id="339"/>
      <w:r>
        <w:rPr>
          <w:rFonts w:ascii="Times New Roman" w:hAnsi="Times New Roman"/>
          <w:b/>
          <w:sz w:val="20"/>
          <w:u w:val="single"/>
        </w:rPr>
        <w:t>Authority of Plan Administrator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4.1                      Authority to control and manage the operation and administration of this Plan shall be vested in the Administrator.</w:t>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340" w:name="TAB14"/>
      <w:bookmarkEnd w:id="340"/>
      <w:r>
        <w:rPr>
          <w:rFonts w:ascii="Times New Roman" w:hAnsi="Times New Roman"/>
          <w:b/>
          <w:sz w:val="20"/>
          <w:u w:val="single"/>
        </w:rPr>
        <w:t>Powers of the Administrator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4.2                      Subject to Applicable Laws and the provisions of the Plan or subplans hereof (including any other powers given to the Administrator hereunder), and except as otherwise provided by the Board, the Administrator shall have the exclusive power and authority, in its discretion:</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341" w:name="hangingindent89"/>
      <w:bookmarkStart w:id="342" w:name="hangingindent89"/>
      <w:bookmarkEnd w:id="342"/>
    </w:p>
    <w:tbl>
      <w:tblPr>
        <w:tblW w:w="5000" w:type="pct"/>
        <w:jc w:val="center"/>
        <w:tblInd w:w="0" w:type="dxa"/>
        <w:tblCellMar>
          <w:top w:w="0" w:type="dxa"/>
          <w:left w:w="0" w:type="dxa"/>
          <w:bottom w:w="0" w:type="dxa"/>
          <w:right w:w="0" w:type="dxa"/>
        </w:tblCellMar>
      </w:tblPr>
      <w:tblGrid>
        <w:gridCol w:w="111"/>
        <w:gridCol w:w="222"/>
        <w:gridCol w:w="9872"/>
      </w:tblGrid>
      <w:tr>
        <w:trPr/>
        <w:tc>
          <w:tcPr>
            <w:tcW w:w="111" w:type="dxa"/>
            <w:tcBorders/>
            <w:shd w:fill="auto" w:val="clear"/>
          </w:tcPr>
          <w:p>
            <w:pPr>
              <w:pStyle w:val="TableContents"/>
              <w:spacing w:before="0" w:after="0"/>
              <w:rPr/>
            </w:pPr>
            <w:r>
              <w:rPr/>
              <w:t xml:space="preserve">  </w:t>
            </w:r>
          </w:p>
        </w:tc>
        <w:tc>
          <w:tcPr>
            <w:tcW w:w="22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87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to construe and interpret this Plan and any agreements defining the rights and obligations of  the Company and Grantees under this Plan;</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343" w:name="hangingindent90"/>
      <w:bookmarkStart w:id="344" w:name="hangingindent90"/>
      <w:bookmarkEnd w:id="344"/>
    </w:p>
    <w:tbl>
      <w:tblPr>
        <w:tblW w:w="5000" w:type="pct"/>
        <w:jc w:val="center"/>
        <w:tblInd w:w="0" w:type="dxa"/>
        <w:tblCellMar>
          <w:top w:w="0" w:type="dxa"/>
          <w:left w:w="0" w:type="dxa"/>
          <w:bottom w:w="0" w:type="dxa"/>
          <w:right w:w="0" w:type="dxa"/>
        </w:tblCellMar>
      </w:tblPr>
      <w:tblGrid>
        <w:gridCol w:w="150"/>
        <w:gridCol w:w="309"/>
        <w:gridCol w:w="9746"/>
      </w:tblGrid>
      <w:tr>
        <w:trPr/>
        <w:tc>
          <w:tcPr>
            <w:tcW w:w="150" w:type="dxa"/>
            <w:tcBorders/>
            <w:shd w:fill="auto" w:val="clear"/>
          </w:tcPr>
          <w:p>
            <w:pPr>
              <w:pStyle w:val="TableContents"/>
              <w:spacing w:before="0" w:after="0"/>
              <w:rPr/>
            </w:pPr>
            <w:r>
              <w:rPr/>
              <w:t xml:space="preserve">  </w:t>
            </w:r>
          </w:p>
        </w:tc>
        <w:tc>
          <w:tcPr>
            <w:tcW w:w="30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74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to select the Eligible Participants to whom Awards may be granted from time to time hereunder;</w:t>
            </w:r>
          </w:p>
        </w:tc>
      </w:tr>
    </w:tbl>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r>
        <w:rPr>
          <w:rFonts w:ascii="Times New Roman" w:hAnsi="Times New Roman"/>
          <w:sz w:val="20"/>
        </w:rPr>
        <w:t>(c)           to determine whether and to what extent Awards are granted hereunder;</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345" w:name="hangingindent91"/>
      <w:bookmarkStart w:id="346" w:name="hangingindent91"/>
      <w:bookmarkEnd w:id="346"/>
    </w:p>
    <w:tbl>
      <w:tblPr>
        <w:tblW w:w="5000" w:type="pct"/>
        <w:jc w:val="center"/>
        <w:tblInd w:w="0" w:type="dxa"/>
        <w:tblCellMar>
          <w:top w:w="0" w:type="dxa"/>
          <w:left w:w="0" w:type="dxa"/>
          <w:bottom w:w="0" w:type="dxa"/>
          <w:right w:w="0" w:type="dxa"/>
        </w:tblCellMar>
      </w:tblPr>
      <w:tblGrid>
        <w:gridCol w:w="121"/>
        <w:gridCol w:w="247"/>
        <w:gridCol w:w="9837"/>
      </w:tblGrid>
      <w:tr>
        <w:trPr/>
        <w:tc>
          <w:tcPr>
            <w:tcW w:w="121" w:type="dxa"/>
            <w:tcBorders/>
            <w:shd w:fill="auto" w:val="clear"/>
          </w:tcPr>
          <w:p>
            <w:pPr>
              <w:pStyle w:val="TableContents"/>
              <w:spacing w:before="0" w:after="0"/>
              <w:rPr/>
            </w:pPr>
            <w:r>
              <w:rPr/>
              <w:t xml:space="preserve">  </w:t>
            </w:r>
          </w:p>
        </w:tc>
        <w:tc>
          <w:tcPr>
            <w:tcW w:w="24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983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to determine the number of Shares or the amount of other consideration to be covered by each Award granted hereunder;</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347" w:name="hangingindent92"/>
      <w:bookmarkStart w:id="348" w:name="hangingindent92"/>
      <w:bookmarkEnd w:id="348"/>
    </w:p>
    <w:tbl>
      <w:tblPr>
        <w:tblW w:w="5000" w:type="pct"/>
        <w:jc w:val="center"/>
        <w:tblInd w:w="0" w:type="dxa"/>
        <w:tblCellMar>
          <w:top w:w="0" w:type="dxa"/>
          <w:left w:w="0" w:type="dxa"/>
          <w:bottom w:w="0" w:type="dxa"/>
          <w:right w:w="0" w:type="dxa"/>
        </w:tblCellMar>
      </w:tblPr>
      <w:tblGrid>
        <w:gridCol w:w="134"/>
        <w:gridCol w:w="259"/>
        <w:gridCol w:w="9812"/>
      </w:tblGrid>
      <w:tr>
        <w:trPr/>
        <w:tc>
          <w:tcPr>
            <w:tcW w:w="134" w:type="dxa"/>
            <w:tcBorders/>
            <w:shd w:fill="auto" w:val="clear"/>
          </w:tcPr>
          <w:p>
            <w:pPr>
              <w:pStyle w:val="TableContents"/>
              <w:spacing w:before="0" w:after="0"/>
              <w:rPr/>
            </w:pPr>
            <w:r>
              <w:rPr/>
              <w:t xml:space="preserve">  </w:t>
            </w:r>
          </w:p>
        </w:tc>
        <w:tc>
          <w:tcPr>
            <w:tcW w:w="25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(e)</w:t>
            </w:r>
          </w:p>
        </w:tc>
        <w:tc>
          <w:tcPr>
            <w:tcW w:w="981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to approve forms of Award Agreements for use under the Plan, which need not be identical for each Grantee;</w:t>
            </w:r>
          </w:p>
        </w:tc>
      </w:tr>
    </w:tbl>
    <w:p>
      <w:pPr>
        <w:pStyle w:val="TextBody"/>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jc w:val="left"/>
        <w:rPr/>
      </w:pPr>
      <w:r>
        <w:rPr/>
      </w:r>
      <w:bookmarkStart w:id="349" w:name="PGBRK17"/>
      <w:bookmarkStart w:id="350" w:name="PGBRK17"/>
      <w:bookmarkEnd w:id="3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r>
      <w:bookmarkStart w:id="351" w:name="FTR17"/>
      <w:bookmarkStart w:id="352" w:name="FTR17"/>
      <w:bookmarkEnd w:id="3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353" w:name="GLFTR17"/>
      <w:bookmarkEnd w:id="3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54" w:name="PN17"/>
      <w:bookmarkEnd w:id="354"/>
      <w:r>
        <w:rPr>
          <w:rFonts w:ascii="Times New Roman" w:hAnsi="Times New Roman"/>
          <w:sz w:val="20"/>
        </w:rPr>
        <w:t>B-8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r>
      <w:bookmarkStart w:id="355" w:name="HDR17"/>
      <w:bookmarkStart w:id="356" w:name="HDR17"/>
      <w:bookmarkEnd w:id="3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357" w:name="GLHDR17"/>
      <w:bookmarkEnd w:id="3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358" w:name="hangingindent93"/>
      <w:bookmarkStart w:id="359" w:name="hangingindent93"/>
      <w:bookmarkEnd w:id="359"/>
    </w:p>
    <w:tbl>
      <w:tblPr>
        <w:tblW w:w="5000" w:type="pct"/>
        <w:jc w:val="center"/>
        <w:tblInd w:w="0" w:type="dxa"/>
        <w:tblCellMar>
          <w:top w:w="0" w:type="dxa"/>
          <w:left w:w="0" w:type="dxa"/>
          <w:bottom w:w="0" w:type="dxa"/>
          <w:right w:w="0" w:type="dxa"/>
        </w:tblCellMar>
      </w:tblPr>
      <w:tblGrid>
        <w:gridCol w:w="69"/>
        <w:gridCol w:w="150"/>
        <w:gridCol w:w="9986"/>
      </w:tblGrid>
      <w:tr>
        <w:trPr/>
        <w:tc>
          <w:tcPr>
            <w:tcW w:w="69" w:type="dxa"/>
            <w:tcBorders/>
            <w:shd w:fill="auto" w:val="clear"/>
          </w:tcPr>
          <w:p>
            <w:pPr>
              <w:pStyle w:val="TableContents"/>
              <w:spacing w:before="0" w:after="0"/>
              <w:rPr/>
            </w:pPr>
            <w:r>
              <w:rPr/>
              <w:t xml:space="preserve">  </w:t>
            </w:r>
          </w:p>
        </w:tc>
        <w:tc>
          <w:tcPr>
            <w:tcW w:w="15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(f)</w:t>
            </w:r>
          </w:p>
        </w:tc>
        <w:tc>
          <w:tcPr>
            <w:tcW w:w="998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to determine the terms and conditions of any Award granted under the Plan, including, but not limited to, the exercise price, grant price or purchase price based on the Fair Market Value of the same, any restrictions or limitations on the Award, any schedule for lapse of forfeiture restrictions or restrictions on the exercisability of the Award, and acceleration or waivers thereof, based in each case on such considerations as the Committee in its sole discretion determines that is not inconsistent with any rule or regulation under any tax or securities laws or includes an alternative right that does not disqualify an Incentive Stock Option under applicable regulations;</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360" w:name="hangingindent94"/>
      <w:bookmarkStart w:id="361" w:name="hangingindent94"/>
      <w:bookmarkEnd w:id="361"/>
    </w:p>
    <w:tbl>
      <w:tblPr>
        <w:tblW w:w="5000" w:type="pct"/>
        <w:jc w:val="center"/>
        <w:tblInd w:w="0" w:type="dxa"/>
        <w:tblCellMar>
          <w:top w:w="0" w:type="dxa"/>
          <w:left w:w="0" w:type="dxa"/>
          <w:bottom w:w="0" w:type="dxa"/>
          <w:right w:w="0" w:type="dxa"/>
        </w:tblCellMar>
      </w:tblPr>
      <w:tblGrid>
        <w:gridCol w:w="84"/>
        <w:gridCol w:w="210"/>
        <w:gridCol w:w="9911"/>
      </w:tblGrid>
      <w:tr>
        <w:trPr/>
        <w:tc>
          <w:tcPr>
            <w:tcW w:w="84" w:type="dxa"/>
            <w:tcBorders/>
            <w:shd w:fill="auto" w:val="clear"/>
          </w:tcPr>
          <w:p>
            <w:pPr>
              <w:pStyle w:val="TableContents"/>
              <w:spacing w:before="0" w:after="0"/>
              <w:rPr/>
            </w:pPr>
            <w:r>
              <w:rPr/>
              <w:t xml:space="preserve">  </w:t>
            </w:r>
          </w:p>
        </w:tc>
        <w:tc>
          <w:tcPr>
            <w:tcW w:w="21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(g)</w:t>
            </w:r>
          </w:p>
        </w:tc>
        <w:tc>
          <w:tcPr>
            <w:tcW w:w="991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to amend the terms of any outstanding Award granted under the Plan, provided that any amendment that would adversely affect the Grantee’s rights under an existing Award shall not be made without the Grantee’s consent unless as a result of a change in Applicable Law;</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362" w:name="hangingindent95"/>
      <w:bookmarkStart w:id="363" w:name="hangingindent95"/>
      <w:bookmarkEnd w:id="363"/>
    </w:p>
    <w:tbl>
      <w:tblPr>
        <w:tblW w:w="5000" w:type="pct"/>
        <w:jc w:val="center"/>
        <w:tblInd w:w="0" w:type="dxa"/>
        <w:tblCellMar>
          <w:top w:w="0" w:type="dxa"/>
          <w:left w:w="0" w:type="dxa"/>
          <w:bottom w:w="0" w:type="dxa"/>
          <w:right w:w="0" w:type="dxa"/>
        </w:tblCellMar>
      </w:tblPr>
      <w:tblGrid>
        <w:gridCol w:w="106"/>
        <w:gridCol w:w="232"/>
        <w:gridCol w:w="9867"/>
      </w:tblGrid>
      <w:tr>
        <w:trPr/>
        <w:tc>
          <w:tcPr>
            <w:tcW w:w="106" w:type="dxa"/>
            <w:tcBorders/>
            <w:shd w:fill="auto" w:val="clear"/>
          </w:tcPr>
          <w:p>
            <w:pPr>
              <w:pStyle w:val="TableContents"/>
              <w:spacing w:before="0" w:after="0"/>
              <w:rPr/>
            </w:pPr>
            <w:r>
              <w:rPr/>
              <w:t xml:space="preserve">  </w:t>
            </w:r>
          </w:p>
        </w:tc>
        <w:tc>
          <w:tcPr>
            <w:tcW w:w="23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(h)</w:t>
            </w:r>
          </w:p>
        </w:tc>
        <w:tc>
          <w:tcPr>
            <w:tcW w:w="986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to suspend the right of a holder to exercise all or part of an Award for any reason that the Administrator considers in the best interest of the Company;</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364" w:name="hangingindent96"/>
      <w:bookmarkStart w:id="365" w:name="hangingindent96"/>
      <w:bookmarkEnd w:id="365"/>
    </w:p>
    <w:tbl>
      <w:tblPr>
        <w:tblW w:w="5000" w:type="pct"/>
        <w:jc w:val="center"/>
        <w:tblInd w:w="0" w:type="dxa"/>
        <w:tblCellMar>
          <w:top w:w="0" w:type="dxa"/>
          <w:left w:w="0" w:type="dxa"/>
          <w:bottom w:w="0" w:type="dxa"/>
          <w:right w:w="0" w:type="dxa"/>
        </w:tblCellMar>
      </w:tblPr>
      <w:tblGrid>
        <w:gridCol w:w="79"/>
        <w:gridCol w:w="160"/>
        <w:gridCol w:w="9966"/>
      </w:tblGrid>
      <w:tr>
        <w:trPr/>
        <w:tc>
          <w:tcPr>
            <w:tcW w:w="79" w:type="dxa"/>
            <w:tcBorders/>
            <w:shd w:fill="auto" w:val="clear"/>
          </w:tcPr>
          <w:p>
            <w:pPr>
              <w:pStyle w:val="TableContents"/>
              <w:spacing w:before="0" w:after="0"/>
              <w:rPr/>
            </w:pPr>
            <w:r>
              <w:rPr/>
              <w:t xml:space="preserve">  </w:t>
            </w:r>
          </w:p>
        </w:tc>
        <w:tc>
          <w:tcPr>
            <w:tcW w:w="16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w:t>
            </w:r>
          </w:p>
        </w:tc>
        <w:tc>
          <w:tcPr>
            <w:tcW w:w="996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subject to regulatory approval, amend or suspend the Plan, or revoke or alter any action taken in connection therewith, except that no general amendment or suspension of the Plan, shall, without the written consent of all Grantees, alter or impair any Award granted under the Plan unless as a result of a change in the Applicable Law;</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366" w:name="hangingindent97"/>
      <w:bookmarkStart w:id="367" w:name="hangingindent97"/>
      <w:bookmarkEnd w:id="367"/>
    </w:p>
    <w:tbl>
      <w:tblPr>
        <w:tblW w:w="5000" w:type="pct"/>
        <w:jc w:val="center"/>
        <w:tblInd w:w="0" w:type="dxa"/>
        <w:tblCellMar>
          <w:top w:w="0" w:type="dxa"/>
          <w:left w:w="0" w:type="dxa"/>
          <w:bottom w:w="0" w:type="dxa"/>
          <w:right w:w="0" w:type="dxa"/>
        </w:tblCellMar>
      </w:tblPr>
      <w:tblGrid>
        <w:gridCol w:w="76"/>
        <w:gridCol w:w="157"/>
        <w:gridCol w:w="9972"/>
      </w:tblGrid>
      <w:tr>
        <w:trPr/>
        <w:tc>
          <w:tcPr>
            <w:tcW w:w="76" w:type="dxa"/>
            <w:tcBorders/>
            <w:shd w:fill="auto" w:val="clear"/>
          </w:tcPr>
          <w:p>
            <w:pPr>
              <w:pStyle w:val="TableContents"/>
              <w:spacing w:before="0" w:after="0"/>
              <w:rPr/>
            </w:pPr>
            <w:r>
              <w:rPr/>
              <w:t xml:space="preserve">  </w:t>
            </w:r>
          </w:p>
        </w:tc>
        <w:tc>
          <w:tcPr>
            <w:tcW w:w="15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(j)</w:t>
            </w:r>
          </w:p>
        </w:tc>
        <w:tc>
          <w:tcPr>
            <w:tcW w:w="997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to establish additional terms, conditions, rules or procedures to accommodate the rules or laws of applicable foreign jurisdictions and to afford Grantees favorable treatment under such laws; provided, however, that no Award shall be granted under any such additional terms, conditions, rules or procedures with terms or conditions which are inconsistent with the provisions of the Plan;</w:t>
            </w:r>
          </w:p>
        </w:tc>
      </w:tr>
    </w:tbl>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r>
        <w:rPr>
          <w:rFonts w:ascii="Times New Roman" w:hAnsi="Times New Roman"/>
          <w:sz w:val="20"/>
        </w:rPr>
        <w:t>(k)           to further define the terms used in this Plan;</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368" w:name="hangingindent98"/>
      <w:bookmarkStart w:id="369" w:name="hangingindent98"/>
      <w:bookmarkEnd w:id="369"/>
    </w:p>
    <w:tbl>
      <w:tblPr>
        <w:tblW w:w="5000" w:type="pct"/>
        <w:jc w:val="center"/>
        <w:tblInd w:w="0" w:type="dxa"/>
        <w:tblCellMar>
          <w:top w:w="0" w:type="dxa"/>
          <w:left w:w="0" w:type="dxa"/>
          <w:bottom w:w="0" w:type="dxa"/>
          <w:right w:w="0" w:type="dxa"/>
        </w:tblCellMar>
      </w:tblPr>
      <w:tblGrid>
        <w:gridCol w:w="125"/>
        <w:gridCol w:w="210"/>
        <w:gridCol w:w="9870"/>
      </w:tblGrid>
      <w:tr>
        <w:trPr/>
        <w:tc>
          <w:tcPr>
            <w:tcW w:w="125" w:type="dxa"/>
            <w:tcBorders/>
            <w:shd w:fill="auto" w:val="clear"/>
          </w:tcPr>
          <w:p>
            <w:pPr>
              <w:pStyle w:val="TableContents"/>
              <w:spacing w:before="0" w:after="0"/>
              <w:rPr/>
            </w:pPr>
            <w:r>
              <w:rPr/>
              <w:t xml:space="preserve">  </w:t>
            </w:r>
          </w:p>
        </w:tc>
        <w:tc>
          <w:tcPr>
            <w:tcW w:w="21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(l)</w:t>
            </w:r>
          </w:p>
        </w:tc>
        <w:tc>
          <w:tcPr>
            <w:tcW w:w="987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to correct any defect or supply any omission or reconcile any inconsistency in this Plan or in any Award Agreement;</w:t>
            </w:r>
          </w:p>
        </w:tc>
      </w:tr>
    </w:tbl>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r>
        <w:rPr>
          <w:rFonts w:ascii="Times New Roman" w:hAnsi="Times New Roman"/>
          <w:sz w:val="20"/>
        </w:rPr>
        <w:t>(m)           to provide for rights of refusal and/or repurchase rights;</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370" w:name="hangingindent99"/>
      <w:bookmarkStart w:id="371" w:name="hangingindent99"/>
      <w:bookmarkEnd w:id="371"/>
    </w:p>
    <w:tbl>
      <w:tblPr>
        <w:tblW w:w="5000" w:type="pct"/>
        <w:jc w:val="center"/>
        <w:tblInd w:w="0" w:type="dxa"/>
        <w:tblCellMar>
          <w:top w:w="0" w:type="dxa"/>
          <w:left w:w="0" w:type="dxa"/>
          <w:bottom w:w="0" w:type="dxa"/>
          <w:right w:w="0" w:type="dxa"/>
        </w:tblCellMar>
      </w:tblPr>
      <w:tblGrid>
        <w:gridCol w:w="78"/>
        <w:gridCol w:w="204"/>
        <w:gridCol w:w="9923"/>
      </w:tblGrid>
      <w:tr>
        <w:trPr/>
        <w:tc>
          <w:tcPr>
            <w:tcW w:w="78" w:type="dxa"/>
            <w:tcBorders/>
            <w:shd w:fill="auto" w:val="clear"/>
          </w:tcPr>
          <w:p>
            <w:pPr>
              <w:pStyle w:val="TableContents"/>
              <w:spacing w:before="0" w:after="0"/>
              <w:rPr/>
            </w:pPr>
            <w:r>
              <w:rPr/>
              <w:t xml:space="preserve">  </w:t>
            </w:r>
          </w:p>
        </w:tc>
        <w:tc>
          <w:tcPr>
            <w:tcW w:w="20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(n)</w:t>
            </w:r>
          </w:p>
        </w:tc>
        <w:tc>
          <w:tcPr>
            <w:tcW w:w="992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to amend outstanding Award Agreements to provide for, among other things, any change or modification which the Administrator could have provided for upon the grant of an Award or in furtherance of the powers provided for herein that does not disqualify an Incentive Stock Option under applicable regulations unless the Grantee so consents;</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372" w:name="hangingindent100"/>
      <w:bookmarkStart w:id="373" w:name="hangingindent100"/>
      <w:bookmarkEnd w:id="373"/>
    </w:p>
    <w:tbl>
      <w:tblPr>
        <w:tblW w:w="5000" w:type="pct"/>
        <w:jc w:val="center"/>
        <w:tblInd w:w="0" w:type="dxa"/>
        <w:tblCellMar>
          <w:top w:w="0" w:type="dxa"/>
          <w:left w:w="0" w:type="dxa"/>
          <w:bottom w:w="0" w:type="dxa"/>
          <w:right w:w="0" w:type="dxa"/>
        </w:tblCellMar>
      </w:tblPr>
      <w:tblGrid>
        <w:gridCol w:w="144"/>
        <w:gridCol w:w="296"/>
        <w:gridCol w:w="9765"/>
      </w:tblGrid>
      <w:tr>
        <w:trPr/>
        <w:tc>
          <w:tcPr>
            <w:tcW w:w="144" w:type="dxa"/>
            <w:tcBorders/>
            <w:shd w:fill="auto" w:val="clear"/>
          </w:tcPr>
          <w:p>
            <w:pPr>
              <w:pStyle w:val="TableContents"/>
              <w:spacing w:before="0" w:after="0"/>
              <w:rPr/>
            </w:pPr>
            <w:r>
              <w:rPr/>
              <w:t xml:space="preserve">  </w:t>
            </w:r>
          </w:p>
        </w:tc>
        <w:tc>
          <w:tcPr>
            <w:tcW w:w="29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(o)</w:t>
            </w:r>
          </w:p>
        </w:tc>
        <w:tc>
          <w:tcPr>
            <w:tcW w:w="976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to prescribe, amend and rescind rules and regulations relating to the administration of this Plan; and</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374" w:name="hangingindent101"/>
      <w:bookmarkStart w:id="375" w:name="hangingindent101"/>
      <w:bookmarkEnd w:id="375"/>
    </w:p>
    <w:tbl>
      <w:tblPr>
        <w:tblW w:w="5000" w:type="pct"/>
        <w:jc w:val="center"/>
        <w:tblInd w:w="0" w:type="dxa"/>
        <w:tblCellMar>
          <w:top w:w="0" w:type="dxa"/>
          <w:left w:w="0" w:type="dxa"/>
          <w:bottom w:w="0" w:type="dxa"/>
          <w:right w:w="0" w:type="dxa"/>
        </w:tblCellMar>
      </w:tblPr>
      <w:tblGrid>
        <w:gridCol w:w="133"/>
        <w:gridCol w:w="272"/>
        <w:gridCol w:w="9800"/>
      </w:tblGrid>
      <w:tr>
        <w:trPr/>
        <w:tc>
          <w:tcPr>
            <w:tcW w:w="133" w:type="dxa"/>
            <w:tcBorders/>
            <w:shd w:fill="auto" w:val="clear"/>
          </w:tcPr>
          <w:p>
            <w:pPr>
              <w:pStyle w:val="TableContents"/>
              <w:spacing w:before="0" w:after="0"/>
              <w:rPr/>
            </w:pPr>
            <w:r>
              <w:rPr/>
              <w:t xml:space="preserve">  </w:t>
            </w:r>
          </w:p>
        </w:tc>
        <w:tc>
          <w:tcPr>
            <w:tcW w:w="27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(p)</w:t>
            </w:r>
          </w:p>
        </w:tc>
        <w:tc>
          <w:tcPr>
            <w:tcW w:w="980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to take such other action, not inconsistent with the terms of the Plan, as the Administrator deems appropriate.</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376" w:name="TAB15"/>
      <w:bookmarkEnd w:id="376"/>
      <w:r>
        <w:rPr>
          <w:rFonts w:ascii="Times New Roman" w:hAnsi="Times New Roman"/>
          <w:b/>
          <w:sz w:val="20"/>
          <w:u w:val="single"/>
        </w:rPr>
        <w:t>Effect of Administrator’s Decision</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sz w:val="20"/>
        </w:rPr>
        <w:t xml:space="preserve">4.3                      All decisions, determinations and interpretations of the Administrator shall be conclusive and binding on all persons.  The Administrator shall not be liable for any decision, action or omission respecting this Plan, or any Awards granted or Shares sold under this Plan.  In the event an Award is granted in a manner inconsistent with the provisions of this Section </w:t>
      </w:r>
      <w:hyperlink w:anchor="_Ref130622554">
        <w:r>
          <w:rPr>
            <w:rStyle w:val="InternetLink"/>
            <w:rFonts w:ascii="Times New Roman" w:hAnsi="Times New Roman"/>
            <w:sz w:val="20"/>
          </w:rPr>
          <w:t>4</w:t>
        </w:r>
      </w:hyperlink>
      <w:r>
        <w:rPr>
          <w:rFonts w:ascii="Times New Roman" w:hAnsi="Times New Roman"/>
          <w:sz w:val="20"/>
        </w:rPr>
        <w:t>, such Award shall be presumptively valid as of its grant date to the extent permitted by the Applicable Laws.</w:t>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377" w:name="TAB16"/>
      <w:bookmarkEnd w:id="377"/>
      <w:r>
        <w:rPr>
          <w:rFonts w:ascii="Times New Roman" w:hAnsi="Times New Roman"/>
          <w:b/>
          <w:sz w:val="20"/>
          <w:u w:val="single"/>
        </w:rPr>
        <w:t>Action by Committee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4.4                      Except as otherwise provided by committee charter or other similar corporate governance documents, for purposes of administering the Plan, the following rules of procedure shall govern the Committee.  A majority of the Committee shall constitute a quorum. The acts of a majority of the members present at any meeting at which a quorum is present, and acts approved unanimously in writing by the members of the Committee in lieu of</w:t>
      </w:r>
    </w:p>
    <w:p>
      <w:pPr>
        <w:pStyle w:val="TextBody"/>
        <w:spacing w:before="0" w:after="0"/>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378" w:name="PGBRK18"/>
      <w:bookmarkStart w:id="379" w:name="PGBRK18"/>
      <w:bookmarkEnd w:id="3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380" w:name="FTR18"/>
      <w:bookmarkStart w:id="381" w:name="FTR18"/>
      <w:bookmarkEnd w:id="3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82" w:name="GLFTR18"/>
      <w:bookmarkEnd w:id="3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83" w:name="PN18"/>
      <w:bookmarkEnd w:id="383"/>
      <w:r>
        <w:rPr>
          <w:rFonts w:ascii="Times New Roman" w:hAnsi="Times New Roman"/>
          <w:sz w:val="20"/>
        </w:rPr>
        <w:t>B-9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384" w:name="HDR18"/>
      <w:bookmarkStart w:id="385" w:name="HDR18"/>
      <w:bookmarkEnd w:id="3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86" w:name="GLHDR18"/>
      <w:bookmarkEnd w:id="3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 meeting, shall be deemed the acts of the Committee.  Each member of the Committee is entitled to, in good faith, rely or act upon any report or other information furnished to that member by any officer or other employee of the Company or any Parent or Affiliate, the Company’s independent certified public accountants, or any executive compensation consultant or other professional retained by the Company to assist in the administration of the Plan.</w:t>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387" w:name="TAB17"/>
      <w:bookmarkEnd w:id="387"/>
      <w:r>
        <w:rPr>
          <w:rFonts w:ascii="Times New Roman" w:hAnsi="Times New Roman"/>
          <w:b/>
          <w:sz w:val="20"/>
          <w:u w:val="single"/>
        </w:rPr>
        <w:t>Limitation on Liability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4.5                      To the extent permitted by applicable law in effect from time to time, no member of the Administrator shall be liable for any action or omission of any other member of the Administrator nor for any act or omission on the member’s own part, excepting only the member’s own wilful misconduct or gross negligence, arising out of or related to this Plan.  The Company shall pay expenses incurred by, and satisfy a judgment or fine rendered or levied against, a present or former member of the Administrator in any action against such person (whether or not the Company is joined as a party defendant) to impose liability or a penalty on such person for an act alleged to have been committed by such person while a member of the Administrator arising with respect to this Plan or administration thereof or out of membership on the Administrator or by the Company, or all or any combination of the preceding, provided, the member was acting in good faith, within what such member reasonably believed to have been within the scope of his or her employment or authority and for a purpose which he or she reasonably believed to be in the best interests of the Company or its stockholders.  Payments authorized hereunder include amounts paid and expenses incurred in settling any such action or threatened action.  The provisions of this Section 4.5 shall apply to the estate, executor, administrator, heirs, legatees or devisees of a member of the Administrator, and the term “</w:t>
      </w:r>
      <w:r>
        <w:rPr>
          <w:rFonts w:ascii="Times New Roman" w:hAnsi="Times New Roman"/>
          <w:b/>
          <w:sz w:val="20"/>
        </w:rPr>
        <w:t>person</w:t>
      </w:r>
      <w:r>
        <w:rPr>
          <w:rFonts w:ascii="Times New Roman" w:hAnsi="Times New Roman"/>
          <w:sz w:val="20"/>
        </w:rPr>
        <w:t>” as used on this Section 4.5 shall include the estate, executor, administrator, heirs, legatees, or devisees of such person.</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388" w:name="hangingindent102"/>
      <w:bookmarkStart w:id="389" w:name="hangingindent102"/>
      <w:bookmarkEnd w:id="389"/>
    </w:p>
    <w:tbl>
      <w:tblPr>
        <w:tblW w:w="5000" w:type="pct"/>
        <w:jc w:val="center"/>
        <w:tblInd w:w="0" w:type="dxa"/>
        <w:tblCellMar>
          <w:top w:w="0" w:type="dxa"/>
          <w:left w:w="0" w:type="dxa"/>
          <w:bottom w:w="0" w:type="dxa"/>
          <w:right w:w="0" w:type="dxa"/>
        </w:tblCellMar>
      </w:tblPr>
      <w:tblGrid>
        <w:gridCol w:w="1196"/>
        <w:gridCol w:w="9009"/>
      </w:tblGrid>
      <w:tr>
        <w:trPr/>
        <w:tc>
          <w:tcPr>
            <w:tcW w:w="1196"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5.</w:t>
            </w:r>
          </w:p>
        </w:tc>
        <w:tc>
          <w:tcPr>
            <w:tcW w:w="9009" w:type="dxa"/>
            <w:tcBorders/>
            <w:shd w:fill="auto" w:val="clear"/>
          </w:tcPr>
          <w:p>
            <w:pPr>
              <w:pStyle w:val="TableContents"/>
              <w:spacing w:before="0" w:after="0"/>
              <w:jc w:val="both"/>
              <w:rPr>
                <w:rFonts w:ascii="Times New Roman" w:hAnsi="Times New Roman"/>
                <w:b/>
                <w:sz w:val="20"/>
                <w:u w:val="single"/>
              </w:rPr>
            </w:pPr>
            <w:r>
              <w:rPr>
                <w:rFonts w:ascii="Times New Roman" w:hAnsi="Times New Roman"/>
                <w:b/>
                <w:sz w:val="20"/>
                <w:u w:val="single"/>
              </w:rPr>
              <w:t>ELIGIBILITY</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bookmarkStart w:id="390" w:name="TAB18"/>
      <w:bookmarkEnd w:id="390"/>
      <w:r>
        <w:rPr>
          <w:rFonts w:ascii="Times New Roman" w:hAnsi="Times New Roman"/>
          <w:sz w:val="20"/>
        </w:rPr>
        <w:t>Except as otherwise provided, all types of Awards may be granted to Eligible Participants. An Eligible Participant who has been granted an Award may be, if he or she continues to be eligible, granted additional Awards.</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391" w:name="hangingindent103"/>
      <w:bookmarkStart w:id="392" w:name="hangingindent103"/>
      <w:bookmarkEnd w:id="392"/>
    </w:p>
    <w:tbl>
      <w:tblPr>
        <w:tblW w:w="5000" w:type="pct"/>
        <w:jc w:val="center"/>
        <w:tblInd w:w="0" w:type="dxa"/>
        <w:tblCellMar>
          <w:top w:w="0" w:type="dxa"/>
          <w:left w:w="0" w:type="dxa"/>
          <w:bottom w:w="0" w:type="dxa"/>
          <w:right w:w="0" w:type="dxa"/>
        </w:tblCellMar>
      </w:tblPr>
      <w:tblGrid>
        <w:gridCol w:w="1684"/>
        <w:gridCol w:w="8521"/>
      </w:tblGrid>
      <w:tr>
        <w:trPr/>
        <w:tc>
          <w:tcPr>
            <w:tcW w:w="1684"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6.</w:t>
            </w:r>
          </w:p>
        </w:tc>
        <w:tc>
          <w:tcPr>
            <w:tcW w:w="8521" w:type="dxa"/>
            <w:tcBorders/>
            <w:shd w:fill="auto" w:val="clear"/>
          </w:tcPr>
          <w:p>
            <w:pPr>
              <w:pStyle w:val="TableContents"/>
              <w:spacing w:before="0" w:after="0"/>
              <w:jc w:val="both"/>
              <w:rPr>
                <w:rFonts w:ascii="Times New Roman" w:hAnsi="Times New Roman"/>
                <w:b/>
                <w:sz w:val="20"/>
                <w:u w:val="single"/>
              </w:rPr>
            </w:pPr>
            <w:r>
              <w:rPr>
                <w:rFonts w:ascii="Times New Roman" w:hAnsi="Times New Roman"/>
                <w:b/>
                <w:sz w:val="20"/>
                <w:u w:val="single"/>
              </w:rPr>
              <w:t>AWARDS</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393" w:name="TAB19"/>
      <w:bookmarkEnd w:id="393"/>
      <w:r>
        <w:rPr>
          <w:rFonts w:ascii="Times New Roman" w:hAnsi="Times New Roman"/>
          <w:b/>
          <w:sz w:val="20"/>
          <w:u w:val="single"/>
        </w:rPr>
        <w:t>Type of Awards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6.1                      The Administrator is authorized to award any type of arrangement to an Eligible Participant that is not inconsistent with the provisions of the Plan and that by its terms involves or might involve the issuance of:</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r>
        <w:rPr>
          <w:rFonts w:ascii="Times New Roman" w:hAnsi="Times New Roman"/>
          <w:sz w:val="20"/>
        </w:rPr>
        <w:t>(a)           Shares, including unrestricted Shares;</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r>
        <w:rPr>
          <w:rFonts w:ascii="Times New Roman" w:hAnsi="Times New Roman"/>
          <w:sz w:val="20"/>
        </w:rPr>
        <w:t>(b)           Options;</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394" w:name="hangingindent104"/>
      <w:bookmarkStart w:id="395" w:name="hangingindent104"/>
      <w:bookmarkEnd w:id="395"/>
    </w:p>
    <w:tbl>
      <w:tblPr>
        <w:tblW w:w="5000" w:type="pct"/>
        <w:jc w:val="center"/>
        <w:tblInd w:w="0" w:type="dxa"/>
        <w:tblCellMar>
          <w:top w:w="0" w:type="dxa"/>
          <w:left w:w="0" w:type="dxa"/>
          <w:bottom w:w="0" w:type="dxa"/>
          <w:right w:w="0" w:type="dxa"/>
        </w:tblCellMar>
      </w:tblPr>
      <w:tblGrid>
        <w:gridCol w:w="84"/>
        <w:gridCol w:w="195"/>
        <w:gridCol w:w="9926"/>
      </w:tblGrid>
      <w:tr>
        <w:trPr/>
        <w:tc>
          <w:tcPr>
            <w:tcW w:w="84" w:type="dxa"/>
            <w:tcBorders/>
            <w:shd w:fill="auto" w:val="clear"/>
          </w:tcPr>
          <w:p>
            <w:pPr>
              <w:pStyle w:val="TableContents"/>
              <w:spacing w:before="0" w:after="0"/>
              <w:rPr/>
            </w:pPr>
            <w:r>
              <w:rPr/>
              <w:t xml:space="preserve">  </w:t>
            </w:r>
          </w:p>
        </w:tc>
        <w:tc>
          <w:tcPr>
            <w:tcW w:w="19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92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SARs or similar rights with a fixed or variable price related to the Fair Market Value of the Shares and with an exercise or conversion privilege related to the passage of time, the occurrence of one or more events, or the satisfaction of performance criteria or other conditions;</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396" w:name="hangingindent105"/>
      <w:bookmarkStart w:id="397" w:name="hangingindent105"/>
      <w:bookmarkEnd w:id="397"/>
    </w:p>
    <w:tbl>
      <w:tblPr>
        <w:tblW w:w="5000" w:type="pct"/>
        <w:jc w:val="center"/>
        <w:tblInd w:w="0" w:type="dxa"/>
        <w:tblCellMar>
          <w:top w:w="0" w:type="dxa"/>
          <w:left w:w="0" w:type="dxa"/>
          <w:bottom w:w="0" w:type="dxa"/>
          <w:right w:w="0" w:type="dxa"/>
        </w:tblCellMar>
      </w:tblPr>
      <w:tblGrid>
        <w:gridCol w:w="118"/>
        <w:gridCol w:w="244"/>
        <w:gridCol w:w="9843"/>
      </w:tblGrid>
      <w:tr>
        <w:trPr/>
        <w:tc>
          <w:tcPr>
            <w:tcW w:w="118" w:type="dxa"/>
            <w:tcBorders/>
            <w:shd w:fill="auto" w:val="clear"/>
          </w:tcPr>
          <w:p>
            <w:pPr>
              <w:pStyle w:val="TableContents"/>
              <w:spacing w:before="0" w:after="0"/>
              <w:rPr/>
            </w:pPr>
            <w:r>
              <w:rPr/>
              <w:t xml:space="preserve">  </w:t>
            </w:r>
          </w:p>
        </w:tc>
        <w:tc>
          <w:tcPr>
            <w:tcW w:w="24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984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any other security with the value derived from the value of the Shares, such as Restricted Stock and Restricted Stock Units;</w:t>
            </w:r>
          </w:p>
        </w:tc>
      </w:tr>
    </w:tbl>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r>
        <w:rPr>
          <w:rFonts w:ascii="Times New Roman" w:hAnsi="Times New Roman"/>
          <w:sz w:val="20"/>
        </w:rPr>
        <w:t>(e)           Deferred Stock Units;</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r>
        <w:rPr>
          <w:rFonts w:ascii="Times New Roman" w:hAnsi="Times New Roman"/>
          <w:sz w:val="20"/>
        </w:rPr>
        <w:t>(f)           Dividend Equivalent Rights, as defined in Section 13; or</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r>
        <w:rPr>
          <w:rFonts w:ascii="Times New Roman" w:hAnsi="Times New Roman"/>
          <w:sz w:val="20"/>
        </w:rPr>
        <w:t>(g)           any combination of the foregoing.</w:t>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398" w:name="TAB110"/>
      <w:bookmarkEnd w:id="398"/>
      <w:r>
        <w:rPr>
          <w:rFonts w:ascii="Times New Roman" w:hAnsi="Times New Roman"/>
          <w:b/>
          <w:sz w:val="20"/>
          <w:u w:val="single"/>
        </w:rPr>
        <w:t>Designation of Award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6.2                      Each type of Award shall be designated in the Award Agreement.  In the case of an Option, the Option shall be designated as either an Incentive Stock Option or a Non-Qualified Stock Option.  But see Section 7.3(a) regarding exceeding the Incentive Stock Option threshold.</w:t>
      </w:r>
    </w:p>
    <w:p>
      <w:pPr>
        <w:pStyle w:val="TextBody"/>
        <w:spacing w:before="0" w:after="0"/>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399" w:name="PGBRK19"/>
      <w:bookmarkStart w:id="400" w:name="PGBRK19"/>
      <w:bookmarkEnd w:id="4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401" w:name="FTR19"/>
      <w:bookmarkStart w:id="402" w:name="FTR19"/>
      <w:bookmarkEnd w:id="4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03" w:name="GLFTR19"/>
      <w:bookmarkEnd w:id="4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04" w:name="PN19"/>
      <w:bookmarkEnd w:id="404"/>
      <w:r>
        <w:rPr>
          <w:rFonts w:ascii="Times New Roman" w:hAnsi="Times New Roman"/>
          <w:sz w:val="20"/>
        </w:rPr>
        <w:t>B-10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405" w:name="HDR19"/>
      <w:bookmarkStart w:id="406" w:name="HDR19"/>
      <w:bookmarkEnd w:id="4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07" w:name="GLHDR19"/>
      <w:bookmarkEnd w:id="4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7.                      </w:t>
      </w:r>
      <w:r>
        <w:rPr>
          <w:rFonts w:ascii="Times New Roman" w:hAnsi="Times New Roman"/>
          <w:sz w:val="20"/>
          <w:u w:val="single"/>
        </w:rPr>
        <w:t>GRANT OF OPTIONS; TERMS AND CONDITIONS OF GRANT</w:t>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408" w:name="TAB111"/>
      <w:bookmarkEnd w:id="408"/>
      <w:r>
        <w:rPr>
          <w:rFonts w:ascii="Times New Roman" w:hAnsi="Times New Roman"/>
          <w:b/>
          <w:sz w:val="20"/>
          <w:u w:val="single"/>
        </w:rPr>
        <w:t>Grant of Options</w:t>
      </w:r>
    </w:p>
    <w:p>
      <w:pPr>
        <w:pStyle w:val="Normal"/>
        <w:spacing w:before="0" w:after="0"/>
        <w:ind w:left="0" w:right="0" w:hanging="0"/>
        <w:jc w:val="left"/>
        <w:rPr>
          <w:sz w:val="4"/>
          <w:szCs w:val="4"/>
        </w:rPr>
      </w:pPr>
      <w:r>
        <w:rPr>
          <w:sz w:val="4"/>
          <w:szCs w:val="4"/>
        </w:rPr>
      </w:r>
      <w:bookmarkStart w:id="409" w:name="hangingindent106"/>
      <w:bookmarkStart w:id="410" w:name="hangingindent106"/>
      <w:bookmarkEnd w:id="410"/>
    </w:p>
    <w:tbl>
      <w:tblPr>
        <w:tblW w:w="5000" w:type="pct"/>
        <w:jc w:val="center"/>
        <w:tblInd w:w="0" w:type="dxa"/>
        <w:tblCellMar>
          <w:top w:w="0" w:type="dxa"/>
          <w:left w:w="0" w:type="dxa"/>
          <w:bottom w:w="0" w:type="dxa"/>
          <w:right w:w="0" w:type="dxa"/>
        </w:tblCellMar>
      </w:tblPr>
      <w:tblGrid>
        <w:gridCol w:w="274"/>
        <w:gridCol w:w="185"/>
        <w:gridCol w:w="9746"/>
      </w:tblGrid>
      <w:tr>
        <w:trPr/>
        <w:tc>
          <w:tcPr>
            <w:tcW w:w="27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7.1</w:t>
            </w:r>
          </w:p>
        </w:tc>
        <w:tc>
          <w:tcPr>
            <w:tcW w:w="18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746" w:type="dxa"/>
            <w:tcBorders/>
            <w:shd w:fill="auto" w:val="clear"/>
          </w:tcPr>
          <w:p>
            <w:pPr>
              <w:pStyle w:val="TableContents"/>
              <w:spacing w:before="0" w:after="0"/>
              <w:rPr/>
            </w:pPr>
            <w:r>
              <w:rPr/>
              <w:t>One or more Options may be granted to any Eligible Participant.  Subject to the express provisions of this Plan, the Administrator shall determine from the Eligible Participants those individuals to whom Options under this Plan may be granted.  The Shares underlying a grant of an Option may be in the form of Restricted Stock or unrestricted Stock.</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411" w:name="hangingindent107"/>
      <w:bookmarkStart w:id="412" w:name="hangingindent107"/>
      <w:bookmarkEnd w:id="412"/>
    </w:p>
    <w:tbl>
      <w:tblPr>
        <w:tblW w:w="5000" w:type="pct"/>
        <w:jc w:val="center"/>
        <w:tblInd w:w="0" w:type="dxa"/>
        <w:tblCellMar>
          <w:top w:w="0" w:type="dxa"/>
          <w:left w:w="0" w:type="dxa"/>
          <w:bottom w:w="0" w:type="dxa"/>
          <w:right w:w="0" w:type="dxa"/>
        </w:tblCellMar>
      </w:tblPr>
      <w:tblGrid>
        <w:gridCol w:w="71"/>
        <w:gridCol w:w="197"/>
        <w:gridCol w:w="9937"/>
      </w:tblGrid>
      <w:tr>
        <w:trPr/>
        <w:tc>
          <w:tcPr>
            <w:tcW w:w="71" w:type="dxa"/>
            <w:tcBorders/>
            <w:shd w:fill="auto" w:val="clear"/>
          </w:tcPr>
          <w:p>
            <w:pPr>
              <w:pStyle w:val="TableContents"/>
              <w:spacing w:before="0" w:after="0"/>
              <w:rPr/>
            </w:pPr>
            <w:r>
              <w:rPr/>
              <w:t xml:space="preserve">  </w:t>
            </w:r>
          </w:p>
        </w:tc>
        <w:tc>
          <w:tcPr>
            <w:tcW w:w="19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3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Further, subject to the express provisions of this Plan, the Administrator shall specify the Grant Date, the number of Shares covered by the Option, the exercise price and the terms and conditions for exercise of the Options.  As soon as practicable after the Grant Date, the Company shall provide the Grantee with a written Award Agreement in the form approved by the Administrator, which sets out the Grant Date, the number of Shares covered by the Option, the exercise price and the terms and conditions for exercise of the Option.</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413" w:name="hangingindent108"/>
      <w:bookmarkStart w:id="414" w:name="hangingindent108"/>
      <w:bookmarkEnd w:id="414"/>
    </w:p>
    <w:tbl>
      <w:tblPr>
        <w:tblW w:w="5000" w:type="pct"/>
        <w:jc w:val="center"/>
        <w:tblInd w:w="0" w:type="dxa"/>
        <w:tblCellMar>
          <w:top w:w="0" w:type="dxa"/>
          <w:left w:w="0" w:type="dxa"/>
          <w:bottom w:w="0" w:type="dxa"/>
          <w:right w:w="0" w:type="dxa"/>
        </w:tblCellMar>
      </w:tblPr>
      <w:tblGrid>
        <w:gridCol w:w="107"/>
        <w:gridCol w:w="218"/>
        <w:gridCol w:w="9880"/>
      </w:tblGrid>
      <w:tr>
        <w:trPr/>
        <w:tc>
          <w:tcPr>
            <w:tcW w:w="107" w:type="dxa"/>
            <w:tcBorders/>
            <w:shd w:fill="auto" w:val="clear"/>
          </w:tcPr>
          <w:p>
            <w:pPr>
              <w:pStyle w:val="TableContents"/>
              <w:spacing w:before="0" w:after="0"/>
              <w:rPr/>
            </w:pPr>
            <w:r>
              <w:rPr/>
              <w:t xml:space="preserve">  </w:t>
            </w:r>
          </w:p>
        </w:tc>
        <w:tc>
          <w:tcPr>
            <w:tcW w:w="21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88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Administrator may, in its absolute discretion, grant Options under this Plan at any time and from time to time before the expiration of this Plan.</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415" w:name="TAB112"/>
      <w:bookmarkEnd w:id="415"/>
      <w:r>
        <w:rPr>
          <w:rFonts w:ascii="Times New Roman" w:hAnsi="Times New Roman"/>
          <w:b/>
          <w:sz w:val="20"/>
          <w:u w:val="single"/>
        </w:rPr>
        <w:t>General Terms and Conditions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7.2                      Except as otherwise provided herein, the Options shall be subject to the following terms and conditions and such other terms and conditions not inconsistent with this Plan as the Administrator may impose:</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416" w:name="hangingindent109"/>
      <w:bookmarkStart w:id="417" w:name="hangingindent109"/>
      <w:bookmarkEnd w:id="417"/>
    </w:p>
    <w:tbl>
      <w:tblPr>
        <w:tblW w:w="5000" w:type="pct"/>
        <w:jc w:val="center"/>
        <w:tblInd w:w="0" w:type="dxa"/>
        <w:tblCellMar>
          <w:top w:w="0" w:type="dxa"/>
          <w:left w:w="0" w:type="dxa"/>
          <w:bottom w:w="0" w:type="dxa"/>
          <w:right w:w="0" w:type="dxa"/>
        </w:tblCellMar>
      </w:tblPr>
      <w:tblGrid>
        <w:gridCol w:w="88"/>
        <w:gridCol w:w="199"/>
        <w:gridCol w:w="9918"/>
      </w:tblGrid>
      <w:tr>
        <w:trPr/>
        <w:tc>
          <w:tcPr>
            <w:tcW w:w="88" w:type="dxa"/>
            <w:tcBorders/>
            <w:shd w:fill="auto" w:val="clear"/>
          </w:tcPr>
          <w:p>
            <w:pPr>
              <w:pStyle w:val="TableContents"/>
              <w:spacing w:before="0" w:after="0"/>
              <w:rPr/>
            </w:pPr>
            <w:r>
              <w:rPr/>
              <w:t xml:space="preserve">  </w:t>
            </w:r>
          </w:p>
        </w:tc>
        <w:tc>
          <w:tcPr>
            <w:tcW w:w="19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18" w:type="dxa"/>
            <w:tcBorders/>
            <w:shd w:fill="auto" w:val="clear"/>
          </w:tcPr>
          <w:p>
            <w:pPr>
              <w:pStyle w:val="TableContents"/>
              <w:spacing w:before="0" w:after="0"/>
              <w:jc w:val="both"/>
              <w:rPr>
                <w:rFonts w:ascii="Times New Roman" w:hAnsi="Times New Roman"/>
                <w:sz w:val="20"/>
              </w:rPr>
            </w:pPr>
            <w:r>
              <w:rPr>
                <w:rFonts w:ascii="Times New Roman" w:hAnsi="Times New Roman"/>
                <w:sz w:val="20"/>
                <w:u w:val="single"/>
              </w:rPr>
              <w:t>Exercise of Option</w:t>
            </w:r>
            <w:r>
              <w:rPr>
                <w:rFonts w:ascii="Times New Roman" w:hAnsi="Times New Roman"/>
                <w:sz w:val="20"/>
              </w:rPr>
              <w:t>. The Administrator may determine in its discretion whether any Option shall be subject to vesting and the terms and conditions of any such vesting.  The Award Agreement shall contain any such vesting schedule;</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418" w:name="hangingindent110"/>
      <w:bookmarkStart w:id="419" w:name="hangingindent110"/>
      <w:bookmarkEnd w:id="419"/>
    </w:p>
    <w:tbl>
      <w:tblPr>
        <w:tblW w:w="5000" w:type="pct"/>
        <w:jc w:val="center"/>
        <w:tblInd w:w="0" w:type="dxa"/>
        <w:tblCellMar>
          <w:top w:w="0" w:type="dxa"/>
          <w:left w:w="0" w:type="dxa"/>
          <w:bottom w:w="0" w:type="dxa"/>
          <w:right w:w="0" w:type="dxa"/>
        </w:tblCellMar>
      </w:tblPr>
      <w:tblGrid>
        <w:gridCol w:w="70"/>
        <w:gridCol w:w="196"/>
        <w:gridCol w:w="9939"/>
      </w:tblGrid>
      <w:tr>
        <w:trPr/>
        <w:tc>
          <w:tcPr>
            <w:tcW w:w="70" w:type="dxa"/>
            <w:tcBorders/>
            <w:shd w:fill="auto" w:val="clear"/>
          </w:tcPr>
          <w:p>
            <w:pPr>
              <w:pStyle w:val="TableContents"/>
              <w:spacing w:before="0" w:after="0"/>
              <w:rPr/>
            </w:pPr>
            <w:r>
              <w:rPr/>
              <w:t xml:space="preserve">  </w:t>
            </w:r>
          </w:p>
        </w:tc>
        <w:tc>
          <w:tcPr>
            <w:tcW w:w="19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39" w:type="dxa"/>
            <w:tcBorders/>
            <w:shd w:fill="auto" w:val="clear"/>
          </w:tcPr>
          <w:p>
            <w:pPr>
              <w:pStyle w:val="TableContents"/>
              <w:spacing w:before="0" w:after="0"/>
              <w:jc w:val="both"/>
              <w:rPr>
                <w:rFonts w:ascii="Times New Roman" w:hAnsi="Times New Roman"/>
                <w:sz w:val="20"/>
              </w:rPr>
            </w:pPr>
            <w:r>
              <w:rPr>
                <w:rFonts w:ascii="Times New Roman" w:hAnsi="Times New Roman"/>
                <w:sz w:val="20"/>
                <w:u w:val="single"/>
              </w:rPr>
              <w:t>Option Term</w:t>
            </w:r>
            <w:r>
              <w:rPr>
                <w:rFonts w:ascii="Times New Roman" w:hAnsi="Times New Roman"/>
                <w:sz w:val="20"/>
              </w:rPr>
              <w:t>.  Each Option and all rights or obligations thereunder shall expire on such date as shall be determined by the Administrator, but not later than ten years after the Grant Date (five years in the case of an Incentive Stock Option when the Optionee beneficially owns more than 10% of the total combined voting power of all classes of stock of the Company or any Parent or Subsidiary (a “</w:t>
            </w:r>
            <w:r>
              <w:rPr>
                <w:rFonts w:ascii="Times New Roman" w:hAnsi="Times New Roman"/>
                <w:b/>
                <w:sz w:val="20"/>
              </w:rPr>
              <w:t>Ten Percent Stockholder</w:t>
            </w:r>
            <w:r>
              <w:rPr>
                <w:rFonts w:ascii="Times New Roman" w:hAnsi="Times New Roman"/>
                <w:sz w:val="20"/>
              </w:rPr>
              <w:t>”), as determined with reference to Rule 13d-3 of the Exchange Act), and shall be subject to earlier termination as hereinafter provided;</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420" w:name="hangingindent111"/>
      <w:bookmarkStart w:id="421" w:name="hangingindent111"/>
      <w:bookmarkEnd w:id="421"/>
    </w:p>
    <w:tbl>
      <w:tblPr>
        <w:tblW w:w="5000" w:type="pct"/>
        <w:jc w:val="center"/>
        <w:tblInd w:w="0" w:type="dxa"/>
        <w:tblCellMar>
          <w:top w:w="0" w:type="dxa"/>
          <w:left w:w="0" w:type="dxa"/>
          <w:bottom w:w="0" w:type="dxa"/>
          <w:right w:w="0" w:type="dxa"/>
        </w:tblCellMar>
      </w:tblPr>
      <w:tblGrid>
        <w:gridCol w:w="63"/>
        <w:gridCol w:w="174"/>
        <w:gridCol w:w="9968"/>
      </w:tblGrid>
      <w:tr>
        <w:trPr/>
        <w:tc>
          <w:tcPr>
            <w:tcW w:w="63" w:type="dxa"/>
            <w:tcBorders/>
            <w:shd w:fill="auto" w:val="clear"/>
          </w:tcPr>
          <w:p>
            <w:pPr>
              <w:pStyle w:val="TableContents"/>
              <w:spacing w:before="0" w:after="0"/>
              <w:rPr/>
            </w:pPr>
            <w:r>
              <w:rPr/>
              <w:t xml:space="preserve">  </w:t>
            </w:r>
          </w:p>
        </w:tc>
        <w:tc>
          <w:tcPr>
            <w:tcW w:w="17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968" w:type="dxa"/>
            <w:tcBorders/>
            <w:shd w:fill="auto" w:val="clear"/>
          </w:tcPr>
          <w:p>
            <w:pPr>
              <w:pStyle w:val="TableContents"/>
              <w:spacing w:before="0" w:after="0"/>
              <w:jc w:val="both"/>
              <w:rPr>
                <w:rFonts w:ascii="Times New Roman" w:hAnsi="Times New Roman"/>
                <w:sz w:val="20"/>
              </w:rPr>
            </w:pPr>
            <w:r>
              <w:rPr>
                <w:rFonts w:ascii="Times New Roman" w:hAnsi="Times New Roman"/>
                <w:sz w:val="20"/>
                <w:u w:val="single"/>
              </w:rPr>
              <w:t>Exercise Price</w:t>
            </w:r>
            <w:r>
              <w:rPr>
                <w:rFonts w:ascii="Times New Roman" w:hAnsi="Times New Roman"/>
                <w:sz w:val="20"/>
              </w:rPr>
              <w:t>.  The Exercise Price of any Option shall be determined by the Administrator when the Option is granted, at such Exercise Price as may be determined by the Administrator in the Administrator’s sole and absolute discretion; provided, however, that the Exercise Price of any Incentive Stock Option granted to a Ten Percent Stockholder shall not be less than the Fair Market Value of the Shares on the Grant Date.  Payment for the Shares purchased shall be made in accordance with Section 16 of this Plan.  The Administrator is authorized to issue Options, whether Incentive Stock Options or Non-qualified Stock Options, at an option price which is lower than or in excess of the Fair Market Value on the Grant Date, to determine the terms and conditions of any Award granted under the Plan including, but not limited to, the exercise price, grant price or purchase price, any restrictions or limitations on the Award, any schedule for lapse of forfeiture restrictions or restrictions on the exercisability of the Award, and acceleration or waivers thereof, based in each case on such considerations as the Committee in its sole discretion determines that is not inconsistent with any rule or regulation under any tax or securities laws or includes an alternative right that does not disqualify an Incentive Stock Option under applicable regulations;</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422" w:name="hangingindent112"/>
      <w:bookmarkStart w:id="423" w:name="hangingindent112"/>
      <w:bookmarkEnd w:id="423"/>
    </w:p>
    <w:tbl>
      <w:tblPr>
        <w:tblW w:w="5000" w:type="pct"/>
        <w:jc w:val="center"/>
        <w:tblInd w:w="0" w:type="dxa"/>
        <w:tblCellMar>
          <w:top w:w="0" w:type="dxa"/>
          <w:left w:w="0" w:type="dxa"/>
          <w:bottom w:w="0" w:type="dxa"/>
          <w:right w:w="0" w:type="dxa"/>
        </w:tblCellMar>
      </w:tblPr>
      <w:tblGrid>
        <w:gridCol w:w="70"/>
        <w:gridCol w:w="196"/>
        <w:gridCol w:w="9939"/>
      </w:tblGrid>
      <w:tr>
        <w:trPr/>
        <w:tc>
          <w:tcPr>
            <w:tcW w:w="70" w:type="dxa"/>
            <w:tcBorders/>
            <w:shd w:fill="auto" w:val="clear"/>
          </w:tcPr>
          <w:p>
            <w:pPr>
              <w:pStyle w:val="TableContents"/>
              <w:spacing w:before="0" w:after="0"/>
              <w:rPr/>
            </w:pPr>
            <w:r>
              <w:rPr/>
              <w:t xml:space="preserve">  </w:t>
            </w:r>
          </w:p>
        </w:tc>
        <w:tc>
          <w:tcPr>
            <w:tcW w:w="19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9939" w:type="dxa"/>
            <w:tcBorders/>
            <w:shd w:fill="auto" w:val="clear"/>
          </w:tcPr>
          <w:p>
            <w:pPr>
              <w:pStyle w:val="TableContents"/>
              <w:spacing w:before="0" w:after="0"/>
              <w:jc w:val="both"/>
              <w:rPr>
                <w:rFonts w:ascii="Times New Roman" w:hAnsi="Times New Roman"/>
                <w:sz w:val="20"/>
              </w:rPr>
            </w:pPr>
            <w:r>
              <w:rPr>
                <w:rFonts w:ascii="Times New Roman" w:hAnsi="Times New Roman"/>
                <w:sz w:val="20"/>
                <w:u w:val="single"/>
              </w:rPr>
              <w:t>Method of Exercise</w:t>
            </w:r>
            <w:r>
              <w:rPr>
                <w:rFonts w:ascii="Times New Roman" w:hAnsi="Times New Roman"/>
                <w:sz w:val="20"/>
              </w:rPr>
              <w:t>.  Options may be exercised only by delivery to the Company of a stock option exercise agreement (the “</w:t>
            </w:r>
            <w:r>
              <w:rPr>
                <w:rFonts w:ascii="Times New Roman" w:hAnsi="Times New Roman"/>
                <w:b/>
                <w:sz w:val="20"/>
              </w:rPr>
              <w:t>Exercise Agreement</w:t>
            </w:r>
            <w:r>
              <w:rPr>
                <w:rFonts w:ascii="Times New Roman" w:hAnsi="Times New Roman"/>
                <w:sz w:val="20"/>
              </w:rPr>
              <w:t>”) in a form approved by the Administrator (which need not be the same for each Grantee), stating the number of Shares being purchased, the restrictions imposed on the Shares purchased under such Exercise Agreement, if any, and such representations and agreements regarding the Grantee’s investment intent and access to information and other matters, if any, as may be required or desirable by the Company to comply</w:t>
            </w:r>
          </w:p>
        </w:tc>
      </w:tr>
    </w:tbl>
    <w:p>
      <w:pPr>
        <w:pStyle w:val="TextBody"/>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jc w:val="left"/>
        <w:rPr/>
      </w:pPr>
      <w:r>
        <w:rPr/>
      </w:r>
      <w:bookmarkStart w:id="424" w:name="PGBRK20"/>
      <w:bookmarkStart w:id="425" w:name="PGBRK20"/>
      <w:bookmarkEnd w:id="4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r>
      <w:bookmarkStart w:id="426" w:name="FTR20"/>
      <w:bookmarkStart w:id="427" w:name="FTR20"/>
      <w:bookmarkEnd w:id="4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428" w:name="GLFTR20"/>
      <w:bookmarkEnd w:id="4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29" w:name="PN20"/>
      <w:bookmarkEnd w:id="429"/>
      <w:r>
        <w:rPr>
          <w:rFonts w:ascii="Times New Roman" w:hAnsi="Times New Roman"/>
          <w:sz w:val="20"/>
        </w:rPr>
        <w:t>B-11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r>
      <w:bookmarkStart w:id="430" w:name="HDR20"/>
      <w:bookmarkStart w:id="431" w:name="HDR20"/>
      <w:bookmarkEnd w:id="4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432" w:name="GLHDR20"/>
      <w:bookmarkEnd w:id="4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433" w:name="hangingindent113"/>
      <w:bookmarkStart w:id="434" w:name="hangingindent113"/>
      <w:bookmarkEnd w:id="434"/>
    </w:p>
    <w:tbl>
      <w:tblPr>
        <w:tblW w:w="5000" w:type="pct"/>
        <w:jc w:val="center"/>
        <w:tblInd w:w="0" w:type="dxa"/>
        <w:tblCellMar>
          <w:top w:w="0" w:type="dxa"/>
          <w:left w:w="0" w:type="dxa"/>
          <w:bottom w:w="0" w:type="dxa"/>
          <w:right w:w="0" w:type="dxa"/>
        </w:tblCellMar>
      </w:tblPr>
      <w:tblGrid>
        <w:gridCol w:w="120"/>
        <w:gridCol w:w="10085"/>
      </w:tblGrid>
      <w:tr>
        <w:trPr/>
        <w:tc>
          <w:tcPr>
            <w:tcW w:w="120" w:type="dxa"/>
            <w:tcBorders/>
            <w:shd w:fill="auto" w:val="clear"/>
          </w:tcPr>
          <w:p>
            <w:pPr>
              <w:pStyle w:val="TableContents"/>
              <w:spacing w:before="0" w:after="0"/>
              <w:rPr/>
            </w:pPr>
            <w:r>
              <w:rPr/>
              <w:t xml:space="preserve">  </w:t>
            </w:r>
          </w:p>
        </w:tc>
        <w:tc>
          <w:tcPr>
            <w:tcW w:w="1008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with applicable securities laws, together with payment in full of the exercise price for the number of Shares being purchased;</w:t>
            </w:r>
          </w:p>
        </w:tc>
      </w:tr>
    </w:tbl>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r>
        <w:rPr>
          <w:rFonts w:ascii="Times New Roman" w:hAnsi="Times New Roman"/>
          <w:sz w:val="20"/>
        </w:rPr>
        <w:t>(e)           </w:t>
      </w:r>
      <w:r>
        <w:rPr>
          <w:rFonts w:ascii="Times New Roman" w:hAnsi="Times New Roman"/>
          <w:sz w:val="20"/>
          <w:u w:val="single"/>
        </w:rPr>
        <w:t>Exercise After Certain Events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r>
        <w:rPr>
          <w:rFonts w:ascii="Times New Roman" w:hAnsi="Times New Roman"/>
          <w:sz w:val="20"/>
        </w:rPr>
        <w:t>(i)           </w:t>
      </w:r>
      <w:r>
        <w:rPr>
          <w:rFonts w:ascii="Times New Roman" w:hAnsi="Times New Roman"/>
          <w:sz w:val="20"/>
          <w:u w:val="single"/>
        </w:rPr>
        <w:t>Termination of Continuous Services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2160" w:right="0" w:hanging="0"/>
        <w:jc w:val="both"/>
        <w:rPr>
          <w:rFonts w:ascii="Times New Roman" w:hAnsi="Times New Roman"/>
          <w:sz w:val="20"/>
        </w:rPr>
      </w:pPr>
      <w:r>
        <w:rPr>
          <w:rFonts w:ascii="Times New Roman" w:hAnsi="Times New Roman"/>
          <w:sz w:val="20"/>
        </w:rPr>
        <w:t>(A)           </w:t>
      </w:r>
      <w:r>
        <w:rPr>
          <w:rFonts w:ascii="Times New Roman" w:hAnsi="Times New Roman"/>
          <w:sz w:val="20"/>
          <w:u w:val="single"/>
        </w:rPr>
        <w:t>Options</w:t>
      </w:r>
      <w:r>
        <w:rPr>
          <w:rFonts w:ascii="Times New Roman" w:hAnsi="Times New Roman"/>
          <w:sz w:val="20"/>
        </w:rPr>
        <w:t>.</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435" w:name="hangingindent114"/>
      <w:bookmarkStart w:id="436" w:name="hangingindent114"/>
      <w:bookmarkEnd w:id="436"/>
    </w:p>
    <w:tbl>
      <w:tblPr>
        <w:tblW w:w="5000" w:type="pct"/>
        <w:jc w:val="center"/>
        <w:tblInd w:w="0" w:type="dxa"/>
        <w:tblCellMar>
          <w:top w:w="0" w:type="dxa"/>
          <w:left w:w="0" w:type="dxa"/>
          <w:bottom w:w="0" w:type="dxa"/>
          <w:right w:w="0" w:type="dxa"/>
        </w:tblCellMar>
      </w:tblPr>
      <w:tblGrid>
        <w:gridCol w:w="67"/>
        <w:gridCol w:w="148"/>
        <w:gridCol w:w="9990"/>
      </w:tblGrid>
      <w:tr>
        <w:trPr/>
        <w:tc>
          <w:tcPr>
            <w:tcW w:w="67" w:type="dxa"/>
            <w:tcBorders/>
            <w:shd w:fill="auto" w:val="clear"/>
          </w:tcPr>
          <w:p>
            <w:pPr>
              <w:pStyle w:val="TableContents"/>
              <w:spacing w:before="0" w:after="0"/>
              <w:rPr/>
            </w:pPr>
            <w:r>
              <w:rPr/>
              <w:t xml:space="preserve">  </w:t>
            </w:r>
          </w:p>
        </w:tc>
        <w:tc>
          <w:tcPr>
            <w:tcW w:w="14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w:t>
            </w:r>
          </w:p>
        </w:tc>
        <w:tc>
          <w:tcPr>
            <w:tcW w:w="9990" w:type="dxa"/>
            <w:tcBorders/>
            <w:shd w:fill="auto" w:val="clear"/>
          </w:tcPr>
          <w:p>
            <w:pPr>
              <w:pStyle w:val="TableContents"/>
              <w:spacing w:before="0" w:after="0"/>
              <w:jc w:val="both"/>
              <w:rPr>
                <w:rFonts w:ascii="Times New Roman" w:hAnsi="Times New Roman"/>
                <w:sz w:val="20"/>
              </w:rPr>
            </w:pPr>
            <w:r>
              <w:rPr>
                <w:rFonts w:ascii="Times New Roman" w:hAnsi="Times New Roman"/>
                <w:sz w:val="20"/>
                <w:u w:val="single"/>
              </w:rPr>
              <w:t>Termination of Continuous Services</w:t>
            </w:r>
            <w:r>
              <w:rPr>
                <w:rFonts w:ascii="Times New Roman" w:hAnsi="Times New Roman"/>
                <w:sz w:val="20"/>
              </w:rPr>
              <w:t>.  If for any reason other than Disability or death, a Grantee terminates Continuous Services with the Company or a Subsidiary, vested Options held at the date of such termination may be exercised, in whole or in part, either (i) at any time within three months after the date of such termination, or (ii) during any lesser period as specified in the Award Agreement or (iii) during any lesser period as may be determined by the Administrator, in its sole and absolute discretion, prior the date of such termination (but in no event after the earlier of (A) the expiration date of the Option as set forth in the Award Agreement and (B) ten years from the Grant Date (five years for a Ten Percent Stockholder if the Option is an Incentive Stock Option)).</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437" w:name="hangingindent115"/>
      <w:bookmarkStart w:id="438" w:name="hangingindent115"/>
      <w:bookmarkEnd w:id="438"/>
    </w:p>
    <w:tbl>
      <w:tblPr>
        <w:tblW w:w="5000" w:type="pct"/>
        <w:jc w:val="center"/>
        <w:tblInd w:w="0" w:type="dxa"/>
        <w:tblCellMar>
          <w:top w:w="0" w:type="dxa"/>
          <w:left w:w="0" w:type="dxa"/>
          <w:bottom w:w="0" w:type="dxa"/>
          <w:right w:w="0" w:type="dxa"/>
        </w:tblCellMar>
      </w:tblPr>
      <w:tblGrid>
        <w:gridCol w:w="64"/>
        <w:gridCol w:w="205"/>
        <w:gridCol w:w="9936"/>
      </w:tblGrid>
      <w:tr>
        <w:trPr/>
        <w:tc>
          <w:tcPr>
            <w:tcW w:w="64" w:type="dxa"/>
            <w:tcBorders/>
            <w:shd w:fill="auto" w:val="clear"/>
          </w:tcPr>
          <w:p>
            <w:pPr>
              <w:pStyle w:val="TableContents"/>
              <w:spacing w:before="0" w:after="0"/>
              <w:rPr/>
            </w:pPr>
            <w:r>
              <w:rPr/>
              <w:t xml:space="preserve">  </w:t>
            </w:r>
          </w:p>
        </w:tc>
        <w:tc>
          <w:tcPr>
            <w:tcW w:w="20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(II)</w:t>
            </w:r>
          </w:p>
        </w:tc>
        <w:tc>
          <w:tcPr>
            <w:tcW w:w="9936" w:type="dxa"/>
            <w:tcBorders/>
            <w:shd w:fill="auto" w:val="clear"/>
          </w:tcPr>
          <w:p>
            <w:pPr>
              <w:pStyle w:val="TableContents"/>
              <w:spacing w:before="0" w:after="0"/>
              <w:jc w:val="both"/>
              <w:rPr>
                <w:rFonts w:ascii="Times New Roman" w:hAnsi="Times New Roman"/>
                <w:sz w:val="20"/>
              </w:rPr>
            </w:pPr>
            <w:r>
              <w:rPr>
                <w:rFonts w:ascii="Times New Roman" w:hAnsi="Times New Roman"/>
                <w:sz w:val="20"/>
                <w:u w:val="single"/>
              </w:rPr>
              <w:t>Continuation of Services as Consultant/Advisor</w:t>
            </w:r>
            <w:r>
              <w:rPr>
                <w:rFonts w:ascii="Times New Roman" w:hAnsi="Times New Roman"/>
                <w:sz w:val="20"/>
              </w:rPr>
              <w:t>.  If a Grantee granted an Incentive Stock Option terminates employment but continues as a Consultant (no termination of Continuous Services), the Grantee need not exercise an Incentive Stock Option within either of the termination periods provided for immediately hereinabove but shall be entitled to exercise, in whole or in part, either (i) at any time within three months after the then date of termination of Continuous Services to the Company or a Subsidiary, or (ii) during any lesser period as specified in the Award Agreement or (iii) during any lesser period as may be determined by the Administrator, in its sole and absolute discretion, prior the date of such then termination of Continuous Services to the Company or the Subsidiary (one year in the event of Disability or death) (but in no event after the earlier of (A) the expiration date of the Option as set forth in the Award Agreement and (B) ten years from the Grant Date (five years for a Ten Percent Stockholder if the Option is an Incentive Stock Option)).  However, if the Grantee does not exercise within three months of termination of employment, pursuant to Section 422 of the Code the Option shall not qualify as an Incentive Stock Option.</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439" w:name="hangingindent116"/>
      <w:bookmarkStart w:id="440" w:name="hangingindent116"/>
      <w:bookmarkEnd w:id="440"/>
    </w:p>
    <w:tbl>
      <w:tblPr>
        <w:tblW w:w="5000" w:type="pct"/>
        <w:jc w:val="center"/>
        <w:tblInd w:w="0" w:type="dxa"/>
        <w:tblCellMar>
          <w:top w:w="0" w:type="dxa"/>
          <w:left w:w="0" w:type="dxa"/>
          <w:bottom w:w="0" w:type="dxa"/>
          <w:right w:w="0" w:type="dxa"/>
        </w:tblCellMar>
      </w:tblPr>
      <w:tblGrid>
        <w:gridCol w:w="67"/>
        <w:gridCol w:w="223"/>
        <w:gridCol w:w="9915"/>
      </w:tblGrid>
      <w:tr>
        <w:trPr/>
        <w:tc>
          <w:tcPr>
            <w:tcW w:w="67" w:type="dxa"/>
            <w:tcBorders/>
            <w:shd w:fill="auto" w:val="clear"/>
          </w:tcPr>
          <w:p>
            <w:pPr>
              <w:pStyle w:val="TableContents"/>
              <w:spacing w:before="0" w:after="0"/>
              <w:rPr/>
            </w:pPr>
            <w:r>
              <w:rPr/>
              <w:t xml:space="preserve">  </w:t>
            </w:r>
          </w:p>
        </w:tc>
        <w:tc>
          <w:tcPr>
            <w:tcW w:w="22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15" w:type="dxa"/>
            <w:tcBorders/>
            <w:shd w:fill="auto" w:val="clear"/>
          </w:tcPr>
          <w:p>
            <w:pPr>
              <w:pStyle w:val="TableContents"/>
              <w:spacing w:before="0" w:after="0"/>
              <w:jc w:val="both"/>
              <w:rPr>
                <w:rFonts w:ascii="Times New Roman" w:hAnsi="Times New Roman"/>
                <w:sz w:val="20"/>
              </w:rPr>
            </w:pPr>
            <w:r>
              <w:rPr>
                <w:rFonts w:ascii="Times New Roman" w:hAnsi="Times New Roman"/>
                <w:sz w:val="20"/>
                <w:u w:val="single"/>
              </w:rPr>
              <w:t>Disability and Death</w:t>
            </w:r>
            <w:r>
              <w:rPr>
                <w:rFonts w:ascii="Times New Roman" w:hAnsi="Times New Roman"/>
                <w:sz w:val="20"/>
              </w:rPr>
              <w:t>.  If a Grantee becomes Disabled while rendering Continuous Services to the Company or a Subsidiary, or dies while employed by the Company or Subsidiary or within three months thereafter, vested Options then held may be exercised by the Grantee, the Grantee’s personal representative, or by the person to whom the Option is transferred by the laws of descent and distribution, in whole or in part, at any time within one year after the termination because of the Disability or death or any lesser period specified in the Award Agreement (but in no event after the earlier of (i) the expiration date of the Option as set forth in the Award Agreement, and (ii) ten years from the Grant Date (five years for a Ten Percent Stockholder if the Option is an Incentive Stock Option).</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441" w:name="TAB113"/>
      <w:bookmarkEnd w:id="441"/>
      <w:r>
        <w:rPr>
          <w:rFonts w:ascii="Times New Roman" w:hAnsi="Times New Roman"/>
          <w:b/>
          <w:sz w:val="20"/>
          <w:u w:val="single"/>
        </w:rPr>
        <w:t>Limitations on Grant of Incentive Stock Options</w:t>
      </w:r>
    </w:p>
    <w:p>
      <w:pPr>
        <w:pStyle w:val="Normal"/>
        <w:spacing w:before="0" w:after="0"/>
        <w:ind w:left="0" w:right="0" w:hanging="0"/>
        <w:jc w:val="left"/>
        <w:rPr>
          <w:sz w:val="4"/>
          <w:szCs w:val="4"/>
        </w:rPr>
      </w:pPr>
      <w:r>
        <w:rPr>
          <w:sz w:val="4"/>
          <w:szCs w:val="4"/>
        </w:rPr>
      </w:r>
      <w:bookmarkStart w:id="442" w:name="hangingindent117"/>
      <w:bookmarkStart w:id="443" w:name="hangingindent117"/>
      <w:bookmarkEnd w:id="443"/>
    </w:p>
    <w:tbl>
      <w:tblPr>
        <w:tblW w:w="5000" w:type="pct"/>
        <w:jc w:val="center"/>
        <w:tblInd w:w="0" w:type="dxa"/>
        <w:tblCellMar>
          <w:top w:w="0" w:type="dxa"/>
          <w:left w:w="0" w:type="dxa"/>
          <w:bottom w:w="0" w:type="dxa"/>
          <w:right w:w="0" w:type="dxa"/>
        </w:tblCellMar>
      </w:tblPr>
      <w:tblGrid>
        <w:gridCol w:w="319"/>
        <w:gridCol w:w="176"/>
        <w:gridCol w:w="9710"/>
      </w:tblGrid>
      <w:tr>
        <w:trPr/>
        <w:tc>
          <w:tcPr>
            <w:tcW w:w="319" w:type="dxa"/>
            <w:tcBorders/>
            <w:shd w:fill="auto" w:val="clear"/>
          </w:tcPr>
          <w:p>
            <w:pPr>
              <w:pStyle w:val="TableContents"/>
              <w:spacing w:before="0" w:after="283"/>
              <w:rPr/>
            </w:pPr>
            <w:r>
              <w:rPr/>
              <w:t>7.3</w:t>
            </w:r>
          </w:p>
        </w:tc>
        <w:tc>
          <w:tcPr>
            <w:tcW w:w="17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710" w:type="dxa"/>
            <w:tcBorders/>
            <w:shd w:fill="auto" w:val="clear"/>
          </w:tcPr>
          <w:p>
            <w:pPr>
              <w:pStyle w:val="TableContents"/>
              <w:spacing w:before="0" w:after="0"/>
              <w:rPr/>
            </w:pPr>
            <w:r>
              <w:rPr/>
              <w:t>Threshold.  The aggregate Fair Market Value (determined as of the Grant Date) of the Shares for which Incentive Stock Options may first become exercisable by any Grantee during any calendar year under this Plan, together with that of Shares subject to Incentive Stock Options first exercisable by such Grantee under any other plan of the Company or any Parent or Subsidiary, shall not exceed $100,000.  For purposes of this Section 7.3(a), all Options in excess of the $100,000 threshold shall be treated as Non-Qualified Stock Options notwithstanding the designation as Incentive Stock Options.  For this purpose, Options shall be taken into account in the order in which they were granted, and the Fair Market Value of the Shares shall be determined as of the date the Option with respect to such Shares is granted.</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444" w:name="PGBRK21"/>
      <w:bookmarkStart w:id="445" w:name="PGBRK21"/>
      <w:bookmarkEnd w:id="4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446" w:name="FTR21"/>
      <w:bookmarkStart w:id="447" w:name="FTR21"/>
      <w:bookmarkEnd w:id="4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448" w:name="GLFTR21"/>
      <w:bookmarkStart w:id="449" w:name="GLFTR21"/>
      <w:bookmarkEnd w:id="4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50" w:name="PN21"/>
      <w:bookmarkEnd w:id="450"/>
      <w:r>
        <w:rPr>
          <w:rFonts w:ascii="Times New Roman" w:hAnsi="Times New Roman"/>
          <w:sz w:val="20"/>
        </w:rPr>
        <w:t>B-12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451" w:name="HDR21"/>
      <w:bookmarkStart w:id="452" w:name="HDR21"/>
      <w:bookmarkEnd w:id="4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453" w:name="GLHDR21"/>
      <w:bookmarkStart w:id="454" w:name="GLHDR21"/>
      <w:bookmarkEnd w:id="4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455" w:name="hangingindent118"/>
      <w:bookmarkStart w:id="456" w:name="hangingindent118"/>
      <w:bookmarkEnd w:id="456"/>
    </w:p>
    <w:tbl>
      <w:tblPr>
        <w:tblW w:w="5000" w:type="pct"/>
        <w:jc w:val="center"/>
        <w:tblInd w:w="0" w:type="dxa"/>
        <w:tblCellMar>
          <w:top w:w="0" w:type="dxa"/>
          <w:left w:w="0" w:type="dxa"/>
          <w:bottom w:w="0" w:type="dxa"/>
          <w:right w:w="0" w:type="dxa"/>
        </w:tblCellMar>
      </w:tblPr>
      <w:tblGrid>
        <w:gridCol w:w="84"/>
        <w:gridCol w:w="210"/>
        <w:gridCol w:w="9911"/>
      </w:tblGrid>
      <w:tr>
        <w:trPr/>
        <w:tc>
          <w:tcPr>
            <w:tcW w:w="84" w:type="dxa"/>
            <w:tcBorders/>
            <w:shd w:fill="auto" w:val="clear"/>
          </w:tcPr>
          <w:p>
            <w:pPr>
              <w:pStyle w:val="TableContents"/>
              <w:spacing w:before="0" w:after="0"/>
              <w:rPr/>
            </w:pPr>
            <w:r>
              <w:rPr/>
              <w:t xml:space="preserve">  </w:t>
            </w:r>
          </w:p>
        </w:tc>
        <w:tc>
          <w:tcPr>
            <w:tcW w:w="21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11" w:type="dxa"/>
            <w:tcBorders/>
            <w:shd w:fill="auto" w:val="clear"/>
          </w:tcPr>
          <w:p>
            <w:pPr>
              <w:pStyle w:val="TableContents"/>
              <w:spacing w:before="0" w:after="0"/>
              <w:jc w:val="both"/>
              <w:rPr>
                <w:rFonts w:ascii="Times New Roman" w:hAnsi="Times New Roman"/>
                <w:sz w:val="20"/>
              </w:rPr>
            </w:pPr>
            <w:r>
              <w:rPr>
                <w:rFonts w:ascii="Times New Roman" w:hAnsi="Times New Roman"/>
                <w:sz w:val="20"/>
                <w:u w:val="single"/>
              </w:rPr>
              <w:t>Compliance with Section 422 of the Code</w:t>
            </w:r>
            <w:r>
              <w:rPr>
                <w:rFonts w:ascii="Times New Roman" w:hAnsi="Times New Roman"/>
                <w:sz w:val="20"/>
              </w:rPr>
              <w:t>.  There shall be imposed in the Award Agreement relating to Incentive Stock Options such terms and conditions as are required in order that the Option be an “incentive stock option” as that term is defined in Section 422 of the Code.</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457" w:name="hangingindent119"/>
      <w:bookmarkStart w:id="458" w:name="hangingindent119"/>
      <w:bookmarkEnd w:id="458"/>
    </w:p>
    <w:tbl>
      <w:tblPr>
        <w:tblW w:w="5000" w:type="pct"/>
        <w:jc w:val="center"/>
        <w:tblInd w:w="0" w:type="dxa"/>
        <w:tblCellMar>
          <w:top w:w="0" w:type="dxa"/>
          <w:left w:w="0" w:type="dxa"/>
          <w:bottom w:w="0" w:type="dxa"/>
          <w:right w:w="0" w:type="dxa"/>
        </w:tblCellMar>
      </w:tblPr>
      <w:tblGrid>
        <w:gridCol w:w="99"/>
        <w:gridCol w:w="210"/>
        <w:gridCol w:w="9896"/>
      </w:tblGrid>
      <w:tr>
        <w:trPr/>
        <w:tc>
          <w:tcPr>
            <w:tcW w:w="99" w:type="dxa"/>
            <w:tcBorders/>
            <w:shd w:fill="auto" w:val="clear"/>
          </w:tcPr>
          <w:p>
            <w:pPr>
              <w:pStyle w:val="TableContents"/>
              <w:spacing w:before="0" w:after="0"/>
              <w:rPr/>
            </w:pPr>
            <w:r>
              <w:rPr/>
              <w:t xml:space="preserve">  </w:t>
            </w:r>
          </w:p>
        </w:tc>
        <w:tc>
          <w:tcPr>
            <w:tcW w:w="21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896" w:type="dxa"/>
            <w:tcBorders/>
            <w:shd w:fill="auto" w:val="clear"/>
          </w:tcPr>
          <w:p>
            <w:pPr>
              <w:pStyle w:val="TableContents"/>
              <w:spacing w:before="0" w:after="0"/>
              <w:jc w:val="both"/>
              <w:rPr>
                <w:rFonts w:ascii="Times New Roman" w:hAnsi="Times New Roman"/>
                <w:sz w:val="20"/>
              </w:rPr>
            </w:pPr>
            <w:r>
              <w:rPr>
                <w:rFonts w:ascii="Times New Roman" w:hAnsi="Times New Roman"/>
                <w:sz w:val="20"/>
                <w:u w:val="single"/>
              </w:rPr>
              <w:t>Requirement of Employment</w:t>
            </w:r>
            <w:r>
              <w:rPr>
                <w:rFonts w:ascii="Times New Roman" w:hAnsi="Times New Roman"/>
                <w:sz w:val="20"/>
              </w:rPr>
              <w:t>.  No Incentive Stock Option may be granted to any person who is not an Employee of the Company or a Parent or Subsidiary of the Company.</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459" w:name="hangingindent120"/>
      <w:bookmarkStart w:id="460" w:name="hangingindent120"/>
      <w:bookmarkEnd w:id="460"/>
    </w:p>
    <w:tbl>
      <w:tblPr>
        <w:tblW w:w="5000" w:type="pct"/>
        <w:jc w:val="center"/>
        <w:tblInd w:w="0" w:type="dxa"/>
        <w:tblCellMar>
          <w:top w:w="0" w:type="dxa"/>
          <w:left w:w="0" w:type="dxa"/>
          <w:bottom w:w="0" w:type="dxa"/>
          <w:right w:w="0" w:type="dxa"/>
        </w:tblCellMar>
      </w:tblPr>
      <w:tblGrid>
        <w:gridCol w:w="567"/>
        <w:gridCol w:w="9638"/>
      </w:tblGrid>
      <w:tr>
        <w:trPr/>
        <w:tc>
          <w:tcPr>
            <w:tcW w:w="567"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8.</w:t>
            </w:r>
          </w:p>
        </w:tc>
        <w:tc>
          <w:tcPr>
            <w:tcW w:w="9638" w:type="dxa"/>
            <w:tcBorders/>
            <w:shd w:fill="auto" w:val="clear"/>
          </w:tcPr>
          <w:p>
            <w:pPr>
              <w:pStyle w:val="TableContents"/>
              <w:spacing w:before="0" w:after="0"/>
              <w:jc w:val="both"/>
              <w:rPr>
                <w:rFonts w:ascii="Times New Roman" w:hAnsi="Times New Roman"/>
                <w:b/>
                <w:sz w:val="20"/>
                <w:u w:val="single"/>
              </w:rPr>
            </w:pPr>
            <w:r>
              <w:rPr>
                <w:rFonts w:ascii="Times New Roman" w:hAnsi="Times New Roman"/>
                <w:b/>
                <w:sz w:val="20"/>
                <w:u w:val="single"/>
              </w:rPr>
              <w:t>RESTRICTED STOCK AWARDS</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461" w:name="TAB114"/>
      <w:bookmarkEnd w:id="461"/>
      <w:r>
        <w:rPr>
          <w:rFonts w:ascii="Times New Roman" w:hAnsi="Times New Roman"/>
          <w:b/>
          <w:sz w:val="20"/>
          <w:u w:val="single"/>
        </w:rPr>
        <w:t>Grant of Restricted Stock Awards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8.1                      Subject to the terms and provisions of this Plan, the Administrator is authorized to make awards of Restricted Stock to any Eligible Participant in such amounts and subject to such terms and conditions as may be selected by the Administrator.  The restrictions may lapse separately or in combination at such times, under such circumstances, in such instalments, time-based or upon the satisfaction of performance goals or otherwise, as the Administrator determines at the time of the grant of the Award or thereafter. (See Performance Goals, Section 14.4).  All awards of Restricted Stock shall be evidenced by Award Agreements.</w:t>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462" w:name="TAB115"/>
      <w:bookmarkEnd w:id="462"/>
      <w:r>
        <w:rPr>
          <w:rFonts w:ascii="Times New Roman" w:hAnsi="Times New Roman"/>
          <w:b/>
          <w:sz w:val="20"/>
          <w:u w:val="single"/>
        </w:rPr>
        <w:t>Consideration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8.2                      Restricted Stock may be issued in connection with:</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r>
        <w:rPr>
          <w:rFonts w:ascii="Times New Roman" w:hAnsi="Times New Roman"/>
          <w:sz w:val="20"/>
        </w:rPr>
        <w:t>(a)           </w:t>
      </w:r>
      <w:r>
        <w:rPr>
          <w:rFonts w:ascii="Times New Roman" w:hAnsi="Times New Roman"/>
          <w:sz w:val="20"/>
          <w:u w:val="single"/>
        </w:rPr>
        <w:t>Services</w:t>
      </w:r>
      <w:r>
        <w:rPr>
          <w:rFonts w:ascii="Times New Roman" w:hAnsi="Times New Roman"/>
          <w:sz w:val="20"/>
        </w:rPr>
        <w:t>.  Services rendered to the Company or an Affiliate (i.e. bonus); and/or</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463" w:name="hangingindent121"/>
      <w:bookmarkStart w:id="464" w:name="hangingindent121"/>
      <w:bookmarkEnd w:id="464"/>
    </w:p>
    <w:tbl>
      <w:tblPr>
        <w:tblW w:w="5000" w:type="pct"/>
        <w:jc w:val="center"/>
        <w:tblInd w:w="0" w:type="dxa"/>
        <w:tblCellMar>
          <w:top w:w="0" w:type="dxa"/>
          <w:left w:w="0" w:type="dxa"/>
          <w:bottom w:w="0" w:type="dxa"/>
          <w:right w:w="0" w:type="dxa"/>
        </w:tblCellMar>
      </w:tblPr>
      <w:tblGrid>
        <w:gridCol w:w="89"/>
        <w:gridCol w:w="215"/>
        <w:gridCol w:w="9901"/>
      </w:tblGrid>
      <w:tr>
        <w:trPr/>
        <w:tc>
          <w:tcPr>
            <w:tcW w:w="89" w:type="dxa"/>
            <w:tcBorders/>
            <w:shd w:fill="auto" w:val="clear"/>
          </w:tcPr>
          <w:p>
            <w:pPr>
              <w:pStyle w:val="TableContents"/>
              <w:spacing w:before="0" w:after="0"/>
              <w:rPr/>
            </w:pPr>
            <w:r>
              <w:rPr/>
              <w:t xml:space="preserve">  </w:t>
            </w:r>
          </w:p>
        </w:tc>
        <w:tc>
          <w:tcPr>
            <w:tcW w:w="21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01" w:type="dxa"/>
            <w:tcBorders/>
            <w:shd w:fill="auto" w:val="clear"/>
          </w:tcPr>
          <w:p>
            <w:pPr>
              <w:pStyle w:val="TableContents"/>
              <w:spacing w:before="0" w:after="0"/>
              <w:jc w:val="both"/>
              <w:rPr>
                <w:rFonts w:ascii="Times New Roman" w:hAnsi="Times New Roman"/>
                <w:sz w:val="20"/>
              </w:rPr>
            </w:pPr>
            <w:r>
              <w:rPr>
                <w:rFonts w:ascii="Times New Roman" w:hAnsi="Times New Roman"/>
                <w:sz w:val="20"/>
                <w:u w:val="single"/>
              </w:rPr>
              <w:t>Purchase Price</w:t>
            </w:r>
            <w:r>
              <w:rPr>
                <w:rFonts w:ascii="Times New Roman" w:hAnsi="Times New Roman"/>
                <w:sz w:val="20"/>
              </w:rPr>
              <w:t>.  A purchase price, as specified in the Award Agreement related to such Restricted Stock, equal to not be less than 100% of the Fair Market Value of the Shares underlying the Restricted Stock on the date of issuance.</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465" w:name="TAB116"/>
      <w:bookmarkEnd w:id="465"/>
      <w:r>
        <w:rPr>
          <w:rFonts w:ascii="Times New Roman" w:hAnsi="Times New Roman"/>
          <w:b/>
          <w:sz w:val="20"/>
          <w:u w:val="single"/>
        </w:rPr>
        <w:t>Voting and Dividends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8.3                      Unless the Administrator in its sole and absolute discretion otherwise provides in an Award Agreement, holders of Restricted Stock shall have the right to vote such Restricted Stock and the right to receive any dividends declared or paid with respect to such Restricted Stock.  The Administrator may provide that any dividends paid on Restricted Stock must be reinvested in shares of Stock, which may or may not be subject to the same vesting conditions and restrictions applicable to such Restricted Stock.  All distributions, if any, received by a Grantee with respect to Restricted Stock as a result of any stock split, stock dividend, combination of shares, or other similar transaction shall be subject to the restrictions applicable to the original Award.</w:t>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466" w:name="TAB117"/>
      <w:bookmarkEnd w:id="466"/>
      <w:r>
        <w:rPr>
          <w:rFonts w:ascii="Times New Roman" w:hAnsi="Times New Roman"/>
          <w:b/>
          <w:sz w:val="20"/>
          <w:u w:val="single"/>
        </w:rPr>
        <w:t>Forfeiture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8.4                      In the case of an event of forfeiture pursuant to the Award Agreement, including failure to satisfy the restriction period or a performance objective during the applicable restriction period, any Restricted Stock that has not vested prior to the event of forfeiture shall automatically expire, and all of the rights, title and interest of the Grantee thereunder shall be forfeited in their entirety including but not limited to any right to vote and receive dividends with respect to the Restricted Stock.  Notwithstanding the foregoing, the Administrator may provide in any Award Agreement that restrictions or forfeiture conditions relating to Restricted Stock shall be waived in whole or in part in the event of terminations resulting from specified causes, and the Administrator may in other cases waive in whole or in part restrictions or forfeiture conditions relating to Restricted Stock, provided such waiver is in accordance with the Applicable Laws.</w:t>
      </w:r>
    </w:p>
    <w:p>
      <w:pPr>
        <w:pStyle w:val="TextBody"/>
        <w:spacing w:before="0" w:after="0"/>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467" w:name="PGBRK22"/>
      <w:bookmarkStart w:id="468" w:name="PGBRK22"/>
      <w:bookmarkEnd w:id="4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469" w:name="FTR22"/>
      <w:bookmarkStart w:id="470" w:name="FTR22"/>
      <w:bookmarkEnd w:id="4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71" w:name="GLFTR22"/>
      <w:bookmarkEnd w:id="4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72" w:name="PN22"/>
      <w:bookmarkEnd w:id="472"/>
      <w:r>
        <w:rPr>
          <w:rFonts w:ascii="Times New Roman" w:hAnsi="Times New Roman"/>
          <w:sz w:val="20"/>
        </w:rPr>
        <w:t>B-13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473" w:name="HDR22"/>
      <w:bookmarkStart w:id="474" w:name="HDR22"/>
      <w:bookmarkEnd w:id="4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75" w:name="GLHDR22"/>
      <w:bookmarkEnd w:id="4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p>
    <w:p>
      <w:pPr>
        <w:pStyle w:val="TextBody"/>
        <w:spacing w:before="0" w:after="0"/>
        <w:ind w:left="0" w:right="0" w:hanging="0"/>
        <w:jc w:val="both"/>
        <w:rPr/>
      </w:pPr>
      <w:r>
        <w:rPr/>
        <w:t> </w:t>
      </w:r>
    </w:p>
    <w:p>
      <w:pPr>
        <w:pStyle w:val="TextBody"/>
        <w:spacing w:before="0" w:after="0"/>
        <w:ind w:left="2160" w:right="0" w:hanging="0"/>
        <w:jc w:val="both"/>
        <w:rPr>
          <w:rFonts w:ascii="Times New Roman" w:hAnsi="Times New Roman"/>
          <w:sz w:val="20"/>
          <w:u w:val="single"/>
        </w:rPr>
      </w:pPr>
      <w:bookmarkStart w:id="476" w:name="TAB118"/>
      <w:bookmarkEnd w:id="476"/>
      <w:r>
        <w:rPr>
          <w:rFonts w:ascii="Times New Roman" w:hAnsi="Times New Roman"/>
          <w:sz w:val="20"/>
          <w:u w:val="single"/>
        </w:rPr>
        <w:t>Certificates for Restricted Stock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8.5                      Restricted Stock granted under this Plan may be evidenced in such manner as the Administrator shall determine, including by way of certificates.  The Administrator may provide in an Award Agreement that either (i) the Secretary of the Company shall hold such certificates for the Grantee’s benefit until such time as the Restricted Stock is forfeited to the Company or the restrictions lapse, (see Escrow; Pledge of Shares, Section 23) or (ii) such certificates shall be delivered to the Grantee, provided, however, that such certificates shall bear a legend or legends that comply with the applicable securities laws and regulations and make appropriate reference to the restrictions imposed under this Plan and the Award Agreement.</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477" w:name="hangingindent122"/>
      <w:bookmarkStart w:id="478" w:name="hangingindent122"/>
      <w:bookmarkEnd w:id="478"/>
    </w:p>
    <w:tbl>
      <w:tblPr>
        <w:tblW w:w="5000" w:type="pct"/>
        <w:jc w:val="center"/>
        <w:tblInd w:w="0" w:type="dxa"/>
        <w:tblCellMar>
          <w:top w:w="0" w:type="dxa"/>
          <w:left w:w="0" w:type="dxa"/>
          <w:bottom w:w="0" w:type="dxa"/>
          <w:right w:w="0" w:type="dxa"/>
        </w:tblCellMar>
      </w:tblPr>
      <w:tblGrid>
        <w:gridCol w:w="521"/>
        <w:gridCol w:w="9684"/>
      </w:tblGrid>
      <w:tr>
        <w:trPr/>
        <w:tc>
          <w:tcPr>
            <w:tcW w:w="521"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9.</w:t>
            </w:r>
          </w:p>
        </w:tc>
        <w:tc>
          <w:tcPr>
            <w:tcW w:w="9684" w:type="dxa"/>
            <w:tcBorders/>
            <w:shd w:fill="auto" w:val="clear"/>
          </w:tcPr>
          <w:p>
            <w:pPr>
              <w:pStyle w:val="TableContents"/>
              <w:spacing w:before="0" w:after="0"/>
              <w:jc w:val="both"/>
              <w:rPr>
                <w:rFonts w:ascii="Times New Roman" w:hAnsi="Times New Roman"/>
                <w:b/>
                <w:sz w:val="20"/>
                <w:u w:val="single"/>
              </w:rPr>
            </w:pPr>
            <w:r>
              <w:rPr>
                <w:rFonts w:ascii="Times New Roman" w:hAnsi="Times New Roman"/>
                <w:b/>
                <w:sz w:val="20"/>
                <w:u w:val="single"/>
              </w:rPr>
              <w:t>UNRESTRICTED STOCK AWARDS</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bookmarkStart w:id="479" w:name="TAB119"/>
      <w:bookmarkEnd w:id="479"/>
      <w:r>
        <w:rPr>
          <w:rFonts w:ascii="Times New Roman" w:hAnsi="Times New Roman"/>
          <w:sz w:val="20"/>
        </w:rPr>
        <w:t>The Administrator may, in its sole discretion, grant (or sell at not less than 100% of the Fair Market Value or such other higher purchase price determined by the Administrator in the Award Agreement) an Award of unrestricted Shares to any Grantee pursuant to which such Grantee may receive Shares free of any restrictions under this Plan.</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480" w:name="hangingindent123"/>
      <w:bookmarkStart w:id="481" w:name="hangingindent123"/>
      <w:bookmarkEnd w:id="481"/>
    </w:p>
    <w:tbl>
      <w:tblPr>
        <w:tblW w:w="5000" w:type="pct"/>
        <w:jc w:val="center"/>
        <w:tblInd w:w="0" w:type="dxa"/>
        <w:tblCellMar>
          <w:top w:w="0" w:type="dxa"/>
          <w:left w:w="0" w:type="dxa"/>
          <w:bottom w:w="0" w:type="dxa"/>
          <w:right w:w="0" w:type="dxa"/>
        </w:tblCellMar>
      </w:tblPr>
      <w:tblGrid>
        <w:gridCol w:w="965"/>
        <w:gridCol w:w="9240"/>
      </w:tblGrid>
      <w:tr>
        <w:trPr/>
        <w:tc>
          <w:tcPr>
            <w:tcW w:w="965"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10.</w:t>
            </w:r>
          </w:p>
        </w:tc>
        <w:tc>
          <w:tcPr>
            <w:tcW w:w="9240" w:type="dxa"/>
            <w:tcBorders/>
            <w:shd w:fill="auto" w:val="clear"/>
          </w:tcPr>
          <w:p>
            <w:pPr>
              <w:pStyle w:val="TableContents"/>
              <w:spacing w:before="0" w:after="0"/>
              <w:jc w:val="both"/>
              <w:rPr>
                <w:rFonts w:ascii="Times New Roman" w:hAnsi="Times New Roman"/>
                <w:b/>
                <w:sz w:val="20"/>
                <w:u w:val="single"/>
              </w:rPr>
            </w:pPr>
            <w:r>
              <w:rPr>
                <w:rFonts w:ascii="Times New Roman" w:hAnsi="Times New Roman"/>
                <w:b/>
                <w:sz w:val="20"/>
                <w:u w:val="single"/>
              </w:rPr>
              <w:t>RESTRICTED STOCK UNITS</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482" w:name="TAB120"/>
      <w:bookmarkEnd w:id="482"/>
      <w:r>
        <w:rPr>
          <w:rFonts w:ascii="Times New Roman" w:hAnsi="Times New Roman"/>
          <w:b/>
          <w:sz w:val="20"/>
          <w:u w:val="single"/>
        </w:rPr>
        <w:t>Grant of Restricted Stock Units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10.1                      Subject to the terms and provisions of this Plan, the Administrator is authorized to make awards of Restricted Stock Units to any Eligible Participant in such amounts and subject to such terms and conditions as may be selected by the Administrator.  These restrictions may lapse separately or in combination at such times, under such circumstances, in such instalments, time-based or upon the satisfaction of performance goals or otherwise, as the Administrator determines at the time of the grant of the Award or thereafter. (See Performance Goals, Section 14.4).  All awards of Restricted Stock Units shall be evidenced by Award Agreements.</w:t>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483" w:name="TAB121"/>
      <w:bookmarkEnd w:id="483"/>
      <w:r>
        <w:rPr>
          <w:rFonts w:ascii="Times New Roman" w:hAnsi="Times New Roman"/>
          <w:b/>
          <w:sz w:val="20"/>
          <w:u w:val="single"/>
        </w:rPr>
        <w:t>Number of Restricted Stock Units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10.2                      The Award Agreement shall specify the number of Share equivalent units granted and such other provisions as the Administrator determines.</w:t>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484" w:name="TAB122"/>
      <w:bookmarkEnd w:id="484"/>
      <w:r>
        <w:rPr>
          <w:rFonts w:ascii="Times New Roman" w:hAnsi="Times New Roman"/>
          <w:b/>
          <w:sz w:val="20"/>
          <w:u w:val="single"/>
        </w:rPr>
        <w:t>Consideration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10.3                      Restricted Stock Units may be issued in connection with:</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r>
        <w:rPr>
          <w:rFonts w:ascii="Times New Roman" w:hAnsi="Times New Roman"/>
          <w:sz w:val="20"/>
        </w:rPr>
        <w:t>(a)           </w:t>
      </w:r>
      <w:r>
        <w:rPr>
          <w:rFonts w:ascii="Times New Roman" w:hAnsi="Times New Roman"/>
          <w:sz w:val="20"/>
          <w:u w:val="single"/>
        </w:rPr>
        <w:t>Services</w:t>
      </w:r>
      <w:r>
        <w:rPr>
          <w:rFonts w:ascii="Times New Roman" w:hAnsi="Times New Roman"/>
          <w:sz w:val="20"/>
        </w:rPr>
        <w:t>.  Services rendered to the Company or an Affiliate (i.e. bonus); and/or</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485" w:name="hangingindent124"/>
      <w:bookmarkStart w:id="486" w:name="hangingindent124"/>
      <w:bookmarkEnd w:id="486"/>
    </w:p>
    <w:tbl>
      <w:tblPr>
        <w:tblW w:w="5000" w:type="pct"/>
        <w:jc w:val="center"/>
        <w:tblInd w:w="0" w:type="dxa"/>
        <w:tblCellMar>
          <w:top w:w="0" w:type="dxa"/>
          <w:left w:w="0" w:type="dxa"/>
          <w:bottom w:w="0" w:type="dxa"/>
          <w:right w:w="0" w:type="dxa"/>
        </w:tblCellMar>
      </w:tblPr>
      <w:tblGrid>
        <w:gridCol w:w="88"/>
        <w:gridCol w:w="214"/>
        <w:gridCol w:w="9903"/>
      </w:tblGrid>
      <w:tr>
        <w:trPr/>
        <w:tc>
          <w:tcPr>
            <w:tcW w:w="88" w:type="dxa"/>
            <w:tcBorders/>
            <w:shd w:fill="auto" w:val="clear"/>
          </w:tcPr>
          <w:p>
            <w:pPr>
              <w:pStyle w:val="TableContents"/>
              <w:spacing w:before="0" w:after="0"/>
              <w:rPr/>
            </w:pPr>
            <w:r>
              <w:rPr/>
              <w:t xml:space="preserve">  </w:t>
            </w:r>
          </w:p>
        </w:tc>
        <w:tc>
          <w:tcPr>
            <w:tcW w:w="21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03" w:type="dxa"/>
            <w:tcBorders/>
            <w:shd w:fill="auto" w:val="clear"/>
          </w:tcPr>
          <w:p>
            <w:pPr>
              <w:pStyle w:val="TableContents"/>
              <w:spacing w:before="0" w:after="0"/>
              <w:jc w:val="both"/>
              <w:rPr>
                <w:rFonts w:ascii="Times New Roman" w:hAnsi="Times New Roman"/>
                <w:sz w:val="20"/>
              </w:rPr>
            </w:pPr>
            <w:r>
              <w:rPr>
                <w:rFonts w:ascii="Times New Roman" w:hAnsi="Times New Roman"/>
                <w:sz w:val="20"/>
                <w:u w:val="single"/>
              </w:rPr>
              <w:t>Purchase Price</w:t>
            </w:r>
            <w:r>
              <w:rPr>
                <w:rFonts w:ascii="Times New Roman" w:hAnsi="Times New Roman"/>
                <w:sz w:val="20"/>
              </w:rPr>
              <w:t>.  A purchase price as specified in the Award Agreement related to such Restricted Stock Units, equal to not be less than 100% of the Fair Market Value of the Shares underlying the Restricted Stock Units on the date of issuance.</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487" w:name="TAB123"/>
      <w:bookmarkEnd w:id="487"/>
      <w:r>
        <w:rPr>
          <w:rFonts w:ascii="Times New Roman" w:hAnsi="Times New Roman"/>
          <w:b/>
          <w:sz w:val="20"/>
          <w:u w:val="single"/>
        </w:rPr>
        <w:t>No Voting Rights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10.4                      The holders of Restricted Stock Units shall have no rights as stockholders of the Company.</w:t>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488" w:name="TAB124"/>
      <w:bookmarkEnd w:id="488"/>
      <w:r>
        <w:rPr>
          <w:rFonts w:ascii="Times New Roman" w:hAnsi="Times New Roman"/>
          <w:b/>
          <w:sz w:val="20"/>
          <w:u w:val="single"/>
        </w:rPr>
        <w:t>Dividend Equivalency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10.5                      The Administrator, in its sole and absolute discretion, may provide in an Award Agreement evidencing a grant of Restricted Stock Units that the holder shall be entitled to receive, upon the Company’s payment of a cash dividend on its outstanding Shares, a cash payment for each Restricted Stock Unit.  (See Section 13, Dividend Equivalent Right).  Such Award Agreement may also provide that such cash payment shall be deemed reinvested in additional Restricted Stock Units at a price per unit equal to the Fair Market Value of a Share on the date that such dividend is paid.</w:t>
      </w:r>
    </w:p>
    <w:p>
      <w:pPr>
        <w:pStyle w:val="TextBody"/>
        <w:spacing w:before="0" w:after="0"/>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489" w:name="PGBRK23"/>
      <w:bookmarkStart w:id="490" w:name="PGBRK23"/>
      <w:bookmarkEnd w:id="4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491" w:name="FTR23"/>
      <w:bookmarkStart w:id="492" w:name="FTR23"/>
      <w:bookmarkEnd w:id="4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93" w:name="GLFTR23"/>
      <w:bookmarkEnd w:id="4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94" w:name="PN23"/>
      <w:bookmarkEnd w:id="494"/>
      <w:r>
        <w:rPr>
          <w:rFonts w:ascii="Times New Roman" w:hAnsi="Times New Roman"/>
          <w:sz w:val="20"/>
        </w:rPr>
        <w:t>B-14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495" w:name="HDR23"/>
      <w:bookmarkStart w:id="496" w:name="HDR23"/>
      <w:bookmarkEnd w:id="4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97" w:name="GLHDR23"/>
      <w:bookmarkEnd w:id="4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p>
    <w:p>
      <w:pPr>
        <w:pStyle w:val="TextBody"/>
        <w:spacing w:before="0" w:after="0"/>
        <w:ind w:left="0" w:right="0" w:hanging="0"/>
        <w:jc w:val="both"/>
        <w:rPr/>
      </w:pPr>
      <w:r>
        <w:rPr/>
        <w:t> </w:t>
      </w:r>
    </w:p>
    <w:p>
      <w:pPr>
        <w:pStyle w:val="TextBody"/>
        <w:spacing w:before="0" w:after="0"/>
        <w:ind w:left="2160" w:right="0" w:hanging="0"/>
        <w:jc w:val="both"/>
        <w:rPr>
          <w:rFonts w:ascii="Times New Roman" w:hAnsi="Times New Roman"/>
          <w:sz w:val="20"/>
          <w:u w:val="single"/>
        </w:rPr>
      </w:pPr>
      <w:bookmarkStart w:id="498" w:name="TAB125"/>
      <w:bookmarkEnd w:id="498"/>
      <w:r>
        <w:rPr>
          <w:rFonts w:ascii="Times New Roman" w:hAnsi="Times New Roman"/>
          <w:sz w:val="20"/>
          <w:u w:val="single"/>
        </w:rPr>
        <w:t>Creditor’s Rights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10.6                      A holder of Restricted Stock Units shall have no rights other than those of a general creditor of the Company.  Restricted Stock Units represent an unfunded and unsecured obligation of the Company, subject to the terms and conditions of the applicable Award Agreement.</w:t>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499" w:name="TAB126"/>
      <w:bookmarkEnd w:id="499"/>
      <w:r>
        <w:rPr>
          <w:rFonts w:ascii="Times New Roman" w:hAnsi="Times New Roman"/>
          <w:b/>
          <w:sz w:val="20"/>
          <w:u w:val="single"/>
        </w:rPr>
        <w:t>Settlement of Restricted Stock Units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10.7                      Each Restricted Stock Unit shall be paid and settled by the issuance of Restricted Stock or unrestricted Shares in accordance with the Award Agreement and if such settlement is subject to Section 409A of the Code only upon any one or more of the following as provided for in the Award Agreement:</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r>
        <w:rPr>
          <w:rFonts w:ascii="Times New Roman" w:hAnsi="Times New Roman"/>
          <w:sz w:val="20"/>
        </w:rPr>
        <w:t>(a)           a specific date or date determinable by a fixed schedule;</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500" w:name="hangingindent125"/>
      <w:bookmarkStart w:id="501" w:name="hangingindent125"/>
      <w:bookmarkEnd w:id="501"/>
    </w:p>
    <w:tbl>
      <w:tblPr>
        <w:tblW w:w="5000" w:type="pct"/>
        <w:jc w:val="center"/>
        <w:tblInd w:w="0" w:type="dxa"/>
        <w:tblCellMar>
          <w:top w:w="0" w:type="dxa"/>
          <w:left w:w="0" w:type="dxa"/>
          <w:bottom w:w="0" w:type="dxa"/>
          <w:right w:w="0" w:type="dxa"/>
        </w:tblCellMar>
      </w:tblPr>
      <w:tblGrid>
        <w:gridCol w:w="77"/>
        <w:gridCol w:w="203"/>
        <w:gridCol w:w="9925"/>
      </w:tblGrid>
      <w:tr>
        <w:trPr/>
        <w:tc>
          <w:tcPr>
            <w:tcW w:w="77" w:type="dxa"/>
            <w:tcBorders/>
            <w:shd w:fill="auto" w:val="clear"/>
          </w:tcPr>
          <w:p>
            <w:pPr>
              <w:pStyle w:val="TableContents"/>
              <w:spacing w:before="0" w:after="0"/>
              <w:rPr/>
            </w:pPr>
            <w:r>
              <w:rPr/>
              <w:t xml:space="preserve">  </w:t>
            </w:r>
          </w:p>
        </w:tc>
        <w:tc>
          <w:tcPr>
            <w:tcW w:w="20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2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upon the Eligible Participant’s termination of Continuous Services to the extent the same constitutes a separation from services for purposes of Section 409A of the Code except that if an Eligible Participant is a “key employee” as defined in Section 409A of the Code for such purposes, then payment or settlement shall occur 6 months following such separation of service;</w:t>
            </w:r>
          </w:p>
        </w:tc>
      </w:tr>
    </w:tbl>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r>
        <w:rPr>
          <w:rFonts w:ascii="Times New Roman" w:hAnsi="Times New Roman"/>
          <w:sz w:val="20"/>
        </w:rPr>
        <w:t>(c)           as a result of the Eligible Participant’s death or Disability; or</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502" w:name="hangingindent126"/>
      <w:bookmarkStart w:id="503" w:name="hangingindent126"/>
      <w:bookmarkEnd w:id="503"/>
    </w:p>
    <w:tbl>
      <w:tblPr>
        <w:tblW w:w="5000" w:type="pct"/>
        <w:jc w:val="center"/>
        <w:tblInd w:w="0" w:type="dxa"/>
        <w:tblCellMar>
          <w:top w:w="0" w:type="dxa"/>
          <w:left w:w="0" w:type="dxa"/>
          <w:bottom w:w="0" w:type="dxa"/>
          <w:right w:w="0" w:type="dxa"/>
        </w:tblCellMar>
      </w:tblPr>
      <w:tblGrid>
        <w:gridCol w:w="141"/>
        <w:gridCol w:w="288"/>
        <w:gridCol w:w="9776"/>
      </w:tblGrid>
      <w:tr>
        <w:trPr/>
        <w:tc>
          <w:tcPr>
            <w:tcW w:w="141" w:type="dxa"/>
            <w:tcBorders/>
            <w:shd w:fill="auto" w:val="clear"/>
          </w:tcPr>
          <w:p>
            <w:pPr>
              <w:pStyle w:val="TableContents"/>
              <w:spacing w:before="0" w:after="0"/>
              <w:rPr/>
            </w:pPr>
            <w:r>
              <w:rPr/>
              <w:t xml:space="preserve">  </w:t>
            </w:r>
          </w:p>
        </w:tc>
        <w:tc>
          <w:tcPr>
            <w:tcW w:w="28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977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 connection with or as a result of a Change of Control in compliance with Section 409A of the Code.</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504" w:name="TAB127"/>
      <w:bookmarkEnd w:id="504"/>
      <w:r>
        <w:rPr>
          <w:rFonts w:ascii="Times New Roman" w:hAnsi="Times New Roman"/>
          <w:b/>
          <w:sz w:val="20"/>
          <w:u w:val="single"/>
        </w:rPr>
        <w:t>Forfeiture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10.8                      Upon failure to satisfy any requirement for settlement as set forth in the Award Agreement, including failure to satisfy any restriction period or performance objective, any Restricted Stock Units held by the Grantee shall automatically expire, and all of the rights, title and interest of the Grantee thereunder shall be forfeited in their entirety including but not limited to any right to receive dividends with respect to the Restricted Stock Units.</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505" w:name="hangingindent127"/>
      <w:bookmarkStart w:id="506" w:name="hangingindent127"/>
      <w:bookmarkEnd w:id="506"/>
    </w:p>
    <w:tbl>
      <w:tblPr>
        <w:tblW w:w="5000" w:type="pct"/>
        <w:jc w:val="center"/>
        <w:tblInd w:w="0" w:type="dxa"/>
        <w:tblCellMar>
          <w:top w:w="0" w:type="dxa"/>
          <w:left w:w="0" w:type="dxa"/>
          <w:bottom w:w="0" w:type="dxa"/>
          <w:right w:w="0" w:type="dxa"/>
        </w:tblCellMar>
      </w:tblPr>
      <w:tblGrid>
        <w:gridCol w:w="457"/>
        <w:gridCol w:w="9748"/>
      </w:tblGrid>
      <w:tr>
        <w:trPr/>
        <w:tc>
          <w:tcPr>
            <w:tcW w:w="457"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11.</w:t>
            </w:r>
          </w:p>
        </w:tc>
        <w:tc>
          <w:tcPr>
            <w:tcW w:w="9748" w:type="dxa"/>
            <w:tcBorders/>
            <w:shd w:fill="auto" w:val="clear"/>
          </w:tcPr>
          <w:p>
            <w:pPr>
              <w:pStyle w:val="TableContents"/>
              <w:spacing w:before="0" w:after="0"/>
              <w:jc w:val="both"/>
              <w:rPr>
                <w:rFonts w:ascii="Times New Roman" w:hAnsi="Times New Roman"/>
                <w:b/>
                <w:sz w:val="20"/>
                <w:u w:val="single"/>
              </w:rPr>
            </w:pPr>
            <w:r>
              <w:rPr>
                <w:rFonts w:ascii="Times New Roman" w:hAnsi="Times New Roman"/>
                <w:b/>
                <w:sz w:val="20"/>
                <w:u w:val="single"/>
              </w:rPr>
              <w:t>DIRECTOR SHARES AND DIRECTOR DEFERRED STOCK UNITS</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bookmarkStart w:id="507" w:name="TAB128"/>
      <w:bookmarkEnd w:id="507"/>
      <w:r>
        <w:rPr>
          <w:rFonts w:ascii="Times New Roman" w:hAnsi="Times New Roman"/>
          <w:sz w:val="20"/>
        </w:rPr>
        <w:t>The grant of Awards of Shares to Directors and the election by Directors to defer the receipt of the Awards of Shares (the “</w:t>
      </w:r>
      <w:r>
        <w:rPr>
          <w:rFonts w:ascii="Times New Roman" w:hAnsi="Times New Roman"/>
          <w:b/>
          <w:sz w:val="20"/>
        </w:rPr>
        <w:t>Deferred Stock Units</w:t>
      </w:r>
      <w:r>
        <w:rPr>
          <w:rFonts w:ascii="Times New Roman" w:hAnsi="Times New Roman"/>
          <w:sz w:val="20"/>
        </w:rPr>
        <w:t>”) shall be governed by the provisions of Subpart A which is attached hereto.  The provisions of Subpart A are attached hereto as part of this Plan and are incorporated herein by reference.</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508" w:name="hangingindent128"/>
      <w:bookmarkStart w:id="509" w:name="hangingindent128"/>
      <w:bookmarkEnd w:id="509"/>
    </w:p>
    <w:tbl>
      <w:tblPr>
        <w:tblW w:w="5000" w:type="pct"/>
        <w:jc w:val="center"/>
        <w:tblInd w:w="0" w:type="dxa"/>
        <w:tblCellMar>
          <w:top w:w="0" w:type="dxa"/>
          <w:left w:w="0" w:type="dxa"/>
          <w:bottom w:w="0" w:type="dxa"/>
          <w:right w:w="0" w:type="dxa"/>
        </w:tblCellMar>
      </w:tblPr>
      <w:tblGrid>
        <w:gridCol w:w="851"/>
        <w:gridCol w:w="9354"/>
      </w:tblGrid>
      <w:tr>
        <w:trPr/>
        <w:tc>
          <w:tcPr>
            <w:tcW w:w="851"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12.</w:t>
            </w:r>
          </w:p>
        </w:tc>
        <w:tc>
          <w:tcPr>
            <w:tcW w:w="9354" w:type="dxa"/>
            <w:tcBorders/>
            <w:shd w:fill="auto" w:val="clear"/>
          </w:tcPr>
          <w:p>
            <w:pPr>
              <w:pStyle w:val="TableContents"/>
              <w:spacing w:before="0" w:after="0"/>
              <w:jc w:val="both"/>
              <w:rPr>
                <w:rFonts w:ascii="Times New Roman" w:hAnsi="Times New Roman"/>
                <w:b/>
                <w:sz w:val="20"/>
                <w:u w:val="single"/>
              </w:rPr>
            </w:pPr>
            <w:r>
              <w:rPr>
                <w:rFonts w:ascii="Times New Roman" w:hAnsi="Times New Roman"/>
                <w:b/>
                <w:sz w:val="20"/>
                <w:u w:val="single"/>
              </w:rPr>
              <w:t>STOCK APPRECIATION RIGHTS</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510" w:name="TAB129"/>
      <w:bookmarkEnd w:id="510"/>
      <w:r>
        <w:rPr>
          <w:rFonts w:ascii="Times New Roman" w:hAnsi="Times New Roman"/>
          <w:b/>
          <w:sz w:val="20"/>
          <w:u w:val="single"/>
        </w:rPr>
        <w:t>Awards of SARs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12.1                      An SAR is an award to receive a number of Shares (which may consist of Restricted Stock), or cash, or Shares and cash, as determined by the Administrator in accordance with Section 12.4 below, for services rendered to the Company.  A SAR may be awarded pursuant to an Award Agreement that shall be in such form (which need not be the same for each Grantee) as the Administrator shall from time to time approve, and shall comply with and be subject to the terms and conditions of this Plan.  A SAR may vary from Grantee to Grantee and between groups of Grantees, and may be based upon performance objectives (See Performance Goals in Section 14.4).</w:t>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511" w:name="TAB130"/>
      <w:bookmarkEnd w:id="511"/>
      <w:r>
        <w:rPr>
          <w:rFonts w:ascii="Times New Roman" w:hAnsi="Times New Roman"/>
          <w:b/>
          <w:sz w:val="20"/>
          <w:u w:val="single"/>
        </w:rPr>
        <w:t>Term</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12.2                      The term of a SAR shall be set forth in the Award Agreement as determined by the Administrator.</w:t>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512" w:name="TAB131"/>
      <w:bookmarkEnd w:id="512"/>
      <w:r>
        <w:rPr>
          <w:rFonts w:ascii="Times New Roman" w:hAnsi="Times New Roman"/>
          <w:b/>
          <w:sz w:val="20"/>
          <w:u w:val="single"/>
        </w:rPr>
        <w:t>Exercise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12.3                      A Grantee desiring to exercise a SAR shall give written notice of such exercise to the Company, which notice shall state the proportion of Shares and cash that the Grantee desires to receive pursuant to the SAR</w:t>
      </w:r>
    </w:p>
    <w:p>
      <w:pPr>
        <w:pStyle w:val="TextBody"/>
        <w:spacing w:before="0" w:after="0"/>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513" w:name="PGBRK24"/>
      <w:bookmarkStart w:id="514" w:name="PGBRK24"/>
      <w:bookmarkEnd w:id="5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515" w:name="FTR24"/>
      <w:bookmarkStart w:id="516" w:name="FTR24"/>
      <w:bookmarkEnd w:id="5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17" w:name="GLFTR24"/>
      <w:bookmarkEnd w:id="5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18" w:name="PN24"/>
      <w:bookmarkEnd w:id="518"/>
      <w:r>
        <w:rPr>
          <w:rFonts w:ascii="Times New Roman" w:hAnsi="Times New Roman"/>
          <w:sz w:val="20"/>
        </w:rPr>
        <w:t>B-15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519" w:name="HDR24"/>
      <w:bookmarkStart w:id="520" w:name="HDR24"/>
      <w:bookmarkEnd w:id="5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21" w:name="GLHDR24"/>
      <w:bookmarkEnd w:id="5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exercised, subject to the discretion of the Administrator.  Upon receipt of the notice from the Grantee, subject to the Administrator’s election to pay cash as provided in Section 12.4 below, the Company shall deliver to the person entitled thereto (i) a certificate or certificates for Shares and/or (ii) a cash payment, in accordance with Section 12.4 below.  The date the Company receives written notice of such exercise hereunder is referred to in this Section 12 as the “</w:t>
      </w:r>
      <w:r>
        <w:rPr>
          <w:rFonts w:ascii="Times New Roman" w:hAnsi="Times New Roman"/>
          <w:b/>
          <w:sz w:val="20"/>
        </w:rPr>
        <w:t>exercise date</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522" w:name="TAB132"/>
      <w:bookmarkEnd w:id="522"/>
      <w:r>
        <w:rPr>
          <w:rFonts w:ascii="Times New Roman" w:hAnsi="Times New Roman"/>
          <w:b/>
          <w:sz w:val="20"/>
          <w:u w:val="single"/>
        </w:rPr>
        <w:t>Number of Shares or Amount of Cash</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12.4                      Subject to the discretion of the Administrator to substitute cash for Shares, or some portion of the Shares for cash, the amount of Shares that may be issued pursuant to the exercise of a SAR shall be determined by dividing: (i) the total number of Shares as to which the SAR is exercised, multiplied by the amount by which the Fair Market Value of the Shares on the exercise date exceeds the Fair Market Value of a Share on the date of grant of the SAR; by (ii) the Fair Market Value of a Share on the exercise date; provided, however, that fractional Shares shall not be issued and in lieu thereof, a cash adjustment shall be paid.  In lieu of issuing Shares upon the exercise of a SAR, the Administrator in its sole discretion may elect to pay the cash equivalent of the Fair Market Value of the Shares on the exercise date for any or all of the Shares that would otherwise be issuable upon exercise of the SAR.</w:t>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523" w:name="TAB133"/>
      <w:bookmarkEnd w:id="523"/>
      <w:r>
        <w:rPr>
          <w:rFonts w:ascii="Times New Roman" w:hAnsi="Times New Roman"/>
          <w:b/>
          <w:sz w:val="20"/>
          <w:u w:val="single"/>
        </w:rPr>
        <w:t>Effect of Exercise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12.5                      A partial exercise of a SAR shall not affect the right to exercise the remaining SAR from time to time in accordance with this Plan and the applicable Award Agreement with respect to the remaining shares subject to the SAR.</w:t>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524" w:name="TAB134"/>
      <w:bookmarkEnd w:id="524"/>
      <w:r>
        <w:rPr>
          <w:rFonts w:ascii="Times New Roman" w:hAnsi="Times New Roman"/>
          <w:b/>
          <w:sz w:val="20"/>
          <w:u w:val="single"/>
        </w:rPr>
        <w:t>Forfeiture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12.6                      In the case of an event of forfeiture pursuant to the Award Agreement, including failure to satisfy any restriction period or a performance objective, any SAR that has not vested prior to the date of termination shall automatically expire, and all of the rights, title and interest of the Grantee thereunder shall be forfeited in their entirety.</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525" w:name="hangingindent129"/>
      <w:bookmarkStart w:id="526" w:name="hangingindent129"/>
      <w:bookmarkEnd w:id="526"/>
    </w:p>
    <w:tbl>
      <w:tblPr>
        <w:tblW w:w="5000" w:type="pct"/>
        <w:jc w:val="center"/>
        <w:tblInd w:w="0" w:type="dxa"/>
        <w:tblCellMar>
          <w:top w:w="0" w:type="dxa"/>
          <w:left w:w="0" w:type="dxa"/>
          <w:bottom w:w="0" w:type="dxa"/>
          <w:right w:w="0" w:type="dxa"/>
        </w:tblCellMar>
      </w:tblPr>
      <w:tblGrid>
        <w:gridCol w:w="851"/>
        <w:gridCol w:w="9354"/>
      </w:tblGrid>
      <w:tr>
        <w:trPr/>
        <w:tc>
          <w:tcPr>
            <w:tcW w:w="851"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13.</w:t>
            </w:r>
          </w:p>
        </w:tc>
        <w:tc>
          <w:tcPr>
            <w:tcW w:w="9354" w:type="dxa"/>
            <w:tcBorders/>
            <w:shd w:fill="auto" w:val="clear"/>
          </w:tcPr>
          <w:p>
            <w:pPr>
              <w:pStyle w:val="TableContents"/>
              <w:spacing w:before="0" w:after="0"/>
              <w:jc w:val="both"/>
              <w:rPr>
                <w:rFonts w:ascii="Times New Roman" w:hAnsi="Times New Roman"/>
                <w:b/>
                <w:sz w:val="20"/>
                <w:u w:val="single"/>
              </w:rPr>
            </w:pPr>
            <w:r>
              <w:rPr>
                <w:rFonts w:ascii="Times New Roman" w:hAnsi="Times New Roman"/>
                <w:b/>
                <w:sz w:val="20"/>
                <w:u w:val="single"/>
              </w:rPr>
              <w:t>DIVIDEND EQUIVALENT RIGHT</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bookmarkStart w:id="527" w:name="TAB135"/>
      <w:bookmarkEnd w:id="527"/>
      <w:r>
        <w:rPr>
          <w:rFonts w:ascii="Times New Roman" w:hAnsi="Times New Roman"/>
          <w:sz w:val="20"/>
        </w:rPr>
        <w:t>A dividend equivalent right is an Award entitling the recipient to receive credits based on cash distributions that would have been paid on the Shares specified in the dividend equivalent right (or other Award to which it relates) if such Shares had been issued to and held by the recipient (a “</w:t>
      </w:r>
      <w:r>
        <w:rPr>
          <w:rFonts w:ascii="Times New Roman" w:hAnsi="Times New Roman"/>
          <w:b/>
          <w:sz w:val="20"/>
        </w:rPr>
        <w:t>Dividend Equivalent Right</w:t>
      </w:r>
      <w:r>
        <w:rPr>
          <w:rFonts w:ascii="Times New Roman" w:hAnsi="Times New Roman"/>
          <w:sz w:val="20"/>
        </w:rPr>
        <w:t>”).  A Dividend Equivalent Right may be granted hereunder to any Grantee as a component of another Award or as a freestanding Award.  The terms and conditions of Dividend Equivalent Right shall be specified in the grant.  Dividend equivalents credited to the holder of a Dividend Equivalent Right may be paid currently or may be deemed to be reinvested in additional Shares, which may thereafter accrue additional equivalents.  Any such reinvestment shall be at Fair Market Value on the date of reinvestment. Dividend Equivalent Rights may be settled in cash or Shares or a combination thereof, in a single instalment or instalments, all determined in the sole discretion of the Administrator.  A Dividend Equivalent Right granted as a component of another Award may provide that such Dividend Equivalent Right shall be settled upon exercise, settlement, or payment of, or lapse of restrictions on, such other Award, and that such Dividend Equivalent Right shall expire or be forfeited or annulled under the same conditions as such other Award.  A Dividend Equivalent Right granted as a component of another Award may also contain terms and conditions different from such other Award.</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528" w:name="hangingindent130"/>
      <w:bookmarkStart w:id="529" w:name="hangingindent130"/>
      <w:bookmarkEnd w:id="529"/>
    </w:p>
    <w:tbl>
      <w:tblPr>
        <w:tblW w:w="5000" w:type="pct"/>
        <w:jc w:val="center"/>
        <w:tblInd w:w="0" w:type="dxa"/>
        <w:tblCellMar>
          <w:top w:w="0" w:type="dxa"/>
          <w:left w:w="0" w:type="dxa"/>
          <w:bottom w:w="0" w:type="dxa"/>
          <w:right w:w="0" w:type="dxa"/>
        </w:tblCellMar>
      </w:tblPr>
      <w:tblGrid>
        <w:gridCol w:w="717"/>
        <w:gridCol w:w="9488"/>
      </w:tblGrid>
      <w:tr>
        <w:trPr/>
        <w:tc>
          <w:tcPr>
            <w:tcW w:w="717"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14.</w:t>
            </w:r>
          </w:p>
        </w:tc>
        <w:tc>
          <w:tcPr>
            <w:tcW w:w="9488" w:type="dxa"/>
            <w:tcBorders/>
            <w:shd w:fill="auto" w:val="clear"/>
          </w:tcPr>
          <w:p>
            <w:pPr>
              <w:pStyle w:val="TableContents"/>
              <w:spacing w:before="0" w:after="0"/>
              <w:jc w:val="both"/>
              <w:rPr>
                <w:rFonts w:ascii="Times New Roman" w:hAnsi="Times New Roman"/>
                <w:b/>
                <w:sz w:val="20"/>
                <w:u w:val="single"/>
              </w:rPr>
            </w:pPr>
            <w:r>
              <w:rPr>
                <w:rFonts w:ascii="Times New Roman" w:hAnsi="Times New Roman"/>
                <w:b/>
                <w:sz w:val="20"/>
                <w:u w:val="single"/>
              </w:rPr>
              <w:t>TERMS AND CONDITIONS OF AWARDS</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530" w:name="TAB136"/>
      <w:bookmarkEnd w:id="530"/>
      <w:r>
        <w:rPr>
          <w:rFonts w:ascii="Times New Roman" w:hAnsi="Times New Roman"/>
          <w:b/>
          <w:sz w:val="20"/>
          <w:u w:val="single"/>
        </w:rPr>
        <w:t>In General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14.1                      Subject to the terms of the Plan and Applicable Laws, the Administrator shall determine the provisions, terms, and conditions of each Award including, but not limited to, the Award vesting schedule, repurchase provisions, rights of first refusal, forfeiture provisions, form of payment (cash, Shares, or other consideration) upon settlement of the Award, payment contingencies, and satisfaction of any performance criteria.</w:t>
      </w:r>
    </w:p>
    <w:p>
      <w:pPr>
        <w:pStyle w:val="TextBody"/>
        <w:spacing w:before="0" w:after="0"/>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531" w:name="PGBRK25"/>
      <w:bookmarkStart w:id="532" w:name="PGBRK25"/>
      <w:bookmarkEnd w:id="5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533" w:name="FTR25"/>
      <w:bookmarkStart w:id="534" w:name="FTR25"/>
      <w:bookmarkEnd w:id="5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35" w:name="GLFTR25"/>
      <w:bookmarkEnd w:id="5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36" w:name="PN25"/>
      <w:bookmarkEnd w:id="536"/>
      <w:r>
        <w:rPr>
          <w:rFonts w:ascii="Times New Roman" w:hAnsi="Times New Roman"/>
          <w:sz w:val="20"/>
        </w:rPr>
        <w:t>B-16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537" w:name="HDR25"/>
      <w:bookmarkStart w:id="538" w:name="HDR25"/>
      <w:bookmarkEnd w:id="5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39" w:name="GLHDR25"/>
      <w:bookmarkEnd w:id="5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p>
    <w:p>
      <w:pPr>
        <w:pStyle w:val="TextBody"/>
        <w:spacing w:before="0" w:after="0"/>
        <w:ind w:left="0" w:right="0" w:hanging="0"/>
        <w:jc w:val="both"/>
        <w:rPr/>
      </w:pPr>
      <w:r>
        <w:rPr/>
        <w:t> </w:t>
      </w:r>
    </w:p>
    <w:p>
      <w:pPr>
        <w:pStyle w:val="TextBody"/>
        <w:spacing w:before="0" w:after="0"/>
        <w:ind w:left="2160" w:right="0" w:hanging="0"/>
        <w:jc w:val="both"/>
        <w:rPr>
          <w:rFonts w:ascii="Times New Roman" w:hAnsi="Times New Roman"/>
          <w:sz w:val="20"/>
          <w:u w:val="single"/>
        </w:rPr>
      </w:pPr>
      <w:bookmarkStart w:id="540" w:name="TAB137"/>
      <w:bookmarkEnd w:id="540"/>
      <w:r>
        <w:rPr>
          <w:rFonts w:ascii="Times New Roman" w:hAnsi="Times New Roman"/>
          <w:sz w:val="20"/>
          <w:u w:val="single"/>
        </w:rPr>
        <w:t>Term of Award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14.2                      The term of each Award shall be the term stated in the Award Agreement.</w:t>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541" w:name="TAB138"/>
      <w:bookmarkEnd w:id="541"/>
      <w:r>
        <w:rPr>
          <w:rFonts w:ascii="Times New Roman" w:hAnsi="Times New Roman"/>
          <w:b/>
          <w:sz w:val="20"/>
          <w:u w:val="single"/>
        </w:rPr>
        <w:t>Transferability</w:t>
      </w:r>
    </w:p>
    <w:tbl>
      <w:tblPr>
        <w:tblW w:w="5000" w:type="pct"/>
        <w:jc w:val="left"/>
        <w:tblInd w:w="0" w:type="dxa"/>
        <w:tblCellMar>
          <w:top w:w="0" w:type="dxa"/>
          <w:left w:w="0" w:type="dxa"/>
          <w:bottom w:w="0" w:type="dxa"/>
          <w:right w:w="0" w:type="dxa"/>
        </w:tblCellMar>
      </w:tblPr>
      <w:tblGrid>
        <w:gridCol w:w="411"/>
        <w:gridCol w:w="341"/>
        <w:gridCol w:w="9453"/>
      </w:tblGrid>
      <w:tr>
        <w:trPr/>
        <w:tc>
          <w:tcPr>
            <w:tcW w:w="41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14.3</w:t>
            </w:r>
          </w:p>
        </w:tc>
        <w:tc>
          <w:tcPr>
            <w:tcW w:w="34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w:t>
            </w:r>
          </w:p>
        </w:tc>
        <w:tc>
          <w:tcPr>
            <w:tcW w:w="9453" w:type="dxa"/>
            <w:tcBorders/>
            <w:shd w:fill="auto" w:val="clear"/>
          </w:tcPr>
          <w:p>
            <w:pPr>
              <w:pStyle w:val="TableContents"/>
              <w:spacing w:before="0" w:after="0"/>
              <w:rPr/>
            </w:pPr>
            <w:r>
              <w:rPr/>
              <w:t>Limits on Transfer.  No right or interest of a Grantee in any unexercised or restricted Award may be pledged, encumbered or hypothecated to or in favor of any party other than to the Company or a Related Entity or Affiliate.  No Award shall be sold, assigned, transferred or disposed of by a Grantee other than by the laws of descent and distribution or, in the case of an Incentive Stock Option, pursuant to a domestic relations order that would satisfy Section 414(p)(1)(A) of the Code if such Section applied to an Award under the Plan; provided, however, that the Administrator may (but need not) permit other transfers where the Administrator concludes that such transferability (i) does not result in accelerated taxation or other adverse tax consequences, (ii) does not cause any Option intended to be an Incentive Stock Option to fail to be described in Section 422(b) of the Code, and (iii) is otherwise appropriate and desirable, taking into account any factors deemed relevant, including, without limitation, state or federal tax or securities laws applicable to transferable Awards.</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542" w:name="hangingindent131"/>
      <w:bookmarkStart w:id="543" w:name="hangingindent131"/>
      <w:bookmarkEnd w:id="543"/>
    </w:p>
    <w:tbl>
      <w:tblPr>
        <w:tblW w:w="5000" w:type="pct"/>
        <w:jc w:val="center"/>
        <w:tblInd w:w="0" w:type="dxa"/>
        <w:tblCellMar>
          <w:top w:w="0" w:type="dxa"/>
          <w:left w:w="0" w:type="dxa"/>
          <w:bottom w:w="0" w:type="dxa"/>
          <w:right w:w="0" w:type="dxa"/>
        </w:tblCellMar>
      </w:tblPr>
      <w:tblGrid>
        <w:gridCol w:w="65"/>
        <w:gridCol w:w="191"/>
        <w:gridCol w:w="9949"/>
      </w:tblGrid>
      <w:tr>
        <w:trPr/>
        <w:tc>
          <w:tcPr>
            <w:tcW w:w="65" w:type="dxa"/>
            <w:tcBorders/>
            <w:shd w:fill="auto" w:val="clear"/>
          </w:tcPr>
          <w:p>
            <w:pPr>
              <w:pStyle w:val="TableContents"/>
              <w:spacing w:before="0" w:after="0"/>
              <w:rPr/>
            </w:pPr>
            <w:r>
              <w:rPr/>
              <w:t xml:space="preserve">  </w:t>
            </w:r>
          </w:p>
        </w:tc>
        <w:tc>
          <w:tcPr>
            <w:tcW w:w="19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49" w:type="dxa"/>
            <w:tcBorders/>
            <w:shd w:fill="auto" w:val="clear"/>
          </w:tcPr>
          <w:p>
            <w:pPr>
              <w:pStyle w:val="TableContents"/>
              <w:spacing w:before="0" w:after="0"/>
              <w:jc w:val="both"/>
              <w:rPr>
                <w:rFonts w:ascii="Times New Roman" w:hAnsi="Times New Roman"/>
                <w:sz w:val="20"/>
              </w:rPr>
            </w:pPr>
            <w:r>
              <w:rPr>
                <w:rFonts w:ascii="Times New Roman" w:hAnsi="Times New Roman"/>
                <w:sz w:val="20"/>
                <w:u w:val="single"/>
              </w:rPr>
              <w:t>Beneficiaries</w:t>
            </w:r>
            <w:r>
              <w:rPr>
                <w:rFonts w:ascii="Times New Roman" w:hAnsi="Times New Roman"/>
                <w:sz w:val="20"/>
              </w:rPr>
              <w:t>.  Notwithstanding Section 14.3(a), a Grantee may, in the manner determined by the Administrator, designate a beneficiary to exercise the rights of the Grantee and to receive any distribution with respect to any Award upon the Grantee’s death.  A beneficiary, legal guardian, legal representative or other person claiming any rights under the Plan is subject to all terms and conditions of the Plan and any Award Agreement applicable to the Grantee, except to the extent the Plan and such Award Agreement otherwise provide, and to any additional restrictions deemed necessary or appropriate by the Administrator.  If no beneficiary has been designated or survives the Grantee, payment shall be made to the Grantee’s estate. Subject to the foregoing, a beneficiary designation may be changed or revoked by a Grantee at any time, provided the change or revocation is filed with the Administrator.</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544" w:name="TAB139"/>
      <w:bookmarkEnd w:id="544"/>
      <w:r>
        <w:rPr>
          <w:rFonts w:ascii="Times New Roman" w:hAnsi="Times New Roman"/>
          <w:b/>
          <w:sz w:val="20"/>
          <w:u w:val="single"/>
        </w:rPr>
        <w:t>Performance Goals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14.4                      In order to preserve the deductibility of an Award under Section 162(m) of the Code, the Administrator may determine that any Award granted pursuant to this Plan to a Grantee that is or is expected to become a Covered Employee shall be determined solely on the basis of (a) the achievement by the Company or Subsidiary of a specified target return, or target growth in return, on equity or assets, (b) the Company’s stock price, (c) the Company’s total shareholder return (stock price appreciation plus reinvested dividends) relative to a defined comparison group or target over a specific performance period, (d) the achievement by the Company or a Parent or Subsidiary, or a business unit of any such entity, of a specified target, or target growth in, net income, earnings per share, earnings before income and taxes, and earnings before income, taxes, depreciation and amortization, or (e) any combination of the goals set forth in (a) through (d) above.  If an Award is made on such basis, the Administrator shall establish goals prior to the beginning of the period for which such performance goal relates (or such later date as may be permitted under Section 162(m) of the Code or the regulations thereunder but not later than 90 days after commencement of the period of services to which the performance goal relates), and the Administrator has the right for any reason to reduce (but not increase) the Award, notwithstanding the achievement of a specified goal.  Any payment of an Award granted with performance goals shall be conditioned on the written certification of the Administrator in each case that the performance goals and any other material conditions were satisfied.</w:t>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bookmarkStart w:id="545" w:name="TAB140"/>
      <w:bookmarkEnd w:id="545"/>
      <w:r>
        <w:rPr>
          <w:rFonts w:ascii="Times New Roman" w:hAnsi="Times New Roman"/>
          <w:sz w:val="20"/>
        </w:rPr>
        <w:t>In addition, to the extent that Section 409A is applicable, (i) performance-based compensation shall also be contingent on the satisfaction of pre-established organizational or individual performance criteria relating to a performance period of at least 12 consecutive months in which the Eligible Participant performs services and (ii) performance goals shall be established not later than 90 calendar days after the beginning of any performance period to which the performance goal relates, provided that the outcome is substantially uncertain at the time the criteria are established.</w:t>
      </w:r>
    </w:p>
    <w:p>
      <w:pPr>
        <w:pStyle w:val="TextBody"/>
        <w:spacing w:before="0" w:after="0"/>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546" w:name="PGBRK26"/>
      <w:bookmarkStart w:id="547" w:name="PGBRK26"/>
      <w:bookmarkEnd w:id="5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548" w:name="FTR26"/>
      <w:bookmarkStart w:id="549" w:name="FTR26"/>
      <w:bookmarkEnd w:id="5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50" w:name="GLFTR26"/>
      <w:bookmarkEnd w:id="55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51" w:name="PN26"/>
      <w:bookmarkEnd w:id="551"/>
      <w:r>
        <w:rPr>
          <w:rFonts w:ascii="Times New Roman" w:hAnsi="Times New Roman"/>
          <w:sz w:val="20"/>
        </w:rPr>
        <w:t>B-17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552" w:name="HDR26"/>
      <w:bookmarkStart w:id="553" w:name="HDR26"/>
      <w:bookmarkEnd w:id="5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54" w:name="GLHDR26"/>
      <w:bookmarkEnd w:id="5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u w:val="single"/>
        </w:rPr>
      </w:pPr>
      <w:bookmarkStart w:id="555" w:name="TAB141"/>
      <w:bookmarkEnd w:id="555"/>
      <w:r>
        <w:rPr>
          <w:rFonts w:ascii="Times New Roman" w:hAnsi="Times New Roman"/>
          <w:sz w:val="20"/>
          <w:u w:val="single"/>
        </w:rPr>
        <w:t>Acceleration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14.5                      The Administrator may, in its sole discretion (but subject to the limitations of and compliance with Section 409A of the Code and Section 14.7 in connection therewith), at any time (including, without limitation, prior to, coincident with or subsequent to a Change of Control) determine that (a) all or a portion of a Grantee’s Awards shall become fully or partially exercisable, and/or (b) all or a part of the restrictions on all or a portion of the outstanding Awards shall lapse, in each case, as of such date as the Administrator may, in its sole discretion, declare.  The Administrator may discriminate among Grantees and among Awards granted to a Grantee in exercising its discretion pursuant to this Section 14.5.</w:t>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556" w:name="TAB142"/>
      <w:bookmarkEnd w:id="556"/>
      <w:r>
        <w:rPr>
          <w:rFonts w:ascii="Times New Roman" w:hAnsi="Times New Roman"/>
          <w:b/>
          <w:sz w:val="20"/>
          <w:u w:val="single"/>
        </w:rPr>
        <w:t>Compliance with Section 162(m) of the Code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14.6                      Notwithstanding any provision of this Plan to the contrary, if the Administrator determines that compliance with Section 162(m) of the Code is required or desired, all Awards granted under this Plan to Named Executive Officers shall comply with the requirements of Section 162(m) of the Code.  In addition, in the event that changes are made to Section 162(m) of the Code to permit greater flexibility with respect to any Award or Awards under this Plan, the Administrator may make any adjustments it deems appropriate.</w:t>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557" w:name="TAB143"/>
      <w:bookmarkEnd w:id="557"/>
      <w:r>
        <w:rPr>
          <w:rFonts w:ascii="Times New Roman" w:hAnsi="Times New Roman"/>
          <w:b/>
          <w:sz w:val="20"/>
          <w:u w:val="single"/>
        </w:rPr>
        <w:t>Compliance with Section 409A of the Code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14.7                      Notwithstanding any provision of this Plan to the contrary, if any provision of this Plan or an Award Agreement contravenes any regulations or Treasury guidance promulgated under Section 409A of the Code or could cause an Award to be subject to the interest and penalties under Section 409A of the Code, such provision of this Plan or any Award Agreement shall be modified to maintain, to the maximum extent practicable, the original intent of the applicable provision without violating the provisions of Section 409A of the Code.  In addition, in the event that changes are made to Section 409A of the Code to permit greater flexibility with respect to any Award under this Plan, the Administrator may make any adjustments it deems appropriate.</w:t>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558" w:name="TAB144"/>
      <w:bookmarkEnd w:id="558"/>
      <w:r>
        <w:rPr>
          <w:rFonts w:ascii="Times New Roman" w:hAnsi="Times New Roman"/>
          <w:b/>
          <w:sz w:val="20"/>
          <w:u w:val="single"/>
        </w:rPr>
        <w:t>Section 280G of the Code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14.8                      Notwithstanding any other provision of this Plan to the contrary, unless expressly provided otherwise in the Award Agreement, if the right to receive or benefit from an Award under this Plan, either alone or together with payments that a Grantee has a right to receive from the Company, would constitute a “parachute payment” (as defined in Section 280G of the Code), all such payments shall be reduced to the largest amount that shall result in no portion being subject to the excise tax imposed by Section 4999 of the Code.</w:t>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559" w:name="TAB145"/>
      <w:bookmarkEnd w:id="559"/>
      <w:r>
        <w:rPr>
          <w:rFonts w:ascii="Times New Roman" w:hAnsi="Times New Roman"/>
          <w:b/>
          <w:sz w:val="20"/>
          <w:u w:val="single"/>
        </w:rPr>
        <w:t>Exercise of Award Following Termination of Continuous Service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14.9                      An Award may not be exercised after the termination date of such Award set forth in the Award Agreement and may be exercised following the termination of a Grantee’s Continuous Service only to the extent provided in the Award Agreement.  Where the Award Agreement permits a Grantee to exercise an Award following the termination of the Grantee’s Continuous Service for a specified period, the Award shall terminate to the extent not exercised on the last day of the specified period or the last day of the original term of the Award, whichever occurs first.</w:t>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560" w:name="TAB146"/>
      <w:bookmarkEnd w:id="560"/>
      <w:r>
        <w:rPr>
          <w:rFonts w:ascii="Times New Roman" w:hAnsi="Times New Roman"/>
          <w:b/>
          <w:sz w:val="20"/>
          <w:u w:val="single"/>
        </w:rPr>
        <w:t>Cancellation of Awards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14.10                      In the event a Grantee’s Continuous Services has been terminated for “</w:t>
      </w:r>
      <w:r>
        <w:rPr>
          <w:rFonts w:ascii="Times New Roman" w:hAnsi="Times New Roman"/>
          <w:b/>
          <w:sz w:val="20"/>
        </w:rPr>
        <w:t>Cause</w:t>
      </w:r>
      <w:r>
        <w:rPr>
          <w:rFonts w:ascii="Times New Roman" w:hAnsi="Times New Roman"/>
          <w:sz w:val="20"/>
        </w:rPr>
        <w:t>”, he or she shall immediately forfeit all rights to any and all Awards outstanding.  The determination that termination was for Cause shall be final and conclusive.  In making its determination, the Board shall give the Grantee an opportunity to appear and be heard at a hearing before the full Board and present evidence on the Grantee’s behalf.  Should any provision to this Section 14.10. be held to be invalid or illegal, such illegality shall not invalidate the whole of this Section 14, but, rather, this Plan shall be construed as if it did not contain the illegal part or narrowed to permit its enforcement, and the rights and obligations of the parties shall be construed and enforced accordingly.</w:t>
      </w:r>
    </w:p>
    <w:p>
      <w:pPr>
        <w:pStyle w:val="TextBody"/>
        <w:spacing w:before="0" w:after="0"/>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561" w:name="PGBRK27"/>
      <w:bookmarkStart w:id="562" w:name="PGBRK27"/>
      <w:bookmarkEnd w:id="5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563" w:name="FTR27"/>
      <w:bookmarkStart w:id="564" w:name="FTR27"/>
      <w:bookmarkEnd w:id="5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65" w:name="GLFTR27"/>
      <w:bookmarkEnd w:id="5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66" w:name="PN27"/>
      <w:bookmarkEnd w:id="566"/>
      <w:r>
        <w:rPr>
          <w:rFonts w:ascii="Times New Roman" w:hAnsi="Times New Roman"/>
          <w:sz w:val="20"/>
        </w:rPr>
        <w:t>B-18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567" w:name="HDR27"/>
      <w:bookmarkStart w:id="568" w:name="HDR27"/>
      <w:bookmarkEnd w:id="5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69" w:name="GLHDR27"/>
      <w:bookmarkEnd w:id="5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15.                      </w:t>
      </w:r>
      <w:r>
        <w:rPr>
          <w:rFonts w:ascii="Times New Roman" w:hAnsi="Times New Roman"/>
          <w:sz w:val="20"/>
          <w:u w:val="single"/>
        </w:rPr>
        <w:t>ADDITIONAL TERMS IF THE COMPANY BECOMES LISTED ON A STOCK EXCHANGE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15.1                      In the event the Shares become listed on a stock exchange, and to the extent required by the rules of such stock exchange, then the following terms and conditions shall apply to an Award in addition to those contained herein, as applicable:</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570" w:name="hangingindent132"/>
      <w:bookmarkStart w:id="571" w:name="hangingindent132"/>
      <w:bookmarkEnd w:id="571"/>
    </w:p>
    <w:tbl>
      <w:tblPr>
        <w:tblW w:w="5000" w:type="pct"/>
        <w:jc w:val="center"/>
        <w:tblInd w:w="0" w:type="dxa"/>
        <w:tblCellMar>
          <w:top w:w="0" w:type="dxa"/>
          <w:left w:w="0" w:type="dxa"/>
          <w:bottom w:w="0" w:type="dxa"/>
          <w:right w:w="0" w:type="dxa"/>
        </w:tblCellMar>
      </w:tblPr>
      <w:tblGrid>
        <w:gridCol w:w="100"/>
        <w:gridCol w:w="211"/>
        <w:gridCol w:w="9894"/>
      </w:tblGrid>
      <w:tr>
        <w:trPr/>
        <w:tc>
          <w:tcPr>
            <w:tcW w:w="100" w:type="dxa"/>
            <w:tcBorders/>
            <w:shd w:fill="auto" w:val="clear"/>
          </w:tcPr>
          <w:p>
            <w:pPr>
              <w:pStyle w:val="TableContents"/>
              <w:spacing w:before="0" w:after="0"/>
              <w:rPr/>
            </w:pPr>
            <w:r>
              <w:rPr/>
              <w:t xml:space="preserve">  </w:t>
            </w:r>
          </w:p>
        </w:tc>
        <w:tc>
          <w:tcPr>
            <w:tcW w:w="21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89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exercise price of an Award must not be lower than 100% of the Fair Market Value (without discount) of the Shares on the stock exchange at the time the Award is granted;</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572" w:name="hangingindent133"/>
      <w:bookmarkStart w:id="573" w:name="hangingindent133"/>
      <w:bookmarkEnd w:id="573"/>
    </w:p>
    <w:tbl>
      <w:tblPr>
        <w:tblW w:w="5000" w:type="pct"/>
        <w:jc w:val="center"/>
        <w:tblInd w:w="0" w:type="dxa"/>
        <w:tblCellMar>
          <w:top w:w="0" w:type="dxa"/>
          <w:left w:w="0" w:type="dxa"/>
          <w:bottom w:w="0" w:type="dxa"/>
          <w:right w:w="0" w:type="dxa"/>
        </w:tblCellMar>
      </w:tblPr>
      <w:tblGrid>
        <w:gridCol w:w="78"/>
        <w:gridCol w:w="204"/>
        <w:gridCol w:w="9923"/>
      </w:tblGrid>
      <w:tr>
        <w:trPr/>
        <w:tc>
          <w:tcPr>
            <w:tcW w:w="78" w:type="dxa"/>
            <w:tcBorders/>
            <w:shd w:fill="auto" w:val="clear"/>
          </w:tcPr>
          <w:p>
            <w:pPr>
              <w:pStyle w:val="TableContents"/>
              <w:spacing w:before="0" w:after="0"/>
              <w:rPr/>
            </w:pPr>
            <w:r>
              <w:rPr/>
              <w:t xml:space="preserve">  </w:t>
            </w:r>
          </w:p>
        </w:tc>
        <w:tc>
          <w:tcPr>
            <w:tcW w:w="20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2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number of securities issuable to Insiders, at any time, under all of the Company’s security based compensation arrangements (whether entered into prior to or subsequent to such listing), cannot exceed 10% of the Company’s total issued and outstanding Common Stock, unless the Company obtains Disinterested Shareholder Approval; and</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574" w:name="hangingindent134"/>
      <w:bookmarkStart w:id="575" w:name="hangingindent134"/>
      <w:bookmarkEnd w:id="575"/>
    </w:p>
    <w:tbl>
      <w:tblPr>
        <w:tblW w:w="5000" w:type="pct"/>
        <w:jc w:val="center"/>
        <w:tblInd w:w="0" w:type="dxa"/>
        <w:tblCellMar>
          <w:top w:w="0" w:type="dxa"/>
          <w:left w:w="0" w:type="dxa"/>
          <w:bottom w:w="0" w:type="dxa"/>
          <w:right w:w="0" w:type="dxa"/>
        </w:tblCellMar>
      </w:tblPr>
      <w:tblGrid>
        <w:gridCol w:w="79"/>
        <w:gridCol w:w="190"/>
        <w:gridCol w:w="9936"/>
      </w:tblGrid>
      <w:tr>
        <w:trPr/>
        <w:tc>
          <w:tcPr>
            <w:tcW w:w="79" w:type="dxa"/>
            <w:tcBorders/>
            <w:shd w:fill="auto" w:val="clear"/>
          </w:tcPr>
          <w:p>
            <w:pPr>
              <w:pStyle w:val="TableContents"/>
              <w:spacing w:before="0" w:after="0"/>
              <w:rPr/>
            </w:pPr>
            <w:r>
              <w:rPr/>
              <w:t xml:space="preserve">  </w:t>
            </w:r>
          </w:p>
        </w:tc>
        <w:tc>
          <w:tcPr>
            <w:tcW w:w="19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93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number of securities issued to Insiders, within any one year period, under all of the Company’s security based compensation arrangements (whether entered into prior to or subsequent to such listing), cannot exceed 10% of the issued and outstanding Common Stock, unless the Company obtains Disinterested Shareholder Approval.</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576" w:name="hangingindent135"/>
      <w:bookmarkStart w:id="577" w:name="hangingindent135"/>
      <w:bookmarkEnd w:id="577"/>
    </w:p>
    <w:tbl>
      <w:tblPr>
        <w:tblW w:w="5000" w:type="pct"/>
        <w:jc w:val="center"/>
        <w:tblInd w:w="0" w:type="dxa"/>
        <w:tblCellMar>
          <w:top w:w="0" w:type="dxa"/>
          <w:left w:w="0" w:type="dxa"/>
          <w:bottom w:w="0" w:type="dxa"/>
          <w:right w:w="0" w:type="dxa"/>
        </w:tblCellMar>
      </w:tblPr>
      <w:tblGrid>
        <w:gridCol w:w="774"/>
        <w:gridCol w:w="9431"/>
      </w:tblGrid>
      <w:tr>
        <w:trPr/>
        <w:tc>
          <w:tcPr>
            <w:tcW w:w="774"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16.</w:t>
            </w:r>
          </w:p>
        </w:tc>
        <w:tc>
          <w:tcPr>
            <w:tcW w:w="9431" w:type="dxa"/>
            <w:tcBorders/>
            <w:shd w:fill="auto" w:val="clear"/>
          </w:tcPr>
          <w:p>
            <w:pPr>
              <w:pStyle w:val="TableContents"/>
              <w:spacing w:before="0" w:after="0"/>
              <w:jc w:val="both"/>
              <w:rPr>
                <w:rFonts w:ascii="Times New Roman" w:hAnsi="Times New Roman"/>
                <w:b/>
                <w:sz w:val="20"/>
                <w:u w:val="single"/>
              </w:rPr>
            </w:pPr>
            <w:r>
              <w:rPr>
                <w:rFonts w:ascii="Times New Roman" w:hAnsi="Times New Roman"/>
                <w:b/>
                <w:sz w:val="20"/>
                <w:u w:val="single"/>
              </w:rPr>
              <w:t>PAYMENT FOR SHARE PURCHASES</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578" w:name="TAB147"/>
      <w:bookmarkEnd w:id="578"/>
      <w:r>
        <w:rPr>
          <w:rFonts w:ascii="Times New Roman" w:hAnsi="Times New Roman"/>
          <w:b/>
          <w:sz w:val="20"/>
          <w:u w:val="single"/>
        </w:rPr>
        <w:t>Payment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16.1                      Payment for Shares purchased pursuant to this Plan may be made:</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579" w:name="hangingindent136"/>
      <w:bookmarkStart w:id="580" w:name="hangingindent136"/>
      <w:bookmarkEnd w:id="580"/>
    </w:p>
    <w:tbl>
      <w:tblPr>
        <w:tblW w:w="5000" w:type="pct"/>
        <w:jc w:val="center"/>
        <w:tblInd w:w="0" w:type="dxa"/>
        <w:tblCellMar>
          <w:top w:w="0" w:type="dxa"/>
          <w:left w:w="0" w:type="dxa"/>
          <w:bottom w:w="0" w:type="dxa"/>
          <w:right w:w="0" w:type="dxa"/>
        </w:tblCellMar>
      </w:tblPr>
      <w:tblGrid>
        <w:gridCol w:w="105"/>
        <w:gridCol w:w="216"/>
        <w:gridCol w:w="9884"/>
      </w:tblGrid>
      <w:tr>
        <w:trPr/>
        <w:tc>
          <w:tcPr>
            <w:tcW w:w="105" w:type="dxa"/>
            <w:tcBorders/>
            <w:shd w:fill="auto" w:val="clear"/>
          </w:tcPr>
          <w:p>
            <w:pPr>
              <w:pStyle w:val="TableContents"/>
              <w:spacing w:before="0" w:after="0"/>
              <w:rPr/>
            </w:pPr>
            <w:r>
              <w:rPr/>
              <w:t xml:space="preserve">  </w:t>
            </w:r>
          </w:p>
        </w:tc>
        <w:tc>
          <w:tcPr>
            <w:tcW w:w="21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884" w:type="dxa"/>
            <w:tcBorders/>
            <w:shd w:fill="auto" w:val="clear"/>
          </w:tcPr>
          <w:p>
            <w:pPr>
              <w:pStyle w:val="TableContents"/>
              <w:spacing w:before="0" w:after="0"/>
              <w:jc w:val="both"/>
              <w:rPr>
                <w:rFonts w:ascii="Times New Roman" w:hAnsi="Times New Roman"/>
                <w:sz w:val="20"/>
              </w:rPr>
            </w:pPr>
            <w:r>
              <w:rPr>
                <w:rFonts w:ascii="Times New Roman" w:hAnsi="Times New Roman"/>
                <w:sz w:val="20"/>
                <w:u w:val="single"/>
              </w:rPr>
              <w:t>Cash</w:t>
            </w:r>
            <w:r>
              <w:rPr>
                <w:rFonts w:ascii="Times New Roman" w:hAnsi="Times New Roman"/>
                <w:sz w:val="20"/>
              </w:rPr>
              <w:t>.  By cash, cashier’s check or wire transfer or, at the discretion of the Administrator expressly for the Grantee and where permitted by law as follows:</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581" w:name="hangingindent137"/>
      <w:bookmarkStart w:id="582" w:name="hangingindent137"/>
      <w:bookmarkEnd w:id="582"/>
    </w:p>
    <w:tbl>
      <w:tblPr>
        <w:tblW w:w="5000" w:type="pct"/>
        <w:jc w:val="center"/>
        <w:tblInd w:w="0" w:type="dxa"/>
        <w:tblCellMar>
          <w:top w:w="0" w:type="dxa"/>
          <w:left w:w="0" w:type="dxa"/>
          <w:bottom w:w="0" w:type="dxa"/>
          <w:right w:w="0" w:type="dxa"/>
        </w:tblCellMar>
      </w:tblPr>
      <w:tblGrid>
        <w:gridCol w:w="76"/>
        <w:gridCol w:w="202"/>
        <w:gridCol w:w="9927"/>
      </w:tblGrid>
      <w:tr>
        <w:trPr/>
        <w:tc>
          <w:tcPr>
            <w:tcW w:w="76" w:type="dxa"/>
            <w:tcBorders/>
            <w:shd w:fill="auto" w:val="clear"/>
          </w:tcPr>
          <w:p>
            <w:pPr>
              <w:pStyle w:val="TableContents"/>
              <w:spacing w:before="0" w:after="0"/>
              <w:rPr/>
            </w:pPr>
            <w:r>
              <w:rPr/>
              <w:t xml:space="preserve">  </w:t>
            </w:r>
          </w:p>
        </w:tc>
        <w:tc>
          <w:tcPr>
            <w:tcW w:w="20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27" w:type="dxa"/>
            <w:tcBorders/>
            <w:shd w:fill="auto" w:val="clear"/>
          </w:tcPr>
          <w:p>
            <w:pPr>
              <w:pStyle w:val="TableContents"/>
              <w:spacing w:before="0" w:after="0"/>
              <w:jc w:val="both"/>
              <w:rPr>
                <w:rFonts w:ascii="Times New Roman" w:hAnsi="Times New Roman"/>
                <w:sz w:val="20"/>
              </w:rPr>
            </w:pPr>
            <w:r>
              <w:rPr>
                <w:rFonts w:ascii="Times New Roman" w:hAnsi="Times New Roman"/>
                <w:sz w:val="20"/>
                <w:u w:val="single"/>
              </w:rPr>
              <w:t>Surrender of Shares</w:t>
            </w:r>
            <w:r>
              <w:rPr>
                <w:rFonts w:ascii="Times New Roman" w:hAnsi="Times New Roman"/>
                <w:sz w:val="20"/>
              </w:rPr>
              <w:t>.  By surrender of shares of Common Stock of the Company that have been owned by the Grantee for more than six months, or lesser period if the surrender of shares is otherwise exempt from Section 16 of the Exchange Act, (and, if such shares were purchased from the Company by use of a promissory note, such note has been fully paid with respect to such shares);</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583" w:name="hangingindent138"/>
      <w:bookmarkStart w:id="584" w:name="hangingindent138"/>
      <w:bookmarkEnd w:id="584"/>
    </w:p>
    <w:tbl>
      <w:tblPr>
        <w:tblW w:w="5000" w:type="pct"/>
        <w:jc w:val="center"/>
        <w:tblInd w:w="0" w:type="dxa"/>
        <w:tblCellMar>
          <w:top w:w="0" w:type="dxa"/>
          <w:left w:w="0" w:type="dxa"/>
          <w:bottom w:w="0" w:type="dxa"/>
          <w:right w:w="0" w:type="dxa"/>
        </w:tblCellMar>
      </w:tblPr>
      <w:tblGrid>
        <w:gridCol w:w="82"/>
        <w:gridCol w:w="193"/>
        <w:gridCol w:w="9930"/>
      </w:tblGrid>
      <w:tr>
        <w:trPr/>
        <w:tc>
          <w:tcPr>
            <w:tcW w:w="82" w:type="dxa"/>
            <w:tcBorders/>
            <w:shd w:fill="auto" w:val="clear"/>
          </w:tcPr>
          <w:p>
            <w:pPr>
              <w:pStyle w:val="TableContents"/>
              <w:spacing w:before="0" w:after="0"/>
              <w:rPr/>
            </w:pPr>
            <w:r>
              <w:rPr/>
              <w:t xml:space="preserve">  </w:t>
            </w:r>
          </w:p>
        </w:tc>
        <w:tc>
          <w:tcPr>
            <w:tcW w:w="19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930" w:type="dxa"/>
            <w:tcBorders/>
            <w:shd w:fill="auto" w:val="clear"/>
          </w:tcPr>
          <w:p>
            <w:pPr>
              <w:pStyle w:val="TableContents"/>
              <w:spacing w:before="0" w:after="0"/>
              <w:jc w:val="both"/>
              <w:rPr>
                <w:rFonts w:ascii="Times New Roman" w:hAnsi="Times New Roman"/>
                <w:sz w:val="20"/>
              </w:rPr>
            </w:pPr>
            <w:r>
              <w:rPr>
                <w:rFonts w:ascii="Times New Roman" w:hAnsi="Times New Roman"/>
                <w:sz w:val="20"/>
                <w:u w:val="single"/>
              </w:rPr>
              <w:t>Deemed Net-Stock Exercise</w:t>
            </w:r>
            <w:r>
              <w:rPr>
                <w:rFonts w:ascii="Times New Roman" w:hAnsi="Times New Roman"/>
                <w:sz w:val="20"/>
              </w:rPr>
              <w:t>.  By forfeiture of Shares equal to the value of the exercise price pursuant to a “</w:t>
            </w:r>
            <w:r>
              <w:rPr>
                <w:rFonts w:ascii="Times New Roman" w:hAnsi="Times New Roman"/>
                <w:b/>
                <w:sz w:val="20"/>
              </w:rPr>
              <w:t>deemed net-stock exercise</w:t>
            </w:r>
            <w:r>
              <w:rPr>
                <w:rFonts w:ascii="Times New Roman" w:hAnsi="Times New Roman"/>
                <w:sz w:val="20"/>
              </w:rPr>
              <w:t>” by requiring the Grantee to accept that number of Shares determined in accordance with the following formula, rounded down to the nearest whole integer:</w:t>
            </w:r>
          </w:p>
        </w:tc>
      </w:tr>
    </w:tbl>
    <w:p>
      <w:pPr>
        <w:pStyle w:val="TextBody"/>
        <w:spacing w:before="0" w:after="0"/>
        <w:ind w:left="0" w:right="0" w:hanging="0"/>
        <w:jc w:val="both"/>
        <w:rPr/>
      </w:pPr>
      <w:r>
        <w:rPr/>
        <w:t> </w:t>
      </w:r>
    </w:p>
    <w:p>
      <w:pPr>
        <w:pStyle w:val="TextBody"/>
        <w:spacing w:before="0" w:after="0"/>
        <w:ind w:left="3600" w:right="0" w:hanging="0"/>
        <w:jc w:val="both"/>
        <w:rPr/>
      </w:pPr>
      <w:bookmarkStart w:id="585" w:name="TAB148"/>
      <w:bookmarkEnd w:id="585"/>
      <w:r>
        <w:rPr/>
        <w:t>a  =  b  x  ( ( c - d ) / c ) </w:t>
      </w:r>
      <w:bookmarkStart w:id="586" w:name="TAB21"/>
      <w:bookmarkEnd w:id="586"/>
      <w:r>
        <w:rPr>
          <w:spacing w:val="180"/>
        </w:rPr>
        <w:t>   </w:t>
      </w:r>
      <w:bookmarkStart w:id="587" w:name="TAB2"/>
      <w:bookmarkEnd w:id="587"/>
      <w:r>
        <w:rPr>
          <w:spacing w:val="180"/>
        </w:rPr>
        <w:t>   </w:t>
      </w:r>
      <w:r>
        <w:rPr/>
        <w:t xml:space="preserve"> </w:t>
      </w:r>
    </w:p>
    <w:p>
      <w:pPr>
        <w:pStyle w:val="TextBody"/>
        <w:spacing w:before="0" w:after="0"/>
        <w:ind w:left="2160" w:right="0" w:hanging="0"/>
        <w:jc w:val="both"/>
        <w:rPr>
          <w:rFonts w:ascii="Times New Roman" w:hAnsi="Times New Roman"/>
          <w:sz w:val="20"/>
        </w:rPr>
      </w:pPr>
      <w:bookmarkStart w:id="588" w:name="TAB149"/>
      <w:bookmarkEnd w:id="588"/>
      <w:r>
        <w:rPr>
          <w:rFonts w:ascii="Times New Roman" w:hAnsi="Times New Roman"/>
          <w:sz w:val="20"/>
        </w:rPr>
        <w:t xml:space="preserve">where: </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589" w:name="hangingindent139"/>
      <w:bookmarkStart w:id="590" w:name="hangingindent139"/>
      <w:bookmarkEnd w:id="590"/>
    </w:p>
    <w:tbl>
      <w:tblPr>
        <w:tblW w:w="5000" w:type="pct"/>
        <w:jc w:val="center"/>
        <w:tblInd w:w="0" w:type="dxa"/>
        <w:tblCellMar>
          <w:top w:w="0" w:type="dxa"/>
          <w:left w:w="0" w:type="dxa"/>
          <w:bottom w:w="0" w:type="dxa"/>
          <w:right w:w="0" w:type="dxa"/>
        </w:tblCellMar>
      </w:tblPr>
      <w:tblGrid>
        <w:gridCol w:w="378"/>
        <w:gridCol w:w="1009"/>
        <w:gridCol w:w="8818"/>
      </w:tblGrid>
      <w:tr>
        <w:trPr/>
        <w:tc>
          <w:tcPr>
            <w:tcW w:w="378" w:type="dxa"/>
            <w:tcBorders/>
            <w:shd w:fill="auto" w:val="clear"/>
          </w:tcPr>
          <w:p>
            <w:pPr>
              <w:pStyle w:val="TableContents"/>
              <w:spacing w:before="0" w:after="0"/>
              <w:rPr/>
            </w:pPr>
            <w:r>
              <w:rPr/>
              <w:t xml:space="preserve">  </w:t>
            </w:r>
          </w:p>
        </w:tc>
        <w:tc>
          <w:tcPr>
            <w:tcW w:w="100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i/>
                <w:sz w:val="20"/>
              </w:rPr>
              <w:t>a</w:t>
            </w:r>
            <w:r>
              <w:rPr>
                <w:rFonts w:ascii="Times New Roman" w:hAnsi="Times New Roman"/>
                <w:sz w:val="20"/>
              </w:rPr>
              <w:t>  =</w:t>
            </w:r>
          </w:p>
        </w:tc>
        <w:tc>
          <w:tcPr>
            <w:tcW w:w="881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net Shares to be issued to Grantee;</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591" w:name="hangingindent140"/>
      <w:bookmarkStart w:id="592" w:name="hangingindent140"/>
      <w:bookmarkEnd w:id="592"/>
    </w:p>
    <w:tbl>
      <w:tblPr>
        <w:tblW w:w="5000" w:type="pct"/>
        <w:jc w:val="center"/>
        <w:tblInd w:w="0" w:type="dxa"/>
        <w:tblCellMar>
          <w:top w:w="0" w:type="dxa"/>
          <w:left w:w="0" w:type="dxa"/>
          <w:bottom w:w="0" w:type="dxa"/>
          <w:right w:w="0" w:type="dxa"/>
        </w:tblCellMar>
      </w:tblPr>
      <w:tblGrid>
        <w:gridCol w:w="369"/>
        <w:gridCol w:w="987"/>
        <w:gridCol w:w="8849"/>
      </w:tblGrid>
      <w:tr>
        <w:trPr/>
        <w:tc>
          <w:tcPr>
            <w:tcW w:w="369" w:type="dxa"/>
            <w:tcBorders/>
            <w:shd w:fill="auto" w:val="clear"/>
          </w:tcPr>
          <w:p>
            <w:pPr>
              <w:pStyle w:val="TableContents"/>
              <w:spacing w:before="0" w:after="0"/>
              <w:rPr/>
            </w:pPr>
            <w:r>
              <w:rPr/>
              <w:t xml:space="preserve">  </w:t>
            </w:r>
          </w:p>
        </w:tc>
        <w:tc>
          <w:tcPr>
            <w:tcW w:w="98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i/>
                <w:sz w:val="20"/>
              </w:rPr>
              <w:t>b  </w:t>
            </w:r>
            <w:r>
              <w:rPr>
                <w:rFonts w:ascii="Times New Roman" w:hAnsi="Times New Roman"/>
                <w:sz w:val="20"/>
              </w:rPr>
              <w:t>=</w:t>
            </w:r>
          </w:p>
        </w:tc>
        <w:tc>
          <w:tcPr>
            <w:tcW w:w="884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number of Awards being exercised;</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593" w:name="hangingindent141"/>
      <w:bookmarkStart w:id="594" w:name="hangingindent141"/>
      <w:bookmarkEnd w:id="594"/>
    </w:p>
    <w:tbl>
      <w:tblPr>
        <w:tblW w:w="5000" w:type="pct"/>
        <w:jc w:val="center"/>
        <w:tblInd w:w="0" w:type="dxa"/>
        <w:tblCellMar>
          <w:top w:w="0" w:type="dxa"/>
          <w:left w:w="0" w:type="dxa"/>
          <w:bottom w:w="0" w:type="dxa"/>
          <w:right w:w="0" w:type="dxa"/>
        </w:tblCellMar>
      </w:tblPr>
      <w:tblGrid>
        <w:gridCol w:w="387"/>
        <w:gridCol w:w="985"/>
        <w:gridCol w:w="8833"/>
      </w:tblGrid>
      <w:tr>
        <w:trPr/>
        <w:tc>
          <w:tcPr>
            <w:tcW w:w="387" w:type="dxa"/>
            <w:tcBorders/>
            <w:shd w:fill="auto" w:val="clear"/>
          </w:tcPr>
          <w:p>
            <w:pPr>
              <w:pStyle w:val="TableContents"/>
              <w:spacing w:before="0" w:after="0"/>
              <w:rPr/>
            </w:pPr>
            <w:r>
              <w:rPr/>
              <w:t xml:space="preserve">  </w:t>
            </w:r>
          </w:p>
        </w:tc>
        <w:tc>
          <w:tcPr>
            <w:tcW w:w="98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i/>
                <w:sz w:val="20"/>
              </w:rPr>
              <w:t>c  </w:t>
            </w:r>
            <w:r>
              <w:rPr>
                <w:rFonts w:ascii="Times New Roman" w:hAnsi="Times New Roman"/>
                <w:sz w:val="20"/>
              </w:rPr>
              <w:t>=</w:t>
            </w:r>
          </w:p>
        </w:tc>
        <w:tc>
          <w:tcPr>
            <w:tcW w:w="883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Fair Market Value of a Share; and</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595" w:name="hangingindent142"/>
      <w:bookmarkStart w:id="596" w:name="hangingindent142"/>
      <w:bookmarkEnd w:id="596"/>
    </w:p>
    <w:tbl>
      <w:tblPr>
        <w:tblW w:w="5000" w:type="pct"/>
        <w:jc w:val="center"/>
        <w:tblInd w:w="0" w:type="dxa"/>
        <w:tblCellMar>
          <w:top w:w="0" w:type="dxa"/>
          <w:left w:w="0" w:type="dxa"/>
          <w:bottom w:w="0" w:type="dxa"/>
          <w:right w:w="0" w:type="dxa"/>
        </w:tblCellMar>
      </w:tblPr>
      <w:tblGrid>
        <w:gridCol w:w="404"/>
        <w:gridCol w:w="1080"/>
        <w:gridCol w:w="8721"/>
      </w:tblGrid>
      <w:tr>
        <w:trPr/>
        <w:tc>
          <w:tcPr>
            <w:tcW w:w="404" w:type="dxa"/>
            <w:tcBorders/>
            <w:shd w:fill="auto" w:val="clear"/>
          </w:tcPr>
          <w:p>
            <w:pPr>
              <w:pStyle w:val="TableContents"/>
              <w:spacing w:before="0" w:after="0"/>
              <w:rPr/>
            </w:pPr>
            <w:r>
              <w:rPr/>
              <w:t xml:space="preserve">  </w:t>
            </w:r>
          </w:p>
        </w:tc>
        <w:tc>
          <w:tcPr>
            <w:tcW w:w="108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i/>
                <w:sz w:val="20"/>
              </w:rPr>
              <w:t>d  </w:t>
            </w:r>
            <w:r>
              <w:rPr>
                <w:rFonts w:ascii="Times New Roman" w:hAnsi="Times New Roman"/>
                <w:sz w:val="20"/>
              </w:rPr>
              <w:t>=</w:t>
            </w:r>
          </w:p>
        </w:tc>
        <w:tc>
          <w:tcPr>
            <w:tcW w:w="87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Exercise price of the Awards; or</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597" w:name="hangingindent143"/>
      <w:bookmarkStart w:id="598" w:name="hangingindent143"/>
      <w:bookmarkEnd w:id="598"/>
    </w:p>
    <w:tbl>
      <w:tblPr>
        <w:tblW w:w="5000" w:type="pct"/>
        <w:jc w:val="center"/>
        <w:tblInd w:w="0" w:type="dxa"/>
        <w:tblCellMar>
          <w:top w:w="0" w:type="dxa"/>
          <w:left w:w="0" w:type="dxa"/>
          <w:bottom w:w="0" w:type="dxa"/>
          <w:right w:w="0" w:type="dxa"/>
        </w:tblCellMar>
      </w:tblPr>
      <w:tblGrid>
        <w:gridCol w:w="79"/>
        <w:gridCol w:w="205"/>
        <w:gridCol w:w="9921"/>
      </w:tblGrid>
      <w:tr>
        <w:trPr/>
        <w:tc>
          <w:tcPr>
            <w:tcW w:w="79" w:type="dxa"/>
            <w:tcBorders/>
            <w:shd w:fill="auto" w:val="clear"/>
          </w:tcPr>
          <w:p>
            <w:pPr>
              <w:pStyle w:val="TableContents"/>
              <w:spacing w:before="0" w:after="0"/>
              <w:rPr/>
            </w:pPr>
            <w:r>
              <w:rPr/>
              <w:t xml:space="preserve">  </w:t>
            </w:r>
          </w:p>
        </w:tc>
        <w:tc>
          <w:tcPr>
            <w:tcW w:w="20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9921" w:type="dxa"/>
            <w:tcBorders/>
            <w:shd w:fill="auto" w:val="clear"/>
          </w:tcPr>
          <w:p>
            <w:pPr>
              <w:pStyle w:val="TableContents"/>
              <w:spacing w:before="0" w:after="0"/>
              <w:jc w:val="both"/>
              <w:rPr>
                <w:rFonts w:ascii="Times New Roman" w:hAnsi="Times New Roman"/>
                <w:sz w:val="20"/>
              </w:rPr>
            </w:pPr>
            <w:r>
              <w:rPr>
                <w:rFonts w:ascii="Times New Roman" w:hAnsi="Times New Roman"/>
                <w:sz w:val="20"/>
                <w:u w:val="single"/>
              </w:rPr>
              <w:t>Broker-Assisted</w:t>
            </w:r>
            <w:r>
              <w:rPr>
                <w:rFonts w:ascii="Times New Roman" w:hAnsi="Times New Roman"/>
                <w:sz w:val="20"/>
              </w:rPr>
              <w:t>.  By delivering a properly executed exercise notice to the Company together with a copy of irrevocable instructions to a broker to deliver promptly to the Company the amount of sale or loan proceeds necessary to pay the exercise price and the amount of any required tax or other withholding obligations.</w:t>
            </w:r>
          </w:p>
        </w:tc>
      </w:tr>
    </w:tbl>
    <w:p>
      <w:pPr>
        <w:pStyle w:val="TextBody"/>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jc w:val="left"/>
        <w:rPr/>
      </w:pPr>
      <w:r>
        <w:rPr/>
      </w:r>
      <w:bookmarkStart w:id="599" w:name="PGBRK28"/>
      <w:bookmarkStart w:id="600" w:name="PGBRK28"/>
      <w:bookmarkEnd w:id="6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r>
      <w:bookmarkStart w:id="601" w:name="FTR28"/>
      <w:bookmarkStart w:id="602" w:name="FTR28"/>
      <w:bookmarkEnd w:id="6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603" w:name="GLFTR28"/>
      <w:bookmarkEnd w:id="6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04" w:name="PN28"/>
      <w:bookmarkEnd w:id="604"/>
      <w:r>
        <w:rPr>
          <w:rFonts w:ascii="Times New Roman" w:hAnsi="Times New Roman"/>
          <w:sz w:val="20"/>
        </w:rPr>
        <w:t>B-19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r>
      <w:bookmarkStart w:id="605" w:name="HDR28"/>
      <w:bookmarkStart w:id="606" w:name="HDR28"/>
      <w:bookmarkEnd w:id="6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607" w:name="GLHDR28"/>
      <w:bookmarkEnd w:id="6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608" w:name="hangingindent144"/>
      <w:bookmarkStart w:id="609" w:name="hangingindent144"/>
      <w:bookmarkEnd w:id="609"/>
    </w:p>
    <w:tbl>
      <w:tblPr>
        <w:tblW w:w="5000" w:type="pct"/>
        <w:jc w:val="center"/>
        <w:tblInd w:w="0" w:type="dxa"/>
        <w:tblCellMar>
          <w:top w:w="0" w:type="dxa"/>
          <w:left w:w="0" w:type="dxa"/>
          <w:bottom w:w="0" w:type="dxa"/>
          <w:right w:w="0" w:type="dxa"/>
        </w:tblCellMar>
      </w:tblPr>
      <w:tblGrid>
        <w:gridCol w:w="557"/>
        <w:gridCol w:w="9648"/>
      </w:tblGrid>
      <w:tr>
        <w:trPr/>
        <w:tc>
          <w:tcPr>
            <w:tcW w:w="557" w:type="dxa"/>
            <w:tcBorders/>
            <w:shd w:fill="auto" w:val="clear"/>
          </w:tcPr>
          <w:p>
            <w:pPr>
              <w:pStyle w:val="TableContents"/>
              <w:spacing w:before="0" w:after="0"/>
              <w:rPr/>
            </w:pPr>
            <w:r>
              <w:rPr/>
              <w:t xml:space="preserve">  </w:t>
            </w:r>
          </w:p>
        </w:tc>
        <w:tc>
          <w:tcPr>
            <w:tcW w:w="9648" w:type="dxa"/>
            <w:tcBorders/>
            <w:shd w:fill="auto" w:val="clear"/>
          </w:tcPr>
          <w:p>
            <w:pPr>
              <w:pStyle w:val="TableContents"/>
              <w:spacing w:before="0" w:after="0"/>
              <w:jc w:val="both"/>
              <w:rPr>
                <w:rFonts w:ascii="Times New Roman" w:hAnsi="Times New Roman"/>
                <w:sz w:val="20"/>
                <w:u w:val="single"/>
              </w:rPr>
            </w:pPr>
            <w:r>
              <w:rPr>
                <w:rFonts w:ascii="Times New Roman" w:hAnsi="Times New Roman"/>
                <w:sz w:val="20"/>
                <w:u w:val="single"/>
              </w:rPr>
              <w:t>Combination of Methods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16.2                      By any combination of the foregoing methods of payment or any other consideration or method of payment as shall be permitted by applicable corporate law.</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610" w:name="hangingindent145"/>
      <w:bookmarkStart w:id="611" w:name="hangingindent145"/>
      <w:bookmarkEnd w:id="611"/>
    </w:p>
    <w:tbl>
      <w:tblPr>
        <w:tblW w:w="5000" w:type="pct"/>
        <w:jc w:val="center"/>
        <w:tblInd w:w="0" w:type="dxa"/>
        <w:tblCellMar>
          <w:top w:w="0" w:type="dxa"/>
          <w:left w:w="0" w:type="dxa"/>
          <w:bottom w:w="0" w:type="dxa"/>
          <w:right w:w="0" w:type="dxa"/>
        </w:tblCellMar>
      </w:tblPr>
      <w:tblGrid>
        <w:gridCol w:w="1136"/>
        <w:gridCol w:w="9069"/>
      </w:tblGrid>
      <w:tr>
        <w:trPr/>
        <w:tc>
          <w:tcPr>
            <w:tcW w:w="1136"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17.</w:t>
            </w:r>
          </w:p>
        </w:tc>
        <w:tc>
          <w:tcPr>
            <w:tcW w:w="9069" w:type="dxa"/>
            <w:tcBorders/>
            <w:shd w:fill="auto" w:val="clear"/>
          </w:tcPr>
          <w:p>
            <w:pPr>
              <w:pStyle w:val="TableContents"/>
              <w:spacing w:before="0" w:after="0"/>
              <w:jc w:val="both"/>
              <w:rPr>
                <w:rFonts w:ascii="Times New Roman" w:hAnsi="Times New Roman"/>
                <w:b/>
                <w:sz w:val="20"/>
                <w:u w:val="single"/>
              </w:rPr>
            </w:pPr>
            <w:r>
              <w:rPr>
                <w:rFonts w:ascii="Times New Roman" w:hAnsi="Times New Roman"/>
                <w:b/>
                <w:sz w:val="20"/>
                <w:u w:val="single"/>
              </w:rPr>
              <w:t>WITHHOLDING TAXES</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612" w:name="TAB150"/>
      <w:bookmarkEnd w:id="612"/>
      <w:r>
        <w:rPr>
          <w:rFonts w:ascii="Times New Roman" w:hAnsi="Times New Roman"/>
          <w:b/>
          <w:sz w:val="20"/>
          <w:u w:val="single"/>
        </w:rPr>
        <w:t>Withholding Generally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17.1                      Whenever Shares are to be issued in satisfaction of Awards granted under this Plan or Shares are forfeited pursuant to a deemed net-stock exercise, the Company may require the Grantee to remit to the Company an amount sufficient to satisfy the foreign, federal, state, provincial, or local income and employment tax withholding obligations, including, without limitation, on exercise of an Award.  When, under applicable tax laws, a Grantee incurs tax liability in connection with the exercise or vesting of any Award, the disposition by a Grantee or other person of an Award or an Option prior to satisfaction of the holding period requirements of Section 422 of the Code, or upon the exercise of a Non-Qualified Stock Option, the Company shall have the right to require such Grantee or such other person to pay by cash, or check payable to the Company, the amount of any such withholding with respect to such transactions.  Any such payment must be made promptly when the amount of such obligation becomes determinable.</w:t>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613" w:name="TAB151"/>
      <w:bookmarkEnd w:id="613"/>
      <w:r>
        <w:rPr>
          <w:rFonts w:ascii="Times New Roman" w:hAnsi="Times New Roman"/>
          <w:b/>
          <w:sz w:val="20"/>
          <w:u w:val="single"/>
        </w:rPr>
        <w:t>Stock for Withholding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17.2                      To the extent permissible under applicable tax, securities and other laws, the Administrator may, in its sole discretion and upon such terms and conditions as it may deem appropriate, permit a Grantee to satisfy his or her obligation to pay any withholding tax, in whole or in part, with Shares up to an amount not greater than the Company’s minimum statutory withholding rate for federal and state tax purposes, including payroll taxes, that are applicable to such supplemental taxable income.  The Administrator may exercise its discretion, by (i) directing the Company to apply Shares to which the Grantee is entitled as a result of the exercise of an Award, or (ii) delivering to the Company Shares that have been owned by the Grantee for more than six months, unless the delivery of Shares is otherwise exempt from Section 16 of the Exchange Act.  A Grantee who has made an election pursuant to this Section 17.2 may satisfy his or her withholding obligation only with Shares that are not subject to any repurchase, forfeiture, unfulfilled vesting or other similar requirements.  The Shares so applied or delivered for the withholding obligation shall be valued at their Fair Market Value as of the date of measurement of the amount of income subject to withholding.</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614" w:name="hangingindent146"/>
      <w:bookmarkStart w:id="615" w:name="hangingindent146"/>
      <w:bookmarkEnd w:id="615"/>
    </w:p>
    <w:tbl>
      <w:tblPr>
        <w:tblW w:w="5000" w:type="pct"/>
        <w:jc w:val="center"/>
        <w:tblInd w:w="0" w:type="dxa"/>
        <w:tblCellMar>
          <w:top w:w="0" w:type="dxa"/>
          <w:left w:w="0" w:type="dxa"/>
          <w:bottom w:w="0" w:type="dxa"/>
          <w:right w:w="0" w:type="dxa"/>
        </w:tblCellMar>
      </w:tblPr>
      <w:tblGrid>
        <w:gridCol w:w="527"/>
        <w:gridCol w:w="9678"/>
      </w:tblGrid>
      <w:tr>
        <w:trPr/>
        <w:tc>
          <w:tcPr>
            <w:tcW w:w="527"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18.</w:t>
            </w:r>
          </w:p>
        </w:tc>
        <w:tc>
          <w:tcPr>
            <w:tcW w:w="9678" w:type="dxa"/>
            <w:tcBorders/>
            <w:shd w:fill="auto" w:val="clear"/>
          </w:tcPr>
          <w:p>
            <w:pPr>
              <w:pStyle w:val="TableContents"/>
              <w:spacing w:before="0" w:after="0"/>
              <w:jc w:val="both"/>
              <w:rPr>
                <w:rFonts w:ascii="Times New Roman" w:hAnsi="Times New Roman"/>
                <w:b/>
                <w:sz w:val="20"/>
                <w:u w:val="single"/>
              </w:rPr>
            </w:pPr>
            <w:r>
              <w:rPr>
                <w:rFonts w:ascii="Times New Roman" w:hAnsi="Times New Roman"/>
                <w:b/>
                <w:sz w:val="20"/>
                <w:u w:val="single"/>
              </w:rPr>
              <w:t>ADJUSTMENTS UPON CHANGES IN CAPITALIZATION</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616" w:name="TAB152"/>
      <w:bookmarkEnd w:id="616"/>
      <w:r>
        <w:rPr>
          <w:rFonts w:ascii="Times New Roman" w:hAnsi="Times New Roman"/>
          <w:b/>
          <w:sz w:val="20"/>
          <w:u w:val="single"/>
        </w:rPr>
        <w:t>In General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18.1                      Subject to any required action by the shareholders of the Company, the number of Shares covered by each outstanding Award, and the number of Shares which have been authorized for issuance under the Plan but as to which no Awards have yet been granted or which have been returned to the Plan, the exercise or purchase price of each such outstanding Award, as well as any other terms that the Administrator determines require adjustment shall be proportionately adjusted for (i) any increase or decrease in the number of issued Shares resulting from a stock split, reverse stock split, stock dividend, combination or reclassification of the Shares, or (ii) any other increase or decrease in the number of issued Shares effected without receipt of consideration by the Company; provided, however that conversion of any convertible securities of the Company shall not be deemed to have been effected without receipt of consideration. The Administrator shall make the appropriate adjustments to (i) the maximum number and/or class of securities issuable under this Plan; and (ii) the number and/or class of securities and the exercise price per Share in effect under each outstanding Award in order to prevent the dilution or enlargement of benefits thereunder; provided, however, that the number of Shares subject to any Award shall always be a whole number and the Administrator shall make such adjustments as are necessary to insure Awards of whole Shares. Such adjustment shall be made by the Administrator and its determination shall be final, binding and conclusive.</w:t>
      </w:r>
    </w:p>
    <w:p>
      <w:pPr>
        <w:pStyle w:val="TextBody"/>
        <w:spacing w:before="0" w:after="0"/>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617" w:name="PGBRK29"/>
      <w:bookmarkStart w:id="618" w:name="PGBRK29"/>
      <w:bookmarkEnd w:id="6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619" w:name="FTR29"/>
      <w:bookmarkStart w:id="620" w:name="FTR29"/>
      <w:bookmarkEnd w:id="6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21" w:name="GLFTR29"/>
      <w:bookmarkEnd w:id="6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22" w:name="PN29"/>
      <w:bookmarkEnd w:id="622"/>
      <w:r>
        <w:rPr>
          <w:rFonts w:ascii="Times New Roman" w:hAnsi="Times New Roman"/>
          <w:sz w:val="20"/>
        </w:rPr>
        <w:t>B-20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623" w:name="HDR29"/>
      <w:bookmarkStart w:id="624" w:name="HDR29"/>
      <w:bookmarkEnd w:id="6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25" w:name="GLHDR29"/>
      <w:bookmarkEnd w:id="6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p>
    <w:p>
      <w:pPr>
        <w:pStyle w:val="TextBody"/>
        <w:spacing w:before="0" w:after="0"/>
        <w:ind w:left="0" w:right="0" w:hanging="0"/>
        <w:jc w:val="both"/>
        <w:rPr/>
      </w:pPr>
      <w:r>
        <w:rPr/>
        <w:t> </w:t>
      </w:r>
    </w:p>
    <w:p>
      <w:pPr>
        <w:pStyle w:val="TextBody"/>
        <w:spacing w:before="0" w:after="0"/>
        <w:ind w:left="2160" w:right="0" w:hanging="0"/>
        <w:jc w:val="both"/>
        <w:rPr>
          <w:rFonts w:ascii="Times New Roman" w:hAnsi="Times New Roman"/>
          <w:sz w:val="20"/>
          <w:u w:val="single"/>
        </w:rPr>
      </w:pPr>
      <w:bookmarkStart w:id="626" w:name="TAB153"/>
      <w:bookmarkEnd w:id="626"/>
      <w:r>
        <w:rPr>
          <w:rFonts w:ascii="Times New Roman" w:hAnsi="Times New Roman"/>
          <w:sz w:val="20"/>
          <w:u w:val="single"/>
        </w:rPr>
        <w:t>Company’s Right to Effect Changes in Capitalization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18.2                      The existence of outstanding Awards shall not affect the Company’s right to effect adjustments, recapitalizations, reorganizations or other changes in its or any other corporation’s capital structure or business, any merger or consolidation, any issuance of bonds, debentures, preferred or prior preference stock ahead of or affecting the Shares, the dissolution or liquidation of the Company’s or any other corporation’s assets or business or any other corporate act whether similar to the events described above or otherwise.</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627" w:name="hangingindent147"/>
      <w:bookmarkStart w:id="628" w:name="hangingindent147"/>
      <w:bookmarkEnd w:id="628"/>
    </w:p>
    <w:tbl>
      <w:tblPr>
        <w:tblW w:w="5000" w:type="pct"/>
        <w:jc w:val="center"/>
        <w:tblInd w:w="0" w:type="dxa"/>
        <w:tblCellMar>
          <w:top w:w="0" w:type="dxa"/>
          <w:left w:w="0" w:type="dxa"/>
          <w:bottom w:w="0" w:type="dxa"/>
          <w:right w:w="0" w:type="dxa"/>
        </w:tblCellMar>
      </w:tblPr>
      <w:tblGrid>
        <w:gridCol w:w="327"/>
        <w:gridCol w:w="9878"/>
      </w:tblGrid>
      <w:tr>
        <w:trPr/>
        <w:tc>
          <w:tcPr>
            <w:tcW w:w="327"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19.</w:t>
            </w:r>
          </w:p>
        </w:tc>
        <w:tc>
          <w:tcPr>
            <w:tcW w:w="9878" w:type="dxa"/>
            <w:tcBorders/>
            <w:shd w:fill="auto" w:val="clear"/>
          </w:tcPr>
          <w:p>
            <w:pPr>
              <w:pStyle w:val="TableContents"/>
              <w:spacing w:before="0" w:after="0"/>
              <w:jc w:val="both"/>
              <w:rPr>
                <w:rFonts w:ascii="Times New Roman" w:hAnsi="Times New Roman"/>
                <w:b/>
                <w:sz w:val="20"/>
                <w:u w:val="single"/>
              </w:rPr>
            </w:pPr>
            <w:r>
              <w:rPr>
                <w:rFonts w:ascii="Times New Roman" w:hAnsi="Times New Roman"/>
                <w:b/>
                <w:sz w:val="20"/>
                <w:u w:val="single"/>
              </w:rPr>
              <w:t>CORPORATE TRANSACTIONS/CHANGES IN CONTROL/RELATED ENTITY DISPOSITIONS</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629" w:name="TAB154"/>
      <w:bookmarkEnd w:id="629"/>
      <w:r>
        <w:rPr>
          <w:rFonts w:ascii="Times New Roman" w:hAnsi="Times New Roman"/>
          <w:b/>
          <w:sz w:val="20"/>
          <w:u w:val="single"/>
        </w:rPr>
        <w:t>Company is Not the Survivor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19.1                      Subject to Section 19.3 and except as may otherwise be provided in an Award Agreement, the Administrator shall have the authority, in its absolute discretion, exercisable either in advance of any actual or anticipated Corporate Transaction, Change in Control or Related Entity Disposition in which the Company is not the surviving corporation, or at the time of an actual Corporate Transaction, Change in Control or Related Entity Disposition in which the Company is not the surviving corporation (a) to cancel each outstanding Award upon payment in cash to the Grantee of the amount by which any cash and the Fair Market Value of any other property which the Grantee would have received as consideration for the Shares covered by the Award if the Award had been exercised before such Corporate Transaction, Change in Control or Related Entity Disposition exceeds the exercise price of the Award, or (b) to negotiate to have such Award assumed by the surviving corporation.  The determination as to whether the Company is the surviving corporation is at the sole and absolute discretion of the Administrator.</w:t>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bookmarkStart w:id="630" w:name="TAB155"/>
      <w:bookmarkEnd w:id="630"/>
      <w:r>
        <w:rPr>
          <w:rFonts w:ascii="Times New Roman" w:hAnsi="Times New Roman"/>
          <w:sz w:val="20"/>
        </w:rPr>
        <w:t>In addition to the foregoing, in the event of a dissolution or liquidation of the Company, or a Corporate Transaction or Related Entity Disposition in which the Company is not the surviving corporation, the Administrator, in its absolute discretion, may accelerate the time within which each outstanding Award may be exercised.  Section 19.3 shall control with respect to any acceleration in vesting in the event of a Change of Control.</w:t>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bookmarkStart w:id="631" w:name="TAB156"/>
      <w:bookmarkEnd w:id="631"/>
      <w:r>
        <w:rPr>
          <w:rFonts w:ascii="Times New Roman" w:hAnsi="Times New Roman"/>
          <w:sz w:val="20"/>
        </w:rPr>
        <w:t>The Administrator shall also have the authority:</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632" w:name="hangingindent148"/>
      <w:bookmarkStart w:id="633" w:name="hangingindent148"/>
      <w:bookmarkEnd w:id="633"/>
    </w:p>
    <w:tbl>
      <w:tblPr>
        <w:tblW w:w="5000" w:type="pct"/>
        <w:jc w:val="center"/>
        <w:tblInd w:w="0" w:type="dxa"/>
        <w:tblCellMar>
          <w:top w:w="0" w:type="dxa"/>
          <w:left w:w="0" w:type="dxa"/>
          <w:bottom w:w="0" w:type="dxa"/>
          <w:right w:w="0" w:type="dxa"/>
        </w:tblCellMar>
      </w:tblPr>
      <w:tblGrid>
        <w:gridCol w:w="101"/>
        <w:gridCol w:w="212"/>
        <w:gridCol w:w="9892"/>
      </w:tblGrid>
      <w:tr>
        <w:trPr/>
        <w:tc>
          <w:tcPr>
            <w:tcW w:w="101" w:type="dxa"/>
            <w:tcBorders/>
            <w:shd w:fill="auto" w:val="clear"/>
          </w:tcPr>
          <w:p>
            <w:pPr>
              <w:pStyle w:val="TableContents"/>
              <w:spacing w:before="0" w:after="0"/>
              <w:rPr/>
            </w:pPr>
            <w:r>
              <w:rPr/>
              <w:t xml:space="preserve">  </w:t>
            </w:r>
          </w:p>
        </w:tc>
        <w:tc>
          <w:tcPr>
            <w:tcW w:w="21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89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to release the Awards from restrictions on transfer and repurchase or forfeiture rights of such Awards on such terms and conditions as the Administrator may specify; and</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634" w:name="hangingindent149"/>
      <w:bookmarkStart w:id="635" w:name="hangingindent149"/>
      <w:bookmarkEnd w:id="635"/>
    </w:p>
    <w:tbl>
      <w:tblPr>
        <w:tblW w:w="5000" w:type="pct"/>
        <w:jc w:val="center"/>
        <w:tblInd w:w="0" w:type="dxa"/>
        <w:tblCellMar>
          <w:top w:w="0" w:type="dxa"/>
          <w:left w:w="0" w:type="dxa"/>
          <w:bottom w:w="0" w:type="dxa"/>
          <w:right w:w="0" w:type="dxa"/>
        </w:tblCellMar>
      </w:tblPr>
      <w:tblGrid>
        <w:gridCol w:w="81"/>
        <w:gridCol w:w="207"/>
        <w:gridCol w:w="9917"/>
      </w:tblGrid>
      <w:tr>
        <w:trPr/>
        <w:tc>
          <w:tcPr>
            <w:tcW w:w="81" w:type="dxa"/>
            <w:tcBorders/>
            <w:shd w:fill="auto" w:val="clear"/>
          </w:tcPr>
          <w:p>
            <w:pPr>
              <w:pStyle w:val="TableContents"/>
              <w:spacing w:before="0" w:after="0"/>
              <w:rPr/>
            </w:pPr>
            <w:r>
              <w:rPr/>
              <w:t xml:space="preserve">  </w:t>
            </w:r>
          </w:p>
        </w:tc>
        <w:tc>
          <w:tcPr>
            <w:tcW w:w="20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1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to condition any such Award’s vesting and exercisability or release from such limitations upon the subsequent termination of the Continuous Service of the Grantee within a specified period following the effective date of the Corporate Transaction, Change in Control or Related Entity Disposition.</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bookmarkStart w:id="636" w:name="TAB157"/>
      <w:bookmarkEnd w:id="636"/>
      <w:r>
        <w:rPr>
          <w:rFonts w:ascii="Times New Roman" w:hAnsi="Times New Roman"/>
          <w:sz w:val="20"/>
        </w:rPr>
        <w:t>Effective upon the consummation of a Corporate Transaction, Change in Control or Related Entity Disposition governed by this Section 19.1, all outstanding Awards under this Plan not exercised by the Grantee or assumed by the successor corporation shall terminate.</w:t>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637" w:name="TAB158"/>
      <w:bookmarkEnd w:id="637"/>
      <w:r>
        <w:rPr>
          <w:rFonts w:ascii="Times New Roman" w:hAnsi="Times New Roman"/>
          <w:b/>
          <w:sz w:val="20"/>
          <w:u w:val="single"/>
        </w:rPr>
        <w:t>Company is the Survivor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19.2                      In the event of a Corporate Transaction, Change in Control or Related Entity Disposition in which the Company is the surviving corporation, the Administrator shall determine the appropriate adjustment of the number and kind of securities with respect to which outstanding Awards may be exercised, and the exercise price at which outstanding Awards may be exercised.  The Administrator shall determine, in its sole and absolute discretion, when the Company shall be deemed to survive for purposes of this Plan.  Subject to any contrary language in an Award Agreement evidencing an Award, any restrictions applicable to such Award shall apply as well to any replacement shares received by the Grantee as a result.</w:t>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638" w:name="TAB159"/>
      <w:bookmarkEnd w:id="638"/>
      <w:r>
        <w:rPr>
          <w:rFonts w:ascii="Times New Roman" w:hAnsi="Times New Roman"/>
          <w:b/>
          <w:sz w:val="20"/>
          <w:u w:val="single"/>
        </w:rPr>
        <w:t>Change in Control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19.3                      If there is a Change of Control, all outstanding Awards shall fully vest immediately upon the Company’s public announcement of such a Change of Control.</w:t>
      </w:r>
    </w:p>
    <w:p>
      <w:pPr>
        <w:pStyle w:val="TextBody"/>
        <w:spacing w:before="0" w:after="0"/>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639" w:name="PGBRK30"/>
      <w:bookmarkStart w:id="640" w:name="PGBRK30"/>
      <w:bookmarkEnd w:id="6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641" w:name="FTR30"/>
      <w:bookmarkStart w:id="642" w:name="FTR30"/>
      <w:bookmarkEnd w:id="6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43" w:name="GLFTR30"/>
      <w:bookmarkEnd w:id="6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44" w:name="PN30"/>
      <w:bookmarkEnd w:id="644"/>
      <w:r>
        <w:rPr>
          <w:rFonts w:ascii="Times New Roman" w:hAnsi="Times New Roman"/>
          <w:sz w:val="20"/>
        </w:rPr>
        <w:t>B-21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645" w:name="HDR30"/>
      <w:bookmarkStart w:id="646" w:name="HDR30"/>
      <w:bookmarkEnd w:id="6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47" w:name="GLHDR30"/>
      <w:bookmarkEnd w:id="6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20.                          </w:t>
      </w:r>
      <w:r>
        <w:rPr>
          <w:rFonts w:ascii="Times New Roman" w:hAnsi="Times New Roman"/>
          <w:sz w:val="20"/>
          <w:u w:val="single"/>
        </w:rPr>
        <w:t>PRIVILEGES OF STOCK OWNERSHIP</w:t>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bookmarkStart w:id="648" w:name="TAB160"/>
      <w:bookmarkEnd w:id="648"/>
      <w:r>
        <w:rPr>
          <w:rFonts w:ascii="Times New Roman" w:hAnsi="Times New Roman"/>
          <w:sz w:val="20"/>
        </w:rPr>
        <w:t>No Grantee shall have any of the rights of a stockholder with respect to any Shares until the Shares are issued to the Grantee.  After Shares are issued to the Grantee, the Grantee shall be a stockholder and have all the rights of a stockholder with respect to such Shares, including the right to vote and receive all dividends or other distributions made or paid with respect to such Shares; provided, that if such Shares are Restricted Stock, then any new, additional or different securities the Grantee may become entitled to receive with respect to such Shares by virtue of a stock dividend, stock split or any other change in the corporate or capital structure of the Company shall be subject to the same restrictions as the Restricted Stock.  The Company shall issue (or cause to be issued) such stock certificate promptly upon exercise of the Award.</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649" w:name="hangingindent150"/>
      <w:bookmarkStart w:id="650" w:name="hangingindent150"/>
      <w:bookmarkEnd w:id="650"/>
    </w:p>
    <w:tbl>
      <w:tblPr>
        <w:tblW w:w="5000" w:type="pct"/>
        <w:jc w:val="center"/>
        <w:tblInd w:w="0" w:type="dxa"/>
        <w:tblCellMar>
          <w:top w:w="0" w:type="dxa"/>
          <w:left w:w="0" w:type="dxa"/>
          <w:bottom w:w="0" w:type="dxa"/>
          <w:right w:w="0" w:type="dxa"/>
        </w:tblCellMar>
      </w:tblPr>
      <w:tblGrid>
        <w:gridCol w:w="1007"/>
        <w:gridCol w:w="9198"/>
      </w:tblGrid>
      <w:tr>
        <w:trPr/>
        <w:tc>
          <w:tcPr>
            <w:tcW w:w="1007"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21.</w:t>
            </w:r>
          </w:p>
        </w:tc>
        <w:tc>
          <w:tcPr>
            <w:tcW w:w="9198" w:type="dxa"/>
            <w:tcBorders/>
            <w:shd w:fill="auto" w:val="clear"/>
          </w:tcPr>
          <w:p>
            <w:pPr>
              <w:pStyle w:val="TableContents"/>
              <w:spacing w:before="0" w:after="0"/>
              <w:jc w:val="both"/>
              <w:rPr>
                <w:rFonts w:ascii="Times New Roman" w:hAnsi="Times New Roman"/>
                <w:b/>
                <w:sz w:val="20"/>
                <w:u w:val="single"/>
              </w:rPr>
            </w:pPr>
            <w:r>
              <w:rPr>
                <w:rFonts w:ascii="Times New Roman" w:hAnsi="Times New Roman"/>
                <w:b/>
                <w:sz w:val="20"/>
                <w:u w:val="single"/>
              </w:rPr>
              <w:t>RESTRICTION ON SHARES</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bookmarkStart w:id="651" w:name="TAB161"/>
      <w:bookmarkEnd w:id="651"/>
      <w:r>
        <w:rPr>
          <w:rFonts w:ascii="Times New Roman" w:hAnsi="Times New Roman"/>
          <w:sz w:val="20"/>
        </w:rPr>
        <w:t>At the discretion of the Administrator, the Company may reserve to itself and/or its assignee(s) in the Award Agreement that the Grantee not dispose of the Shares for a specified period of time, or that the Shares are subject to a right of first refusal or a right to repurchase by the Company at the Shares’ Fair Market Value at the time of sale.  The terms and conditions of any such rights or other restrictions shall be set forth in the Award Agreement evidencing the Award.</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652" w:name="hangingindent151"/>
      <w:bookmarkStart w:id="653" w:name="hangingindent151"/>
      <w:bookmarkEnd w:id="653"/>
    </w:p>
    <w:tbl>
      <w:tblPr>
        <w:tblW w:w="5000" w:type="pct"/>
        <w:jc w:val="center"/>
        <w:tblInd w:w="0" w:type="dxa"/>
        <w:tblCellMar>
          <w:top w:w="0" w:type="dxa"/>
          <w:left w:w="0" w:type="dxa"/>
          <w:bottom w:w="0" w:type="dxa"/>
          <w:right w:w="0" w:type="dxa"/>
        </w:tblCellMar>
      </w:tblPr>
      <w:tblGrid>
        <w:gridCol w:w="1603"/>
        <w:gridCol w:w="8602"/>
      </w:tblGrid>
      <w:tr>
        <w:trPr/>
        <w:tc>
          <w:tcPr>
            <w:tcW w:w="1603"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22.</w:t>
            </w:r>
          </w:p>
        </w:tc>
        <w:tc>
          <w:tcPr>
            <w:tcW w:w="8602" w:type="dxa"/>
            <w:tcBorders/>
            <w:shd w:fill="auto" w:val="clear"/>
          </w:tcPr>
          <w:p>
            <w:pPr>
              <w:pStyle w:val="TableContents"/>
              <w:spacing w:before="0" w:after="0"/>
              <w:jc w:val="both"/>
              <w:rPr>
                <w:rFonts w:ascii="Times New Roman" w:hAnsi="Times New Roman"/>
                <w:b/>
                <w:sz w:val="20"/>
                <w:u w:val="single"/>
              </w:rPr>
            </w:pPr>
            <w:r>
              <w:rPr>
                <w:rFonts w:ascii="Times New Roman" w:hAnsi="Times New Roman"/>
                <w:b/>
                <w:sz w:val="20"/>
                <w:u w:val="single"/>
              </w:rPr>
              <w:t>CERTIFICATES</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bookmarkStart w:id="654" w:name="TAB162"/>
      <w:bookmarkEnd w:id="654"/>
      <w:r>
        <w:rPr>
          <w:rFonts w:ascii="Times New Roman" w:hAnsi="Times New Roman"/>
          <w:sz w:val="20"/>
        </w:rPr>
        <w:t>All certificates for Shares or other securities delivered under this Plan shall be subject to such stock transfer orders, legends and other restrictions as the Administrator may deem necessary or advisable, including restrictions under any applicable federal, state or foreign securities law, or any rules, regulations and other requirements of the SEC or any stock exchange or automated quotation system upon which the Shares may be listed or quoted.</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655" w:name="hangingindent152"/>
      <w:bookmarkStart w:id="656" w:name="hangingindent152"/>
      <w:bookmarkEnd w:id="656"/>
    </w:p>
    <w:tbl>
      <w:tblPr>
        <w:tblW w:w="5000" w:type="pct"/>
        <w:jc w:val="center"/>
        <w:tblInd w:w="0" w:type="dxa"/>
        <w:tblCellMar>
          <w:top w:w="0" w:type="dxa"/>
          <w:left w:w="0" w:type="dxa"/>
          <w:bottom w:w="0" w:type="dxa"/>
          <w:right w:w="0" w:type="dxa"/>
        </w:tblCellMar>
      </w:tblPr>
      <w:tblGrid>
        <w:gridCol w:w="879"/>
        <w:gridCol w:w="9326"/>
      </w:tblGrid>
      <w:tr>
        <w:trPr/>
        <w:tc>
          <w:tcPr>
            <w:tcW w:w="879"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23.</w:t>
            </w:r>
          </w:p>
        </w:tc>
        <w:tc>
          <w:tcPr>
            <w:tcW w:w="9326" w:type="dxa"/>
            <w:tcBorders/>
            <w:shd w:fill="auto" w:val="clear"/>
          </w:tcPr>
          <w:p>
            <w:pPr>
              <w:pStyle w:val="TableContents"/>
              <w:spacing w:before="0" w:after="0"/>
              <w:jc w:val="both"/>
              <w:rPr>
                <w:rFonts w:ascii="Times New Roman" w:hAnsi="Times New Roman"/>
                <w:b/>
                <w:sz w:val="20"/>
                <w:u w:val="single"/>
              </w:rPr>
            </w:pPr>
            <w:r>
              <w:rPr>
                <w:rFonts w:ascii="Times New Roman" w:hAnsi="Times New Roman"/>
                <w:b/>
                <w:sz w:val="20"/>
                <w:u w:val="single"/>
              </w:rPr>
              <w:t>ESCROW; PLEDGE OF SHARES</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bookmarkStart w:id="657" w:name="TAB163"/>
      <w:bookmarkEnd w:id="657"/>
      <w:r>
        <w:rPr>
          <w:rFonts w:ascii="Times New Roman" w:hAnsi="Times New Roman"/>
          <w:sz w:val="20"/>
        </w:rPr>
        <w:t>To enforce any restrictions on a Grantee’s Shares, the Administrator may require the Grantee to deposit all certificates representing Shares, together with stock powers or other instruments of transfer approved by the Administrator, appropriately endorsed in blank, with the Company or an agent designated by the Company to hold in escrow until such restrictions have lapsed or terminated, and the Administrator may cause a legend or legends referencing such restrictions to be placed on the certificates.</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658" w:name="hangingindent153"/>
      <w:bookmarkStart w:id="659" w:name="hangingindent153"/>
      <w:bookmarkEnd w:id="659"/>
    </w:p>
    <w:tbl>
      <w:tblPr>
        <w:tblW w:w="5000" w:type="pct"/>
        <w:jc w:val="center"/>
        <w:tblInd w:w="0" w:type="dxa"/>
        <w:tblCellMar>
          <w:top w:w="0" w:type="dxa"/>
          <w:left w:w="0" w:type="dxa"/>
          <w:bottom w:w="0" w:type="dxa"/>
          <w:right w:w="0" w:type="dxa"/>
        </w:tblCellMar>
      </w:tblPr>
      <w:tblGrid>
        <w:gridCol w:w="469"/>
        <w:gridCol w:w="9736"/>
      </w:tblGrid>
      <w:tr>
        <w:trPr/>
        <w:tc>
          <w:tcPr>
            <w:tcW w:w="469"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24.</w:t>
            </w:r>
          </w:p>
        </w:tc>
        <w:tc>
          <w:tcPr>
            <w:tcW w:w="9736" w:type="dxa"/>
            <w:tcBorders/>
            <w:shd w:fill="auto" w:val="clear"/>
          </w:tcPr>
          <w:p>
            <w:pPr>
              <w:pStyle w:val="TableContents"/>
              <w:spacing w:before="0" w:after="0"/>
              <w:jc w:val="both"/>
              <w:rPr>
                <w:rFonts w:ascii="Times New Roman" w:hAnsi="Times New Roman"/>
                <w:b/>
                <w:sz w:val="20"/>
                <w:u w:val="single"/>
              </w:rPr>
            </w:pPr>
            <w:r>
              <w:rPr>
                <w:rFonts w:ascii="Times New Roman" w:hAnsi="Times New Roman"/>
                <w:b/>
                <w:sz w:val="20"/>
                <w:u w:val="single"/>
              </w:rPr>
              <w:t>SECURITIES LAW AND OTHER REGULATORY COMPLIANCE</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660" w:name="TAB164"/>
      <w:bookmarkEnd w:id="660"/>
      <w:r>
        <w:rPr>
          <w:rFonts w:ascii="Times New Roman" w:hAnsi="Times New Roman"/>
          <w:b/>
          <w:sz w:val="20"/>
          <w:u w:val="single"/>
        </w:rPr>
        <w:t>Compliance With Applicable Law</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24.1                      An Award shall not be effective unless such Award is in compliance with all applicable federal and state securities laws, rules and regulations of any governmental body, and the requirements of any stock exchange or automated quotation system upon which the Shares may then be listed or quoted, as they are in effect on the Grant Date and also on the date of exercise or other issuance.  Notwithstanding any other provision in this Plan, the Company shall have no obligation to issue or deliver certificates for Shares under this Plan prior to (i) obtaining any approvals from governmental agencies that the Company determines are necessary or advisable; and/or (ii) completion of any registration or other qualification of such Shares under any state or federal laws or rulings of any governmental body that the Company determines to be necessary or advisable.  The Company shall be under no obligation to register the Shares with the Securities Exchange Commission or to effect compliance with the registration, qualification or listing requirements of any state securities laws, stock exchange or automated quotation system, and the Company shall have no liability for any inability or failure to do so.  Evidences of ownership of Shares acquired pursuant to an Award shall bear any legend required by, or useful for purposes of compliance with, applicable securities laws, this Plan or the Award Agreement.</w:t>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bookmarkStart w:id="661" w:name="TAB165"/>
      <w:bookmarkEnd w:id="661"/>
      <w:r>
        <w:rPr>
          <w:rFonts w:ascii="Times New Roman" w:hAnsi="Times New Roman"/>
          <w:sz w:val="20"/>
        </w:rPr>
        <w:t>During any time when the Company has a class of equity security registered under Section 12 of the Exchange Act, it is the intent of the Company that Awards pursuant to this Plan and the exercise of Awards granted hereunder shall qualify for the exemption provided by Rule 16b-3 under the Exchange Act.  To the extent that any provision of this Plan or action by the Board or the Administrator does not comply with the requirements of Rule 16b-3, it shall be deemed inoperative to the extent permitted by law and deemed advisable by the Board or the</w:t>
      </w:r>
    </w:p>
    <w:p>
      <w:pPr>
        <w:pStyle w:val="TextBody"/>
        <w:spacing w:before="0" w:after="0"/>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662" w:name="PGBRK31"/>
      <w:bookmarkStart w:id="663" w:name="PGBRK31"/>
      <w:bookmarkEnd w:id="6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664" w:name="FTR31"/>
      <w:bookmarkStart w:id="665" w:name="FTR31"/>
      <w:bookmarkEnd w:id="6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66" w:name="GLFTR31"/>
      <w:bookmarkEnd w:id="6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67" w:name="PN31"/>
      <w:bookmarkEnd w:id="667"/>
      <w:r>
        <w:rPr>
          <w:rFonts w:ascii="Times New Roman" w:hAnsi="Times New Roman"/>
          <w:sz w:val="20"/>
        </w:rPr>
        <w:t>B-22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668" w:name="HDR31"/>
      <w:bookmarkStart w:id="669" w:name="HDR31"/>
      <w:bookmarkEnd w:id="6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70" w:name="GLHDR31"/>
      <w:bookmarkEnd w:id="67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Administrator, and shall not affect the validity of this Plan.  In the event that Rule 16b-3 is revised or replaced, the Administrator may exercise its discretion to modify this Plan in any respect necessary to satisfy the requirements of, or to take advantage of any features of, the revised exemption or its replacement.</w:t>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u w:val="single"/>
        </w:rPr>
      </w:pPr>
      <w:bookmarkStart w:id="671" w:name="TAB166"/>
      <w:bookmarkEnd w:id="671"/>
      <w:r>
        <w:rPr>
          <w:rFonts w:ascii="Times New Roman" w:hAnsi="Times New Roman"/>
          <w:b/>
          <w:sz w:val="20"/>
          <w:u w:val="single"/>
        </w:rPr>
        <w:t>Investment Representation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24.2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 by any Applicable Laws.</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672" w:name="hangingindent154"/>
      <w:bookmarkStart w:id="673" w:name="hangingindent154"/>
      <w:bookmarkEnd w:id="673"/>
    </w:p>
    <w:tbl>
      <w:tblPr>
        <w:tblW w:w="5000" w:type="pct"/>
        <w:jc w:val="center"/>
        <w:tblInd w:w="0" w:type="dxa"/>
        <w:tblCellMar>
          <w:top w:w="0" w:type="dxa"/>
          <w:left w:w="0" w:type="dxa"/>
          <w:bottom w:w="0" w:type="dxa"/>
          <w:right w:w="0" w:type="dxa"/>
        </w:tblCellMar>
      </w:tblPr>
      <w:tblGrid>
        <w:gridCol w:w="896"/>
        <w:gridCol w:w="9309"/>
      </w:tblGrid>
      <w:tr>
        <w:trPr/>
        <w:tc>
          <w:tcPr>
            <w:tcW w:w="896"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25.</w:t>
            </w:r>
          </w:p>
        </w:tc>
        <w:tc>
          <w:tcPr>
            <w:tcW w:w="9309" w:type="dxa"/>
            <w:tcBorders/>
            <w:shd w:fill="auto" w:val="clear"/>
          </w:tcPr>
          <w:p>
            <w:pPr>
              <w:pStyle w:val="TableContents"/>
              <w:spacing w:before="0" w:after="0"/>
              <w:jc w:val="both"/>
              <w:rPr>
                <w:rFonts w:ascii="Times New Roman" w:hAnsi="Times New Roman"/>
                <w:b/>
                <w:sz w:val="20"/>
                <w:u w:val="single"/>
              </w:rPr>
            </w:pPr>
            <w:r>
              <w:rPr>
                <w:rFonts w:ascii="Times New Roman" w:hAnsi="Times New Roman"/>
                <w:b/>
                <w:sz w:val="20"/>
                <w:u w:val="single"/>
              </w:rPr>
              <w:t>NO OBLIGATION TO EMPLOY</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bookmarkStart w:id="674" w:name="TAB167"/>
      <w:bookmarkEnd w:id="674"/>
      <w:r>
        <w:rPr>
          <w:rFonts w:ascii="Times New Roman" w:hAnsi="Times New Roman"/>
          <w:sz w:val="20"/>
        </w:rPr>
        <w:t>Nothing in this Plan or any Award granted under this Plan shall confer or be deemed to confer on any Grantee any right to continue in the employ of, or to continue any other relationship with, the Company or to limit in any way the right of the Company to terminate such Grantee’s employment or other relationship at any time, with or without Cause.</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675" w:name="hangingindent155"/>
      <w:bookmarkStart w:id="676" w:name="hangingindent155"/>
      <w:bookmarkEnd w:id="676"/>
    </w:p>
    <w:tbl>
      <w:tblPr>
        <w:tblW w:w="5000" w:type="pct"/>
        <w:jc w:val="center"/>
        <w:tblInd w:w="0" w:type="dxa"/>
        <w:tblCellMar>
          <w:top w:w="0" w:type="dxa"/>
          <w:left w:w="0" w:type="dxa"/>
          <w:bottom w:w="0" w:type="dxa"/>
          <w:right w:w="0" w:type="dxa"/>
        </w:tblCellMar>
      </w:tblPr>
      <w:tblGrid>
        <w:gridCol w:w="706"/>
        <w:gridCol w:w="9499"/>
      </w:tblGrid>
      <w:tr>
        <w:trPr/>
        <w:tc>
          <w:tcPr>
            <w:tcW w:w="706"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26.</w:t>
            </w:r>
          </w:p>
        </w:tc>
        <w:tc>
          <w:tcPr>
            <w:tcW w:w="9499" w:type="dxa"/>
            <w:tcBorders/>
            <w:shd w:fill="auto" w:val="clear"/>
          </w:tcPr>
          <w:p>
            <w:pPr>
              <w:pStyle w:val="TableContents"/>
              <w:spacing w:before="0" w:after="0"/>
              <w:jc w:val="both"/>
              <w:rPr>
                <w:rFonts w:ascii="Times New Roman" w:hAnsi="Times New Roman"/>
                <w:b/>
                <w:sz w:val="20"/>
                <w:u w:val="single"/>
              </w:rPr>
            </w:pPr>
            <w:r>
              <w:rPr>
                <w:rFonts w:ascii="Times New Roman" w:hAnsi="Times New Roman"/>
                <w:b/>
                <w:sz w:val="20"/>
                <w:u w:val="single"/>
              </w:rPr>
              <w:t>EFFECTIVE DATE AND TERM OF PLAN</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bookmarkStart w:id="677" w:name="TAB168"/>
      <w:bookmarkEnd w:id="677"/>
      <w:r>
        <w:rPr>
          <w:rFonts w:ascii="Times New Roman" w:hAnsi="Times New Roman"/>
          <w:sz w:val="20"/>
        </w:rPr>
        <w:t>This Plan shall become effective upon the earlier to occur of its adoption by the Board or its approval by the shareholders of the Company. It shall continue in effect for a term of ten years unless sooner terminated.</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678" w:name="hangingindent156"/>
      <w:bookmarkStart w:id="679" w:name="hangingindent156"/>
      <w:bookmarkEnd w:id="679"/>
    </w:p>
    <w:tbl>
      <w:tblPr>
        <w:tblW w:w="5000" w:type="pct"/>
        <w:jc w:val="center"/>
        <w:tblInd w:w="0" w:type="dxa"/>
        <w:tblCellMar>
          <w:top w:w="0" w:type="dxa"/>
          <w:left w:w="0" w:type="dxa"/>
          <w:bottom w:w="0" w:type="dxa"/>
          <w:right w:w="0" w:type="dxa"/>
        </w:tblCellMar>
      </w:tblPr>
      <w:tblGrid>
        <w:gridCol w:w="965"/>
        <w:gridCol w:w="9240"/>
      </w:tblGrid>
      <w:tr>
        <w:trPr/>
        <w:tc>
          <w:tcPr>
            <w:tcW w:w="965"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27.</w:t>
            </w:r>
          </w:p>
        </w:tc>
        <w:tc>
          <w:tcPr>
            <w:tcW w:w="9240" w:type="dxa"/>
            <w:tcBorders/>
            <w:shd w:fill="auto" w:val="clear"/>
          </w:tcPr>
          <w:p>
            <w:pPr>
              <w:pStyle w:val="TableContents"/>
              <w:spacing w:before="0" w:after="0"/>
              <w:jc w:val="both"/>
              <w:rPr>
                <w:rFonts w:ascii="Times New Roman" w:hAnsi="Times New Roman"/>
                <w:b/>
                <w:sz w:val="20"/>
                <w:u w:val="single"/>
              </w:rPr>
            </w:pPr>
            <w:r>
              <w:rPr>
                <w:rFonts w:ascii="Times New Roman" w:hAnsi="Times New Roman"/>
                <w:b/>
                <w:sz w:val="20"/>
                <w:u w:val="single"/>
              </w:rPr>
              <w:t>SHAREHOLDER APPROVAL</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bookmarkStart w:id="680" w:name="TAB169"/>
      <w:bookmarkEnd w:id="680"/>
      <w:r>
        <w:rPr>
          <w:rFonts w:ascii="Times New Roman" w:hAnsi="Times New Roman"/>
          <w:sz w:val="20"/>
        </w:rPr>
        <w:t>This Plan shall be subject to approval by the shareholders of the Company within 12 months from the date the Plan is adopted by the Company’s Board for any and all intended Incentive Stock Options granted hereunder.  Such shareholder approval shall be obtained in the degree and manner required under Applicable Laws.  The Administrator may grant Awards under this Plan prior to approval by the shareholders, however, until such approval is obtained, all Option Awards granted under this Plan shall be deemed Non-Qualified Stock Options.  In the event that shareholder approval is not obtained within the 12 month period provided above, all Incentive Stock Option Awards previously granted under this Plan shall be deemed Non-Qualified Stock Options.</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681" w:name="hangingindent157"/>
      <w:bookmarkStart w:id="682" w:name="hangingindent157"/>
      <w:bookmarkEnd w:id="682"/>
    </w:p>
    <w:tbl>
      <w:tblPr>
        <w:tblW w:w="5000" w:type="pct"/>
        <w:jc w:val="center"/>
        <w:tblInd w:w="0" w:type="dxa"/>
        <w:tblCellMar>
          <w:top w:w="0" w:type="dxa"/>
          <w:left w:w="0" w:type="dxa"/>
          <w:bottom w:w="0" w:type="dxa"/>
          <w:right w:w="0" w:type="dxa"/>
        </w:tblCellMar>
      </w:tblPr>
      <w:tblGrid>
        <w:gridCol w:w="384"/>
        <w:gridCol w:w="9821"/>
      </w:tblGrid>
      <w:tr>
        <w:trPr/>
        <w:tc>
          <w:tcPr>
            <w:tcW w:w="384"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28.</w:t>
            </w:r>
          </w:p>
        </w:tc>
        <w:tc>
          <w:tcPr>
            <w:tcW w:w="9821" w:type="dxa"/>
            <w:tcBorders/>
            <w:shd w:fill="auto" w:val="clear"/>
          </w:tcPr>
          <w:p>
            <w:pPr>
              <w:pStyle w:val="TableContents"/>
              <w:spacing w:before="0" w:after="0"/>
              <w:jc w:val="both"/>
              <w:rPr>
                <w:rFonts w:ascii="Times New Roman" w:hAnsi="Times New Roman"/>
                <w:b/>
                <w:sz w:val="20"/>
                <w:u w:val="single"/>
              </w:rPr>
            </w:pPr>
            <w:r>
              <w:rPr>
                <w:rFonts w:ascii="Times New Roman" w:hAnsi="Times New Roman"/>
                <w:b/>
                <w:sz w:val="20"/>
                <w:u w:val="single"/>
              </w:rPr>
              <w:t>AMENDMENT, SUSPENSION OR TERMINATION OF THIS PLAN OR AWARDS</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bookmarkStart w:id="683" w:name="TAB170"/>
      <w:bookmarkEnd w:id="683"/>
      <w:r>
        <w:rPr>
          <w:rFonts w:ascii="Times New Roman" w:hAnsi="Times New Roman"/>
          <w:sz w:val="20"/>
        </w:rPr>
        <w:t>The Board may amend, suspend or terminate this Plan at any time and for any reason.  To the extent necessary to comply with Applicable Laws, the Company shall obtain shareholder approval of any Plan amendment in such a manner and to such a degree as required.  Shareholder approval shall be required for the following types of amendments to this Plan: (i) any change to those persons who are entitled to become participants under the Plan which would have the potential of broadening or increasing Insider participation; or (ii) the addition of any form of financial assistance or amendment to a financial assistance provision which is more favourable to Grantees.</w:t>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bookmarkStart w:id="684" w:name="TAB171"/>
      <w:bookmarkEnd w:id="684"/>
      <w:r>
        <w:rPr>
          <w:rFonts w:ascii="Times New Roman" w:hAnsi="Times New Roman"/>
          <w:sz w:val="20"/>
        </w:rPr>
        <w:t>Further, the Board may, in its discretion, determine that any amendment should be effective only if approved by the shareholders even if such approval is not expressly required by this Plan or by law.  No Award may be granted during any suspension of this Plan or after termination of this Plan.</w:t>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bookmarkStart w:id="685" w:name="TAB172"/>
      <w:bookmarkEnd w:id="685"/>
      <w:r>
        <w:rPr>
          <w:rFonts w:ascii="Times New Roman" w:hAnsi="Times New Roman"/>
          <w:sz w:val="20"/>
        </w:rPr>
        <w:t>Any amendment, suspension or termination of this Plan shall not affect Awards already granted, and such Awards shall remain in full force and effect as if this Plan had not been amended, suspended or terminated, unless mutually agreed otherwise between the Grantee and the Administrator, which agreement must be in writing and signed by the Grantee and the Company.  At any time and from time to time, the Administrator may amend, modify, or terminate any outstanding Award or Award Agreement without approval of the Grantee; provided, however, that subject to the applicable Award Agreement, no such amendment, modification or termination shall, without the Grantee’s consent, reduce or diminish the value of such Award determined as if the Award had been exercised, vested, cashed in or otherwise settled on the date of such amendment or termination.</w:t>
      </w:r>
    </w:p>
    <w:p>
      <w:pPr>
        <w:pStyle w:val="TextBody"/>
        <w:spacing w:before="0" w:after="0"/>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686" w:name="PGBRK32"/>
      <w:bookmarkStart w:id="687" w:name="PGBRK32"/>
      <w:bookmarkEnd w:id="6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688" w:name="FTR32"/>
      <w:bookmarkStart w:id="689" w:name="FTR32"/>
      <w:bookmarkEnd w:id="6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90" w:name="GLFTR32"/>
      <w:bookmarkEnd w:id="6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91" w:name="PN32"/>
      <w:bookmarkEnd w:id="691"/>
      <w:r>
        <w:rPr>
          <w:rFonts w:ascii="Times New Roman" w:hAnsi="Times New Roman"/>
          <w:sz w:val="20"/>
        </w:rPr>
        <w:t>B-23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692" w:name="HDR32"/>
      <w:bookmarkStart w:id="693" w:name="HDR32"/>
      <w:bookmarkEnd w:id="6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94" w:name="GLHDR32"/>
      <w:bookmarkEnd w:id="6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bookmarkStart w:id="695" w:name="TAB173"/>
      <w:bookmarkEnd w:id="695"/>
      <w:r>
        <w:rPr>
          <w:rFonts w:ascii="Times New Roman" w:hAnsi="Times New Roman"/>
          <w:sz w:val="20"/>
        </w:rPr>
        <w:t>Notwithstanding any provision herein to the contrary, the Administrator shall have broad authority to amend this Plan or any outstanding Award under this Plan without approval of the Grantee to the extent necessary or desirable: (i) to comply with, or take into account changes in, applicable tax laws, securities laws, accounting rules and other applicable laws, rules and regulations; or (ii) to ensure that an Award is not subject to interest and penalties under Section 409A of the Code or the excise tax imposed by Section 4999 of the Code.</w:t>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bookmarkStart w:id="696" w:name="TAB174"/>
      <w:bookmarkEnd w:id="696"/>
      <w:r>
        <w:rPr>
          <w:rFonts w:ascii="Times New Roman" w:hAnsi="Times New Roman"/>
          <w:sz w:val="20"/>
        </w:rPr>
        <w:t>Further, notwithstanding any provision herein to the contrary, and subject to Applicable Law, the Administrator may, in its absolute discretion, amend or modify this Plan: (i) to make amendments which are of a “housekeeping” or clerical nature; (ii) to change the vesting provisions of an Award granted hereunder, as applicable; (iii) to change the termination provision of an Award granted hereunder, as applicable, which does not entail an extension beyond the original expiry date of such Award; and (iv) the addition of a cashless exercise feature, payable in cash or securities, which provides for a full deduction of the number of underlying securities from the Maximum Number.</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697" w:name="hangingindent158"/>
      <w:bookmarkStart w:id="698" w:name="hangingindent158"/>
      <w:bookmarkEnd w:id="698"/>
    </w:p>
    <w:tbl>
      <w:tblPr>
        <w:tblW w:w="5000" w:type="pct"/>
        <w:jc w:val="center"/>
        <w:tblInd w:w="0" w:type="dxa"/>
        <w:tblCellMar>
          <w:top w:w="0" w:type="dxa"/>
          <w:left w:w="0" w:type="dxa"/>
          <w:bottom w:w="0" w:type="dxa"/>
          <w:right w:w="0" w:type="dxa"/>
        </w:tblCellMar>
      </w:tblPr>
      <w:tblGrid>
        <w:gridCol w:w="991"/>
        <w:gridCol w:w="9214"/>
      </w:tblGrid>
      <w:tr>
        <w:trPr/>
        <w:tc>
          <w:tcPr>
            <w:tcW w:w="991"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29.</w:t>
            </w:r>
          </w:p>
        </w:tc>
        <w:tc>
          <w:tcPr>
            <w:tcW w:w="9214" w:type="dxa"/>
            <w:tcBorders/>
            <w:shd w:fill="auto" w:val="clear"/>
          </w:tcPr>
          <w:p>
            <w:pPr>
              <w:pStyle w:val="TableContents"/>
              <w:spacing w:before="0" w:after="0"/>
              <w:jc w:val="both"/>
              <w:rPr>
                <w:rFonts w:ascii="Times New Roman" w:hAnsi="Times New Roman"/>
                <w:b/>
                <w:sz w:val="20"/>
                <w:u w:val="single"/>
              </w:rPr>
            </w:pPr>
            <w:r>
              <w:rPr>
                <w:rFonts w:ascii="Times New Roman" w:hAnsi="Times New Roman"/>
                <w:b/>
                <w:sz w:val="20"/>
                <w:u w:val="single"/>
              </w:rPr>
              <w:t>RESERVATION OF SHARES</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bookmarkStart w:id="699" w:name="TAB175"/>
      <w:bookmarkEnd w:id="699"/>
      <w:r>
        <w:rPr>
          <w:rFonts w:ascii="Times New Roman" w:hAnsi="Times New Roman"/>
          <w:sz w:val="20"/>
        </w:rPr>
        <w:t>The Company, during the term of this Plan, shall at all times reserve and keep available such number of Shares as shall be sufficient to satisfy the requirements of this Plan.</w:t>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bookmarkStart w:id="700" w:name="TAB176"/>
      <w:bookmarkEnd w:id="700"/>
      <w:r>
        <w:rPr>
          <w:rFonts w:ascii="Times New Roman" w:hAnsi="Times New Roman"/>
          <w:sz w:val="20"/>
        </w:rPr>
        <w:t>The Shares to be issued hereunder upon exercise of an Award may be either authorized but unissued; supplied to the Plan through acquisitions of Shares on the open market; Shares forfeited back to the Plan; Shares surrendered in payment of the exercise price of an Award; or Shares withheld for payment of applicable employment taxes and/or withholding obligations resulting from the exercise of an Award.</w:t>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bookmarkStart w:id="701" w:name="TAB177"/>
      <w:bookmarkEnd w:id="701"/>
      <w:r>
        <w:rPr>
          <w:rFonts w:ascii="Times New Roman" w:hAnsi="Times New Roman"/>
          <w:sz w:val="20"/>
        </w:rPr>
        <w:t>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702" w:name="hangingindent159"/>
      <w:bookmarkStart w:id="703" w:name="hangingindent159"/>
      <w:bookmarkEnd w:id="703"/>
    </w:p>
    <w:tbl>
      <w:tblPr>
        <w:tblW w:w="5000" w:type="pct"/>
        <w:jc w:val="center"/>
        <w:tblInd w:w="0" w:type="dxa"/>
        <w:tblCellMar>
          <w:top w:w="0" w:type="dxa"/>
          <w:left w:w="0" w:type="dxa"/>
          <w:bottom w:w="0" w:type="dxa"/>
          <w:right w:w="0" w:type="dxa"/>
        </w:tblCellMar>
      </w:tblPr>
      <w:tblGrid>
        <w:gridCol w:w="714"/>
        <w:gridCol w:w="9491"/>
      </w:tblGrid>
      <w:tr>
        <w:trPr/>
        <w:tc>
          <w:tcPr>
            <w:tcW w:w="714"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30.</w:t>
            </w:r>
          </w:p>
        </w:tc>
        <w:tc>
          <w:tcPr>
            <w:tcW w:w="9491" w:type="dxa"/>
            <w:tcBorders/>
            <w:shd w:fill="auto" w:val="clear"/>
          </w:tcPr>
          <w:p>
            <w:pPr>
              <w:pStyle w:val="TableContents"/>
              <w:spacing w:before="0" w:after="0"/>
              <w:jc w:val="both"/>
              <w:rPr>
                <w:rFonts w:ascii="Times New Roman" w:hAnsi="Times New Roman"/>
                <w:b/>
                <w:sz w:val="20"/>
                <w:u w:val="single"/>
              </w:rPr>
            </w:pPr>
            <w:r>
              <w:rPr>
                <w:rFonts w:ascii="Times New Roman" w:hAnsi="Times New Roman"/>
                <w:b/>
                <w:sz w:val="20"/>
                <w:u w:val="single"/>
              </w:rPr>
              <w:t>EXCHANGE AND BUYOUT OF AWARDS</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bookmarkStart w:id="704" w:name="TAB178"/>
      <w:bookmarkEnd w:id="704"/>
      <w:r>
        <w:rPr>
          <w:rFonts w:ascii="Times New Roman" w:hAnsi="Times New Roman"/>
          <w:sz w:val="20"/>
        </w:rPr>
        <w:t>The Administrator may, at any time or from time to time, authorize the Company, with the consent of the respective Grantees, to issue new Awards in exchange for the surrender and cancellation of any or all outstanding Awards.  The Administrator may at any time buy from a Grantee an Award previously granted with payment in cash, Shares (including Restricted Stock) or other consideration, based on such terms and conditions as the Administrator and the Grantee may agree.</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705" w:name="hangingindent160"/>
      <w:bookmarkStart w:id="706" w:name="hangingindent160"/>
      <w:bookmarkEnd w:id="706"/>
    </w:p>
    <w:tbl>
      <w:tblPr>
        <w:tblW w:w="5000" w:type="pct"/>
        <w:jc w:val="center"/>
        <w:tblInd w:w="0" w:type="dxa"/>
        <w:tblCellMar>
          <w:top w:w="0" w:type="dxa"/>
          <w:left w:w="0" w:type="dxa"/>
          <w:bottom w:w="0" w:type="dxa"/>
          <w:right w:w="0" w:type="dxa"/>
        </w:tblCellMar>
      </w:tblPr>
      <w:tblGrid>
        <w:gridCol w:w="851"/>
        <w:gridCol w:w="9354"/>
      </w:tblGrid>
      <w:tr>
        <w:trPr/>
        <w:tc>
          <w:tcPr>
            <w:tcW w:w="851"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31.</w:t>
            </w:r>
          </w:p>
        </w:tc>
        <w:tc>
          <w:tcPr>
            <w:tcW w:w="9354" w:type="dxa"/>
            <w:tcBorders/>
            <w:shd w:fill="auto" w:val="clear"/>
          </w:tcPr>
          <w:p>
            <w:pPr>
              <w:pStyle w:val="TableContents"/>
              <w:spacing w:before="0" w:after="0"/>
              <w:jc w:val="both"/>
              <w:rPr>
                <w:rFonts w:ascii="Times New Roman" w:hAnsi="Times New Roman"/>
                <w:b/>
                <w:sz w:val="20"/>
                <w:u w:val="single"/>
              </w:rPr>
            </w:pPr>
            <w:r>
              <w:rPr>
                <w:rFonts w:ascii="Times New Roman" w:hAnsi="Times New Roman"/>
                <w:b/>
                <w:sz w:val="20"/>
                <w:u w:val="single"/>
              </w:rPr>
              <w:t>APPLICABLE TRADING POLICY</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bookmarkStart w:id="707" w:name="TAB179"/>
      <w:bookmarkEnd w:id="707"/>
      <w:r>
        <w:rPr>
          <w:rFonts w:ascii="Times New Roman" w:hAnsi="Times New Roman"/>
          <w:sz w:val="20"/>
        </w:rPr>
        <w:t>The Administrator and each Eligible Participant will ensure that all actions taken and decisions made by the Administrator or an Eligible Participant, as the case may be, pursuant to this Plan comply with any Applicable Laws and policies of the Company relating to insider trading or “blackout” periods.</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708" w:name="hangingindent161"/>
      <w:bookmarkStart w:id="709" w:name="hangingindent161"/>
      <w:bookmarkEnd w:id="709"/>
    </w:p>
    <w:tbl>
      <w:tblPr>
        <w:tblW w:w="5000" w:type="pct"/>
        <w:jc w:val="center"/>
        <w:tblInd w:w="0" w:type="dxa"/>
        <w:tblCellMar>
          <w:top w:w="0" w:type="dxa"/>
          <w:left w:w="0" w:type="dxa"/>
          <w:bottom w:w="0" w:type="dxa"/>
          <w:right w:w="0" w:type="dxa"/>
        </w:tblCellMar>
      </w:tblPr>
      <w:tblGrid>
        <w:gridCol w:w="1399"/>
        <w:gridCol w:w="8806"/>
      </w:tblGrid>
      <w:tr>
        <w:trPr/>
        <w:tc>
          <w:tcPr>
            <w:tcW w:w="1399"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32.</w:t>
            </w:r>
          </w:p>
        </w:tc>
        <w:tc>
          <w:tcPr>
            <w:tcW w:w="8806" w:type="dxa"/>
            <w:tcBorders/>
            <w:shd w:fill="auto" w:val="clear"/>
          </w:tcPr>
          <w:p>
            <w:pPr>
              <w:pStyle w:val="TableContents"/>
              <w:spacing w:before="0" w:after="0"/>
              <w:jc w:val="both"/>
              <w:rPr>
                <w:rFonts w:ascii="Times New Roman" w:hAnsi="Times New Roman"/>
                <w:b/>
                <w:sz w:val="20"/>
                <w:u w:val="single"/>
              </w:rPr>
            </w:pPr>
            <w:r>
              <w:rPr>
                <w:rFonts w:ascii="Times New Roman" w:hAnsi="Times New Roman"/>
                <w:b/>
                <w:sz w:val="20"/>
                <w:u w:val="single"/>
              </w:rPr>
              <w:t>GOVERNING LAW</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bookmarkStart w:id="710" w:name="TAB180"/>
      <w:bookmarkEnd w:id="710"/>
      <w:r>
        <w:rPr>
          <w:rFonts w:ascii="Times New Roman" w:hAnsi="Times New Roman"/>
          <w:sz w:val="20"/>
        </w:rPr>
        <w:t>The Plan shall be governed by the laws of the State of Nevada; provided, however, that any Award Agreement may provide by its terms that it shall be governed by the laws of any other jurisdiction as may be deemed appropriate by the parties thereto.</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711" w:name="hangingindent162"/>
      <w:bookmarkStart w:id="712" w:name="hangingindent162"/>
      <w:bookmarkEnd w:id="712"/>
    </w:p>
    <w:tbl>
      <w:tblPr>
        <w:tblW w:w="5000" w:type="pct"/>
        <w:jc w:val="center"/>
        <w:tblInd w:w="0" w:type="dxa"/>
        <w:tblCellMar>
          <w:top w:w="0" w:type="dxa"/>
          <w:left w:w="0" w:type="dxa"/>
          <w:bottom w:w="0" w:type="dxa"/>
          <w:right w:w="0" w:type="dxa"/>
        </w:tblCellMar>
      </w:tblPr>
      <w:tblGrid>
        <w:gridCol w:w="1410"/>
        <w:gridCol w:w="8795"/>
      </w:tblGrid>
      <w:tr>
        <w:trPr/>
        <w:tc>
          <w:tcPr>
            <w:tcW w:w="1410"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33.</w:t>
            </w:r>
          </w:p>
        </w:tc>
        <w:tc>
          <w:tcPr>
            <w:tcW w:w="8795" w:type="dxa"/>
            <w:tcBorders/>
            <w:shd w:fill="auto" w:val="clear"/>
          </w:tcPr>
          <w:p>
            <w:pPr>
              <w:pStyle w:val="TableContents"/>
              <w:spacing w:before="0" w:after="0"/>
              <w:jc w:val="both"/>
              <w:rPr>
                <w:rFonts w:ascii="Times New Roman" w:hAnsi="Times New Roman"/>
                <w:b/>
                <w:sz w:val="20"/>
                <w:u w:val="single"/>
              </w:rPr>
            </w:pPr>
            <w:r>
              <w:rPr>
                <w:rFonts w:ascii="Times New Roman" w:hAnsi="Times New Roman"/>
                <w:b/>
                <w:sz w:val="20"/>
                <w:u w:val="single"/>
              </w:rPr>
              <w:t>MISCELLANEOUS</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bookmarkStart w:id="713" w:name="TAB181"/>
      <w:bookmarkEnd w:id="713"/>
      <w:r>
        <w:rPr>
          <w:rFonts w:ascii="Times New Roman" w:hAnsi="Times New Roman"/>
          <w:sz w:val="20"/>
        </w:rPr>
        <w:t xml:space="preserve">Except as specifically provided in a retirement or other benefit plan of the Company or a Related Entity, Awards shall not be deemed compensation for purposes of computing benefits or contributions under any retirement plan of the Company or a Related Entity, and shall not affect any benefits under any other benefit plan of any kind or any benefit plan subsequently instituted under which the availability or amount of benefits is related to level of compensation. The Plan is not a “Retirement Plan” or “Welfare Plan” under the </w:t>
      </w:r>
      <w:r>
        <w:rPr>
          <w:rFonts w:ascii="Times New Roman" w:hAnsi="Times New Roman"/>
          <w:i/>
          <w:sz w:val="20"/>
        </w:rPr>
        <w:t>Employee Retirement Income Security Act of 1974</w:t>
      </w:r>
      <w:r>
        <w:rPr>
          <w:rFonts w:ascii="Times New Roman" w:hAnsi="Times New Roman"/>
          <w:sz w:val="20"/>
        </w:rPr>
        <w:t>, as amended.</w:t>
      </w:r>
    </w:p>
    <w:p>
      <w:pPr>
        <w:pStyle w:val="TextBody"/>
        <w:spacing w:before="0" w:after="0"/>
        <w:ind w:left="0" w:right="0" w:hanging="0"/>
        <w:jc w:val="center"/>
        <w:rPr/>
      </w:pPr>
      <w:r>
        <w:rPr/>
        <w:t> </w:t>
      </w:r>
    </w:p>
    <w:p>
      <w:pPr>
        <w:pStyle w:val="TextBody"/>
        <w:spacing w:before="0" w:after="0"/>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714" w:name="PGBRK33"/>
      <w:bookmarkStart w:id="715" w:name="PGBRK33"/>
      <w:bookmarkEnd w:id="7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716" w:name="FTR33"/>
      <w:bookmarkStart w:id="717" w:name="FTR33"/>
      <w:bookmarkEnd w:id="7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18" w:name="GLFTR33"/>
      <w:bookmarkEnd w:id="7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19" w:name="PN33"/>
      <w:bookmarkEnd w:id="719"/>
      <w:r>
        <w:rPr>
          <w:rFonts w:ascii="Times New Roman" w:hAnsi="Times New Roman"/>
          <w:sz w:val="20"/>
        </w:rPr>
        <w:t>B-24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720" w:name="HDR33"/>
      <w:bookmarkStart w:id="721" w:name="HDR33"/>
      <w:bookmarkEnd w:id="7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22" w:name="GLHDR33"/>
      <w:bookmarkEnd w:id="7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p>
    <w:p>
      <w:pPr>
        <w:pStyle w:val="TextBody"/>
        <w:spacing w:before="0" w:after="0"/>
        <w:ind w:left="0" w:right="0" w:hanging="0"/>
        <w:jc w:val="left"/>
        <w:rPr/>
      </w:pPr>
      <w:r>
        <w:rPr/>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SUBPART A</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STOCK AND DEFERRED STOCK UNITS FOR ELIGIBLE DIRECTORS</w:t>
      </w:r>
    </w:p>
    <w:p>
      <w:pPr>
        <w:pStyle w:val="TextBody"/>
        <w:spacing w:before="0" w:after="0"/>
        <w:ind w:left="0" w:right="0" w:hanging="0"/>
        <w:jc w:val="both"/>
        <w:rPr/>
      </w:pPr>
      <w:r>
        <w:rPr/>
        <w:t> </w:t>
      </w:r>
    </w:p>
    <w:p>
      <w:pPr>
        <w:pStyle w:val="TextBody"/>
        <w:spacing w:before="0" w:after="0"/>
        <w:ind w:left="0" w:right="0" w:hanging="0"/>
        <w:jc w:val="left"/>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                      </w:t>
      </w:r>
      <w:r>
        <w:rPr>
          <w:rFonts w:ascii="Times New Roman" w:hAnsi="Times New Roman"/>
          <w:sz w:val="20"/>
          <w:u w:val="single"/>
        </w:rPr>
        <w:t>Stock Award</w:t>
      </w:r>
      <w:r>
        <w:rPr>
          <w:rFonts w:ascii="Times New Roman" w:hAnsi="Times New Roman"/>
          <w:sz w:val="20"/>
        </w:rPr>
        <w:t>.  The Administrator shall pay Eligible Remuneration to each Director pursuant to an Award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B.                      </w:t>
      </w:r>
      <w:r>
        <w:rPr>
          <w:rFonts w:ascii="Times New Roman" w:hAnsi="Times New Roman"/>
          <w:sz w:val="20"/>
          <w:u w:val="single"/>
        </w:rPr>
        <w:t>Election</w:t>
      </w:r>
      <w:r>
        <w:rPr>
          <w:rFonts w:ascii="Times New Roman" w:hAnsi="Times New Roman"/>
          <w:sz w:val="20"/>
        </w:rPr>
        <w:t>.  Further, the Administrator may, in its sole discretion, permit each Eligible Director to receive all or any portion of his Eligible Remuneration during the Remuneration Period in the form of Deferred Stock Units under this Plan (an “</w:t>
      </w:r>
      <w:r>
        <w:rPr>
          <w:rFonts w:ascii="Times New Roman" w:hAnsi="Times New Roman"/>
          <w:b/>
          <w:sz w:val="20"/>
        </w:rPr>
        <w:t>Election</w:t>
      </w:r>
      <w:r>
        <w:rPr>
          <w:rFonts w:ascii="Times New Roman" w:hAnsi="Times New Roman"/>
          <w:sz w:val="20"/>
        </w:rPr>
        <w:t>”).  All deferrals pursuant to such an Election shall be evidenced by an Award Agreement.</w:t>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bookmarkStart w:id="723" w:name="TAB182"/>
      <w:bookmarkEnd w:id="723"/>
      <w:r>
        <w:rPr>
          <w:rFonts w:ascii="Times New Roman" w:hAnsi="Times New Roman"/>
          <w:sz w:val="20"/>
        </w:rPr>
        <w:t>For purposes of this Subpart A, the following definitions shall apply:</w:t>
      </w:r>
    </w:p>
    <w:p>
      <w:pPr>
        <w:pStyle w:val="TextBody"/>
        <w:spacing w:before="0" w:after="0"/>
        <w:ind w:left="0" w:right="0" w:hanging="0"/>
        <w:jc w:val="both"/>
        <w:rPr/>
      </w:pPr>
      <w:r>
        <w:rPr/>
        <w:t> </w:t>
      </w:r>
    </w:p>
    <w:p>
      <w:pPr>
        <w:pStyle w:val="TextBody"/>
        <w:spacing w:before="0" w:after="0"/>
        <w:ind w:left="0" w:right="0" w:hanging="0"/>
        <w:jc w:val="both"/>
        <w:rPr/>
      </w:pPr>
      <w:r>
        <w:rPr/>
        <w:t>“</w:t>
      </w:r>
      <w:r>
        <w:rPr>
          <w:rFonts w:ascii="Times New Roman" w:hAnsi="Times New Roman"/>
          <w:b/>
          <w:sz w:val="20"/>
        </w:rPr>
        <w:t>Annual Retainer</w:t>
      </w:r>
      <w:r>
        <w:rPr>
          <w:rFonts w:ascii="Times New Roman" w:hAnsi="Times New Roman"/>
          <w:sz w:val="20"/>
        </w:rPr>
        <w:t>” for a particular Director means the retainer (including any additional amounts payable for serving as lead Director or on any committee of the Board), payable to that Director for serving as a Director for the relevant Remuneration Period, as determined by the Board;</w:t>
      </w:r>
    </w:p>
    <w:p>
      <w:pPr>
        <w:pStyle w:val="TextBody"/>
        <w:spacing w:before="0" w:after="0"/>
        <w:ind w:left="0" w:right="0" w:hanging="0"/>
        <w:jc w:val="both"/>
        <w:rPr/>
      </w:pPr>
      <w:r>
        <w:rPr/>
        <w:t> </w:t>
      </w:r>
    </w:p>
    <w:p>
      <w:pPr>
        <w:pStyle w:val="TextBody"/>
        <w:spacing w:before="0" w:after="0"/>
        <w:ind w:left="0" w:right="0" w:hanging="0"/>
        <w:jc w:val="both"/>
        <w:rPr/>
      </w:pPr>
      <w:r>
        <w:rPr/>
        <w:t>“</w:t>
      </w:r>
      <w:r>
        <w:rPr>
          <w:rFonts w:ascii="Times New Roman" w:hAnsi="Times New Roman"/>
          <w:b/>
          <w:sz w:val="20"/>
        </w:rPr>
        <w:t>Attendance Fee</w:t>
      </w:r>
      <w:r>
        <w:rPr>
          <w:rFonts w:ascii="Times New Roman" w:hAnsi="Times New Roman"/>
          <w:sz w:val="20"/>
        </w:rPr>
        <w:t>” means amounts payable annually to a Director as a Board meeting attendance fee or a committee meeting attendance fee, or any portion thereof;</w:t>
      </w:r>
    </w:p>
    <w:p>
      <w:pPr>
        <w:pStyle w:val="TextBody"/>
        <w:spacing w:before="0" w:after="0"/>
        <w:ind w:left="0" w:right="0" w:hanging="0"/>
        <w:jc w:val="both"/>
        <w:rPr/>
      </w:pPr>
      <w:r>
        <w:rPr/>
        <w:t> </w:t>
      </w:r>
    </w:p>
    <w:p>
      <w:pPr>
        <w:pStyle w:val="TextBody"/>
        <w:spacing w:before="0" w:after="0"/>
        <w:ind w:left="0" w:right="0" w:hanging="0"/>
        <w:jc w:val="both"/>
        <w:rPr/>
      </w:pPr>
      <w:r>
        <w:rPr/>
        <w:t>“</w:t>
      </w:r>
      <w:r>
        <w:rPr>
          <w:rFonts w:ascii="Times New Roman" w:hAnsi="Times New Roman"/>
          <w:b/>
          <w:sz w:val="20"/>
        </w:rPr>
        <w:t>Canadian Director</w:t>
      </w:r>
      <w:r>
        <w:rPr>
          <w:rFonts w:ascii="Times New Roman" w:hAnsi="Times New Roman"/>
          <w:sz w:val="20"/>
        </w:rPr>
        <w:t>” means a Director who is a resident of Canada for the purposes of the Canadian Tax Act, and whose income from employment by the Company or Related Entity is subject to Canadian income tax, notwithstanding any provision of the Canada-United States Income Tax Convention (1980), as amended;</w:t>
      </w:r>
    </w:p>
    <w:p>
      <w:pPr>
        <w:pStyle w:val="TextBody"/>
        <w:spacing w:before="0" w:after="0"/>
        <w:ind w:left="0" w:right="0" w:hanging="0"/>
        <w:jc w:val="both"/>
        <w:rPr/>
      </w:pPr>
      <w:r>
        <w:rPr/>
        <w:t> </w:t>
      </w:r>
    </w:p>
    <w:p>
      <w:pPr>
        <w:pStyle w:val="TextBody"/>
        <w:spacing w:before="0" w:after="0"/>
        <w:ind w:left="0" w:right="0" w:hanging="0"/>
        <w:jc w:val="both"/>
        <w:rPr/>
      </w:pPr>
      <w:r>
        <w:rPr/>
        <w:t>“</w:t>
      </w:r>
      <w:r>
        <w:rPr>
          <w:rFonts w:ascii="Times New Roman" w:hAnsi="Times New Roman"/>
          <w:b/>
          <w:sz w:val="20"/>
        </w:rPr>
        <w:t>Canadian Tax Act</w:t>
      </w:r>
      <w:r>
        <w:rPr>
          <w:rFonts w:ascii="Times New Roman" w:hAnsi="Times New Roman"/>
          <w:sz w:val="20"/>
        </w:rPr>
        <w:t>” and “</w:t>
      </w:r>
      <w:r>
        <w:rPr>
          <w:rFonts w:ascii="Times New Roman" w:hAnsi="Times New Roman"/>
          <w:b/>
          <w:sz w:val="20"/>
        </w:rPr>
        <w:t>Canadian Tax Regulations</w:t>
      </w:r>
      <w:r>
        <w:rPr>
          <w:rFonts w:ascii="Times New Roman" w:hAnsi="Times New Roman"/>
          <w:sz w:val="20"/>
        </w:rPr>
        <w:t xml:space="preserve">” means respectively the </w:t>
      </w:r>
      <w:r>
        <w:rPr>
          <w:rFonts w:ascii="Times New Roman" w:hAnsi="Times New Roman"/>
          <w:i/>
          <w:sz w:val="20"/>
        </w:rPr>
        <w:t>Income Tax Act</w:t>
      </w:r>
      <w:r>
        <w:rPr>
          <w:rFonts w:ascii="Times New Roman" w:hAnsi="Times New Roman"/>
          <w:sz w:val="20"/>
        </w:rPr>
        <w:t xml:space="preserve"> (Canada), as amended and the Income Tax Regulation promulgated thereunder, as amended;</w:t>
      </w:r>
    </w:p>
    <w:p>
      <w:pPr>
        <w:pStyle w:val="TextBody"/>
        <w:spacing w:before="0" w:after="0"/>
        <w:ind w:left="0" w:right="0" w:hanging="0"/>
        <w:jc w:val="both"/>
        <w:rPr/>
      </w:pPr>
      <w:r>
        <w:rPr/>
        <w:t> </w:t>
      </w:r>
    </w:p>
    <w:p>
      <w:pPr>
        <w:pStyle w:val="TextBody"/>
        <w:spacing w:before="0" w:after="0"/>
        <w:ind w:left="0" w:right="0" w:hanging="0"/>
        <w:jc w:val="both"/>
        <w:rPr/>
      </w:pPr>
      <w:r>
        <w:rPr/>
        <w:t>“</w:t>
      </w:r>
      <w:r>
        <w:rPr>
          <w:rFonts w:ascii="Times New Roman" w:hAnsi="Times New Roman"/>
          <w:b/>
          <w:sz w:val="20"/>
        </w:rPr>
        <w:t>Deferred Stock Unit</w:t>
      </w:r>
      <w:r>
        <w:rPr>
          <w:rFonts w:ascii="Times New Roman" w:hAnsi="Times New Roman"/>
          <w:sz w:val="20"/>
        </w:rPr>
        <w:t>” means a right granted by the Company to an Eligible Director to receive, on a deferred payment basis, Shares under this Plan;</w:t>
      </w:r>
    </w:p>
    <w:p>
      <w:pPr>
        <w:pStyle w:val="TextBody"/>
        <w:spacing w:before="0" w:after="0"/>
        <w:ind w:left="0" w:right="0" w:hanging="0"/>
        <w:jc w:val="both"/>
        <w:rPr/>
      </w:pPr>
      <w:r>
        <w:rPr/>
        <w:t> </w:t>
      </w:r>
    </w:p>
    <w:p>
      <w:pPr>
        <w:pStyle w:val="TextBody"/>
        <w:spacing w:before="0" w:after="0"/>
        <w:ind w:left="0" w:right="0" w:hanging="0"/>
        <w:jc w:val="both"/>
        <w:rPr/>
      </w:pPr>
      <w:r>
        <w:rPr/>
        <w:t>“</w:t>
      </w:r>
      <w:r>
        <w:rPr>
          <w:rFonts w:ascii="Times New Roman" w:hAnsi="Times New Roman"/>
          <w:b/>
          <w:sz w:val="20"/>
        </w:rPr>
        <w:t>Eligible Director</w:t>
      </w:r>
      <w:r>
        <w:rPr>
          <w:rFonts w:ascii="Times New Roman" w:hAnsi="Times New Roman"/>
          <w:sz w:val="20"/>
        </w:rPr>
        <w:t>” is any Director of this Company or Related Entity that the Administrator determines is eligible to elect to receive Deferred Stock Units under this Plan;</w:t>
      </w:r>
    </w:p>
    <w:p>
      <w:pPr>
        <w:pStyle w:val="TextBody"/>
        <w:spacing w:before="0" w:after="0"/>
        <w:ind w:left="0" w:right="0" w:hanging="0"/>
        <w:jc w:val="both"/>
        <w:rPr/>
      </w:pPr>
      <w:r>
        <w:rPr/>
        <w:t> </w:t>
      </w:r>
    </w:p>
    <w:p>
      <w:pPr>
        <w:pStyle w:val="TextBody"/>
        <w:spacing w:before="0" w:after="0"/>
        <w:ind w:left="0" w:right="0" w:hanging="0"/>
        <w:jc w:val="both"/>
        <w:rPr/>
      </w:pPr>
      <w:r>
        <w:rPr/>
        <w:t>“</w:t>
      </w:r>
      <w:r>
        <w:rPr>
          <w:rFonts w:ascii="Times New Roman" w:hAnsi="Times New Roman"/>
          <w:b/>
          <w:sz w:val="20"/>
        </w:rPr>
        <w:t>Eligible Remuneration</w:t>
      </w:r>
      <w:r>
        <w:rPr>
          <w:rFonts w:ascii="Times New Roman" w:hAnsi="Times New Roman"/>
          <w:sz w:val="20"/>
        </w:rPr>
        <w:t>” means all amounts payable to an Eligible Director in Shares, including all or part of amounts payable in satisfaction of the Annual Retainer, Attendance Fees or any other fees relating to service on the Board which are payable to an Eligible Director or in satisfaction of rights or property surrendered by an Eligible Director to the Company; it being understood that the amount of Eligible Remuneration payable to any Eligible Director may be calculated by the Administrator in a different manner than Eligible Remuneration payable to another Eligible Director in its sole and absolute discretion;</w:t>
      </w:r>
    </w:p>
    <w:p>
      <w:pPr>
        <w:pStyle w:val="TextBody"/>
        <w:spacing w:before="0" w:after="0"/>
        <w:ind w:left="0" w:right="0" w:hanging="0"/>
        <w:jc w:val="both"/>
        <w:rPr/>
      </w:pPr>
      <w:r>
        <w:rPr/>
        <w:t> </w:t>
      </w:r>
    </w:p>
    <w:p>
      <w:pPr>
        <w:pStyle w:val="TextBody"/>
        <w:spacing w:before="0" w:after="0"/>
        <w:ind w:left="0" w:right="0" w:hanging="0"/>
        <w:jc w:val="both"/>
        <w:rPr/>
      </w:pPr>
      <w:r>
        <w:rPr/>
        <w:t>“</w:t>
      </w:r>
      <w:r>
        <w:rPr>
          <w:rFonts w:ascii="Times New Roman" w:hAnsi="Times New Roman"/>
          <w:b/>
          <w:sz w:val="20"/>
        </w:rPr>
        <w:t>Prescribed Plan or Arrangement</w:t>
      </w:r>
      <w:r>
        <w:rPr>
          <w:rFonts w:ascii="Times New Roman" w:hAnsi="Times New Roman"/>
          <w:sz w:val="20"/>
        </w:rPr>
        <w:t>” means a prescribed plan or arrangement as defined in s.6801(d) of the Canadian Tax Regulation;</w:t>
      </w:r>
    </w:p>
    <w:p>
      <w:pPr>
        <w:pStyle w:val="TextBody"/>
        <w:spacing w:before="0" w:after="0"/>
        <w:ind w:left="0" w:right="0" w:hanging="0"/>
        <w:jc w:val="both"/>
        <w:rPr/>
      </w:pPr>
      <w:r>
        <w:rPr/>
        <w:t> </w:t>
      </w:r>
    </w:p>
    <w:p>
      <w:pPr>
        <w:pStyle w:val="TextBody"/>
        <w:spacing w:before="0" w:after="0"/>
        <w:ind w:left="0" w:right="0" w:hanging="0"/>
        <w:jc w:val="both"/>
        <w:rPr/>
      </w:pPr>
      <w:r>
        <w:rPr/>
        <w:t>“</w:t>
      </w:r>
      <w:r>
        <w:rPr>
          <w:rFonts w:ascii="Times New Roman" w:hAnsi="Times New Roman"/>
          <w:b/>
          <w:sz w:val="20"/>
        </w:rPr>
        <w:t>Remuneration Period</w:t>
      </w:r>
      <w:r>
        <w:rPr>
          <w:rFonts w:ascii="Times New Roman" w:hAnsi="Times New Roman"/>
          <w:sz w:val="20"/>
        </w:rPr>
        <w:t>” means, as applicable, (a) the period commencing on the Effective Date of this Plan and ending on the last day of the calendar year in which the Effective Date occurs; and (b) thereafter each subsequent calendar year, or where the context requires, any portion of such period; and</w:t>
      </w:r>
    </w:p>
    <w:p>
      <w:pPr>
        <w:pStyle w:val="TextBody"/>
        <w:spacing w:before="0" w:after="0"/>
        <w:ind w:left="0" w:right="0" w:hanging="0"/>
        <w:jc w:val="both"/>
        <w:rPr/>
      </w:pPr>
      <w:r>
        <w:rPr/>
        <w:t> </w:t>
      </w:r>
    </w:p>
    <w:p>
      <w:pPr>
        <w:pStyle w:val="TextBody"/>
        <w:spacing w:before="0" w:after="0"/>
        <w:ind w:left="0" w:right="0" w:hanging="0"/>
        <w:jc w:val="both"/>
        <w:rPr/>
      </w:pPr>
      <w:r>
        <w:rPr/>
        <w:t>“</w:t>
      </w:r>
      <w:r>
        <w:rPr>
          <w:rFonts w:ascii="Times New Roman" w:hAnsi="Times New Roman"/>
          <w:b/>
          <w:sz w:val="20"/>
        </w:rPr>
        <w:t>Salary Deferral Arrangement</w:t>
      </w:r>
      <w:r>
        <w:rPr>
          <w:rFonts w:ascii="Times New Roman" w:hAnsi="Times New Roman"/>
          <w:sz w:val="20"/>
        </w:rPr>
        <w:t>” means a salary deferral arrangement as defined in the Canadian Tax Act.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1.                      </w:t>
      </w:r>
      <w:r>
        <w:rPr>
          <w:rFonts w:ascii="Times New Roman" w:hAnsi="Times New Roman"/>
          <w:sz w:val="20"/>
          <w:u w:val="single"/>
        </w:rPr>
        <w:t>Election</w:t>
      </w:r>
      <w:r>
        <w:rPr>
          <w:rFonts w:ascii="Times New Roman" w:hAnsi="Times New Roman"/>
          <w:sz w:val="20"/>
        </w:rPr>
        <w:t>.  An Eligible Director who desires to defer receipt of all or a portion of his or her Eligible Remuneration in any calendar year shall make such election in writing to the Company specifying:</w:t>
      </w:r>
    </w:p>
    <w:p>
      <w:pPr>
        <w:pStyle w:val="TextBody"/>
        <w:spacing w:before="0" w:after="0"/>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724" w:name="PGBRK34"/>
      <w:bookmarkStart w:id="725" w:name="PGBRK34"/>
      <w:bookmarkEnd w:id="7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726" w:name="FTR34"/>
      <w:bookmarkStart w:id="727" w:name="FTR34"/>
      <w:bookmarkEnd w:id="7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28" w:name="GLFTR34"/>
      <w:bookmarkEnd w:id="7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29" w:name="PN34"/>
      <w:bookmarkEnd w:id="729"/>
      <w:r>
        <w:rPr>
          <w:rFonts w:ascii="Times New Roman" w:hAnsi="Times New Roman"/>
          <w:sz w:val="20"/>
        </w:rPr>
        <w:t>B-25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730" w:name="HDR34"/>
      <w:bookmarkStart w:id="731" w:name="HDR34"/>
      <w:bookmarkEnd w:id="7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32" w:name="GLHDR34"/>
      <w:bookmarkEnd w:id="7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           the dollar amount or percentage of Eligible Remuneration to be deferred; and</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r>
        <w:rPr>
          <w:rFonts w:ascii="Times New Roman" w:hAnsi="Times New Roman"/>
          <w:sz w:val="20"/>
        </w:rPr>
        <w:t>(b)           the deferral period.</w:t>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bookmarkStart w:id="733" w:name="TAB183"/>
      <w:bookmarkEnd w:id="733"/>
      <w:r>
        <w:rPr>
          <w:rFonts w:ascii="Times New Roman" w:hAnsi="Times New Roman"/>
          <w:sz w:val="20"/>
        </w:rPr>
        <w:t>Otherwise, such election must be made before the first day of the calendar year in which the Eligible Remuneration shall be payable, however a newly appointed Eligible Director shall be eligible to defer payment of future Eligible Remuneration by providing written election to the Company within 30 calendar days of his or her appointment to the Board of Directors.  The elections made pursuant to this Section shall be irrevocable with respect to Eligible Remuneration to which such elections pertain and shall also apply to subsequent Eligible Remuneration payable in future calendar years unless such Eligible Director notifies the Company in writing, before the first day of the applicable calendar year, that he or she desires to change such election.</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bookmarkStart w:id="734" w:name="TAB184"/>
      <w:bookmarkEnd w:id="734"/>
      <w:r>
        <w:rPr>
          <w:rFonts w:ascii="Times New Roman" w:hAnsi="Times New Roman"/>
          <w:sz w:val="20"/>
        </w:rPr>
        <w:t>If the Eligible Director does not timely deliver an election in respect of a particular Remuneration Period, the Eligible Director will receive the Eligible Remuneration as provided for in the Award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2.                      </w:t>
      </w:r>
      <w:r>
        <w:rPr>
          <w:rFonts w:ascii="Times New Roman" w:hAnsi="Times New Roman"/>
          <w:sz w:val="20"/>
          <w:u w:val="single"/>
        </w:rPr>
        <w:t>Determination Of Deferred Stock Units</w:t>
      </w:r>
      <w:r>
        <w:rPr>
          <w:rFonts w:ascii="Times New Roman" w:hAnsi="Times New Roman"/>
          <w:sz w:val="20"/>
        </w:rPr>
        <w:t>.  The Company will maintain a separate account for each Eligible Director to which it will quarterly credit Deferred Stock Units at the end of March, June, September and December, or as otherwise determined by the Administrator, the Deferred Stock Units granted to the Eligible Director for the relevant Remuneration Period.  The number of Deferred Stock Units (including fractional Deferred Stock Units, computed to three digits) to be credited to an account for an Eligible Director will be determined on the date approved by the Administrator by dividing the appropriate amount of Eligible Remuneration to be deferred into Deferred Stock Units by the Fair Market Value on that date.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3.                      </w:t>
      </w:r>
      <w:r>
        <w:rPr>
          <w:rFonts w:ascii="Times New Roman" w:hAnsi="Times New Roman"/>
          <w:sz w:val="20"/>
          <w:u w:val="single"/>
        </w:rPr>
        <w:t>No Voting Rights</w:t>
      </w:r>
      <w:r>
        <w:rPr>
          <w:rFonts w:ascii="Times New Roman" w:hAnsi="Times New Roman"/>
          <w:sz w:val="20"/>
        </w:rPr>
        <w:t>.  The holders of Deferred Stock Units shall have no rights as stockholders of the Company.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4.                      </w:t>
      </w:r>
      <w:r>
        <w:rPr>
          <w:rFonts w:ascii="Times New Roman" w:hAnsi="Times New Roman"/>
          <w:sz w:val="20"/>
          <w:u w:val="single"/>
        </w:rPr>
        <w:t>Dividend Equivalency</w:t>
      </w:r>
      <w:r>
        <w:rPr>
          <w:rFonts w:ascii="Times New Roman" w:hAnsi="Times New Roman"/>
          <w:sz w:val="20"/>
        </w:rPr>
        <w:t>.  The Company will, on any date on which a cash or stock dividend is paid on its outstanding Shares, credit to each Eligible Director’s account that number of additional Deferred Stock Units (including fractional Deferred Stock Units, computed to three digits) calculated by (i) multiplying the amount of the dividend per Share by the number of Deferred Stock Units in the account as of the record date for payment of the dividend, and (ii) dividing the amount obtained in (i) by the Fair Market Value on the date on which the dividend is paid.  (See Section 13 of the Plan, Dividend Equivalent Right).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5.                      </w:t>
      </w:r>
      <w:r>
        <w:rPr>
          <w:rFonts w:ascii="Times New Roman" w:hAnsi="Times New Roman"/>
          <w:sz w:val="20"/>
          <w:u w:val="single"/>
        </w:rPr>
        <w:t>Eligible Director’s Account</w:t>
      </w:r>
      <w:r>
        <w:rPr>
          <w:rFonts w:ascii="Times New Roman" w:hAnsi="Times New Roman"/>
          <w:sz w:val="20"/>
        </w:rPr>
        <w:t>.  A written confirmation of the balance in each Eligible Directors’ Account will be sent by the Company to the Eligible Director upon request of the Eligible Director.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6.                      </w:t>
      </w:r>
      <w:r>
        <w:rPr>
          <w:rFonts w:ascii="Times New Roman" w:hAnsi="Times New Roman"/>
          <w:sz w:val="20"/>
          <w:u w:val="single"/>
        </w:rPr>
        <w:t>Creditor’s Rights</w:t>
      </w:r>
      <w:r>
        <w:rPr>
          <w:rFonts w:ascii="Times New Roman" w:hAnsi="Times New Roman"/>
          <w:sz w:val="20"/>
        </w:rPr>
        <w:t>.  A holder of Deferred Stock Units shall have no rights other than those of a general creditor of the Company.  Deferred Stock Units represent an unfunded and unsecured obligation of the Company, subject to the terms and condition of the applicable Award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7.                      </w:t>
      </w:r>
      <w:r>
        <w:rPr>
          <w:rFonts w:ascii="Times New Roman" w:hAnsi="Times New Roman"/>
          <w:sz w:val="20"/>
          <w:u w:val="single"/>
        </w:rPr>
        <w:t>Settlement of Deferred Stock Units</w:t>
      </w:r>
      <w:r>
        <w:rPr>
          <w:rFonts w:ascii="Times New Roman" w:hAnsi="Times New Roman"/>
          <w:sz w:val="20"/>
        </w:rPr>
        <w:t>.  Subject to Section 8, each Deferred Stock Unit shall be paid and settled by the issuance of Restricted or unrestricted Shares in accordance with the Award Agreement and if such settlement is subject to Section 409A of the Code only upon any one or more of the following as provided for in the Award Agreement:</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735" w:name="hangingindent163"/>
      <w:bookmarkStart w:id="736" w:name="hangingindent163"/>
      <w:bookmarkEnd w:id="736"/>
    </w:p>
    <w:tbl>
      <w:tblPr>
        <w:tblW w:w="5000" w:type="pct"/>
        <w:jc w:val="center"/>
        <w:tblInd w:w="0" w:type="dxa"/>
        <w:tblCellMar>
          <w:top w:w="0" w:type="dxa"/>
          <w:left w:w="0" w:type="dxa"/>
          <w:bottom w:w="0" w:type="dxa"/>
          <w:right w:w="0" w:type="dxa"/>
        </w:tblCellMar>
      </w:tblPr>
      <w:tblGrid>
        <w:gridCol w:w="249"/>
        <w:gridCol w:w="477"/>
        <w:gridCol w:w="9479"/>
      </w:tblGrid>
      <w:tr>
        <w:trPr/>
        <w:tc>
          <w:tcPr>
            <w:tcW w:w="249" w:type="dxa"/>
            <w:tcBorders/>
            <w:shd w:fill="auto" w:val="clear"/>
          </w:tcPr>
          <w:p>
            <w:pPr>
              <w:pStyle w:val="TableContents"/>
              <w:spacing w:before="0" w:after="0"/>
              <w:rPr/>
            </w:pPr>
            <w:r>
              <w:rPr/>
              <w:t xml:space="preserve">  </w:t>
            </w:r>
          </w:p>
        </w:tc>
        <w:tc>
          <w:tcPr>
            <w:tcW w:w="47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47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 specific date or date determinable by a fixed schedule;</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737" w:name="hangingindent164"/>
      <w:bookmarkStart w:id="738" w:name="hangingindent164"/>
      <w:bookmarkEnd w:id="738"/>
    </w:p>
    <w:tbl>
      <w:tblPr>
        <w:tblW w:w="5000" w:type="pct"/>
        <w:jc w:val="center"/>
        <w:tblInd w:w="0" w:type="dxa"/>
        <w:tblCellMar>
          <w:top w:w="0" w:type="dxa"/>
          <w:left w:w="0" w:type="dxa"/>
          <w:bottom w:w="0" w:type="dxa"/>
          <w:right w:w="0" w:type="dxa"/>
        </w:tblCellMar>
      </w:tblPr>
      <w:tblGrid>
        <w:gridCol w:w="77"/>
        <w:gridCol w:w="203"/>
        <w:gridCol w:w="9925"/>
      </w:tblGrid>
      <w:tr>
        <w:trPr/>
        <w:tc>
          <w:tcPr>
            <w:tcW w:w="77" w:type="dxa"/>
            <w:tcBorders/>
            <w:shd w:fill="auto" w:val="clear"/>
          </w:tcPr>
          <w:p>
            <w:pPr>
              <w:pStyle w:val="TableContents"/>
              <w:spacing w:before="0" w:after="0"/>
              <w:rPr/>
            </w:pPr>
            <w:r>
              <w:rPr/>
              <w:t xml:space="preserve">  </w:t>
            </w:r>
          </w:p>
        </w:tc>
        <w:tc>
          <w:tcPr>
            <w:tcW w:w="20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2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upon the Eligible Director’s termination of Continuous Services to the extent the same constitutes a separation from services for the purposes of Section 409A of the Code except that if an Eligible Director is a “key employee” as defined in Section 409A of the Code for such purposes, then payment or settlement shall occur 6 months following such separation of service;</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739" w:name="hangingindent165"/>
      <w:bookmarkStart w:id="740" w:name="hangingindent165"/>
      <w:bookmarkEnd w:id="740"/>
    </w:p>
    <w:tbl>
      <w:tblPr>
        <w:tblW w:w="5000" w:type="pct"/>
        <w:jc w:val="center"/>
        <w:tblInd w:w="0" w:type="dxa"/>
        <w:tblCellMar>
          <w:top w:w="0" w:type="dxa"/>
          <w:left w:w="0" w:type="dxa"/>
          <w:bottom w:w="0" w:type="dxa"/>
          <w:right w:w="0" w:type="dxa"/>
        </w:tblCellMar>
      </w:tblPr>
      <w:tblGrid>
        <w:gridCol w:w="242"/>
        <w:gridCol w:w="465"/>
        <w:gridCol w:w="9498"/>
      </w:tblGrid>
      <w:tr>
        <w:trPr/>
        <w:tc>
          <w:tcPr>
            <w:tcW w:w="242" w:type="dxa"/>
            <w:tcBorders/>
            <w:shd w:fill="auto" w:val="clear"/>
          </w:tcPr>
          <w:p>
            <w:pPr>
              <w:pStyle w:val="TableContents"/>
              <w:spacing w:before="0" w:after="0"/>
              <w:rPr/>
            </w:pPr>
            <w:r>
              <w:rPr/>
              <w:t xml:space="preserve">  </w:t>
            </w:r>
          </w:p>
        </w:tc>
        <w:tc>
          <w:tcPr>
            <w:tcW w:w="46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49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as a result of the Eligible Director’s death or Disability; or</w:t>
            </w:r>
          </w:p>
        </w:tc>
      </w:tr>
    </w:tbl>
    <w:p>
      <w:pPr>
        <w:pStyle w:val="TextBody"/>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jc w:val="left"/>
        <w:rPr/>
      </w:pPr>
      <w:r>
        <w:rPr/>
      </w:r>
      <w:bookmarkStart w:id="741" w:name="PGBRK35"/>
      <w:bookmarkStart w:id="742" w:name="PGBRK35"/>
      <w:bookmarkEnd w:id="7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r>
      <w:bookmarkStart w:id="743" w:name="FTR35"/>
      <w:bookmarkStart w:id="744" w:name="FTR35"/>
      <w:bookmarkEnd w:id="7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745" w:name="GLFTR35"/>
      <w:bookmarkEnd w:id="7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46" w:name="PN35"/>
      <w:bookmarkEnd w:id="746"/>
      <w:r>
        <w:rPr>
          <w:rFonts w:ascii="Times New Roman" w:hAnsi="Times New Roman"/>
          <w:sz w:val="20"/>
        </w:rPr>
        <w:t>B-26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r>
      <w:bookmarkStart w:id="747" w:name="HDR35"/>
      <w:bookmarkStart w:id="748" w:name="HDR35"/>
      <w:bookmarkEnd w:id="7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749" w:name="GLHDR35"/>
      <w:bookmarkEnd w:id="7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750" w:name="hangingindent166"/>
      <w:bookmarkStart w:id="751" w:name="hangingindent166"/>
      <w:bookmarkEnd w:id="751"/>
    </w:p>
    <w:tbl>
      <w:tblPr>
        <w:tblW w:w="5000" w:type="pct"/>
        <w:jc w:val="center"/>
        <w:tblInd w:w="0" w:type="dxa"/>
        <w:tblCellMar>
          <w:top w:w="0" w:type="dxa"/>
          <w:left w:w="0" w:type="dxa"/>
          <w:bottom w:w="0" w:type="dxa"/>
          <w:right w:w="0" w:type="dxa"/>
        </w:tblCellMar>
      </w:tblPr>
      <w:tblGrid>
        <w:gridCol w:w="152"/>
        <w:gridCol w:w="313"/>
        <w:gridCol w:w="9740"/>
      </w:tblGrid>
      <w:tr>
        <w:trPr/>
        <w:tc>
          <w:tcPr>
            <w:tcW w:w="152" w:type="dxa"/>
            <w:tcBorders/>
            <w:shd w:fill="auto" w:val="clear"/>
          </w:tcPr>
          <w:p>
            <w:pPr>
              <w:pStyle w:val="TableContents"/>
              <w:spacing w:before="0" w:after="0"/>
              <w:rPr/>
            </w:pPr>
            <w:r>
              <w:rPr/>
              <w:t xml:space="preserve">  </w:t>
            </w:r>
          </w:p>
        </w:tc>
        <w:tc>
          <w:tcPr>
            <w:tcW w:w="31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974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 connection with or as a result of a Change in Control in compliance with 409A of the Code.</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bookmarkStart w:id="752" w:name="TAB185"/>
      <w:bookmarkEnd w:id="752"/>
      <w:r>
        <w:rPr>
          <w:rFonts w:ascii="Times New Roman" w:hAnsi="Times New Roman"/>
          <w:sz w:val="20"/>
        </w:rPr>
        <w:t>The Company will issue one Share for each whole Deferred Stock Unit credited to the Eligible Director’s account (net of any applicable withholding tax as provided for in this Plan).  Such payment shall be made by the Company as soon as reasonably possible following the settlement date.  Fractional Shares shall not be issued, and where the Eligible Director would be entitled to receive a fractional Shares in respect of any fractional Deferred Stock Unit, the Company shall pay to such Eligible Director, in lieu of such fractional Shares, cash equal to the Fair Market Value of such fractional Shares calculated as of the day before such payment is made, net of any applicable withholding tax.</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8.                      </w:t>
      </w:r>
      <w:r>
        <w:rPr>
          <w:rFonts w:ascii="Times New Roman" w:hAnsi="Times New Roman"/>
          <w:sz w:val="20"/>
          <w:u w:val="single"/>
        </w:rPr>
        <w:t>Canadian Directors</w:t>
      </w:r>
      <w:r>
        <w:rPr>
          <w:rFonts w:ascii="Times New Roman" w:hAnsi="Times New Roman"/>
          <w:sz w:val="20"/>
        </w:rPr>
        <w:t>.  If a Deferred Stock Unit is granted to an Eligible Director who is a Canadian Director would otherwise constitute a Salary Deferred Arrangement, the Award Agreement pertaining to that Deferred Stock Unit shall contain such other or additional terms as will cause the Deferred Stock Unit to be a Prescribed Plan or Arrangement.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9.                      </w:t>
      </w:r>
      <w:r>
        <w:rPr>
          <w:rFonts w:ascii="Times New Roman" w:hAnsi="Times New Roman"/>
          <w:sz w:val="20"/>
          <w:u w:val="single"/>
        </w:rPr>
        <w:t>Issuance of Stock Certificates</w:t>
      </w:r>
      <w:r>
        <w:rPr>
          <w:rFonts w:ascii="Times New Roman" w:hAnsi="Times New Roman"/>
          <w:sz w:val="20"/>
        </w:rPr>
        <w:t>.  A stock certificate or certificates shall be registered and issued in the name of the holder of Deferred Stock Units and delivered to such holder as soon as practicable after such Deferred Stock Units have become payable or satisfied in accordance with the terms of the Plan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10.                      </w:t>
      </w:r>
      <w:r>
        <w:rPr>
          <w:rFonts w:ascii="Times New Roman" w:hAnsi="Times New Roman"/>
          <w:sz w:val="20"/>
          <w:u w:val="single"/>
        </w:rPr>
        <w:t>Non-Exclusivity</w:t>
      </w:r>
      <w:r>
        <w:rPr>
          <w:rFonts w:ascii="Times New Roman" w:hAnsi="Times New Roman"/>
          <w:sz w:val="20"/>
        </w:rPr>
        <w:t>.  Nothing in this Subpart A shall prohibit the Administrator from making discretionary Awards to Eligible Directors pursuant to the other provisions of this Plan or outside this Plan, not otherwise inconsistent with these provisions.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11.                      </w:t>
      </w:r>
      <w:r>
        <w:rPr>
          <w:rFonts w:ascii="Times New Roman" w:hAnsi="Times New Roman"/>
          <w:sz w:val="20"/>
          <w:u w:val="single"/>
        </w:rPr>
        <w:t>Defined Terms</w:t>
      </w:r>
      <w:r>
        <w:rPr>
          <w:rFonts w:ascii="Times New Roman" w:hAnsi="Times New Roman"/>
          <w:sz w:val="20"/>
        </w:rPr>
        <w:t>.  Capitalized terms used in this Subpart A and not defined herein have the meaning give in the Plan.</w:t>
      </w:r>
    </w:p>
    <w:p>
      <w:pPr>
        <w:pStyle w:val="TextBody"/>
        <w:spacing w:before="0" w:after="0"/>
        <w:ind w:left="0" w:right="0" w:hanging="0"/>
        <w:jc w:val="center"/>
        <w:rPr/>
      </w:pPr>
      <w:r>
        <w:rPr/>
        <w:br/>
        <w:t>B-26</w:t>
      </w:r>
    </w:p>
    <w:p>
      <w:pPr>
        <w:pStyle w:val="HorizontalLine"/>
        <w:pBdr>
          <w:bottom w:val="single" w:sz="6" w:space="0" w:color="808080"/>
        </w:pBdr>
        <w:rPr/>
      </w:pPr>
      <w:r>
        <w:rPr/>
      </w:r>
    </w:p>
    <w:p>
      <w:pPr>
        <w:pStyle w:val="HorizontalLine"/>
        <w:pBdr>
          <w:bottom w:val="single" w:sz="24" w:space="0" w:color="808080"/>
        </w:pBdr>
        <w:rPr/>
      </w:pPr>
      <w:r>
        <w:rPr/>
      </w:r>
    </w:p>
    <w:p>
      <w:pPr>
        <w:pStyle w:val="TextBody"/>
        <w:spacing w:before="0" w:after="0"/>
        <w:ind w:left="0" w:right="0" w:hanging="0"/>
        <w:rPr/>
      </w:pPr>
      <w:r>
        <w:rPr/>
        <w:t>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20614</Words>
  <CharactersWithSpaces>128569</CharactersWithSpaces>
  <Paragraphs>1543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