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12,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May 12, 2021, Marker Therapeutics, Inc. (the “Company”) reported financial results for the quarter ended March 31, 2021 and other recent corporate updates. A copy of the press release is furnished as Exhibit 99.1 to this report and incorporated by reference.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391"/>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20" w:type="dxa"/>
            <w:vAlign w:val="bottom"/>
          </w:tcPr>
          <w:p>
            <w:pPr>
              <w:spacing w:after="0"/>
              <w:rPr>
                <w:sz w:val="17"/>
                <w:szCs w:val="17"/>
                <w:color w:val="auto"/>
              </w:rPr>
            </w:pPr>
          </w:p>
        </w:tc>
        <w:tc>
          <w:tcPr>
            <w:tcW w:w="994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on May 12,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Dated: May 12, 2021</w:t>
            </w:r>
          </w:p>
        </w:tc>
        <w:tc>
          <w:tcPr>
            <w:tcW w:w="6980" w:type="dxa"/>
            <w:vAlign w:val="bottom"/>
            <w:gridSpan w:val="2"/>
          </w:tcPr>
          <w:p>
            <w:pPr>
              <w:ind w:left="2720"/>
              <w:spacing w:after="0"/>
              <w:rPr>
                <w:sz w:val="20"/>
                <w:szCs w:val="20"/>
                <w:color w:val="auto"/>
              </w:rPr>
            </w:pPr>
            <w:r>
              <w:rPr>
                <w:rFonts w:ascii="Arial" w:cs="Arial" w:eastAsia="Arial" w:hAnsi="Arial"/>
                <w:sz w:val="18"/>
                <w:szCs w:val="18"/>
                <w:color w:val="auto"/>
              </w:rPr>
              <w:t>By: /s/ Anthony Kim</w:t>
            </w:r>
          </w:p>
        </w:tc>
      </w:tr>
      <w:tr>
        <w:trPr>
          <w:trHeight w:val="195"/>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48"/>
        </w:trPr>
        <w:tc>
          <w:tcPr>
            <w:tcW w:w="4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69735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First Quarter 2021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Marker continues to advance Phase 2 AML trial, recently dosing first patient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closed financing extending cash runway into Q1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and webcast today at 5:00 p.m. ET</w:t>
      </w:r>
    </w:p>
    <w:p>
      <w:pPr>
        <w:spacing w:after="0" w:line="221"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Houston, TX—May 12, 2021—</w:t>
      </w:r>
      <w:r>
        <w:rPr>
          <w:rFonts w:ascii="Arial" w:cs="Arial" w:eastAsia="Arial" w:hAnsi="Arial"/>
          <w:sz w:val="18"/>
          <w:szCs w:val="18"/>
          <w:color w:val="auto"/>
        </w:rPr>
        <w:t>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provided a corporate update and reported financial results for the first quarter ended March 31, 2021.</w:t>
      </w:r>
    </w:p>
    <w:p>
      <w:pPr>
        <w:spacing w:after="0" w:line="18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had a productive first quarter supported by our recently completed financing, strengthening our overall cash position and enabling continued growth and expansion of our Multi-TAA pipeline,” Peter L. Hoang, President &amp; CEO of Marker Therapeutics. “In addition, we continue to make strong progress on both the clinical and manufacturing fronts. In March, we dosed the first patient in the safety lead-in portion of our Phase 2 trial in post-transplant acute myeloid leukemia, or AML, and continue to activate clinical sites. In parallel, we continue to optimize the MT-401 cell therapy manufacturing process, which we believe could result in an increase in the number of T cells available for patient administration—among other benefits—as we prepare to operationalize our new in-house cGMP facility in the first half of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UPDATES</w:t>
      </w:r>
    </w:p>
    <w:p>
      <w:pPr>
        <w:spacing w:after="0" w:line="229" w:lineRule="exact"/>
        <w:rPr>
          <w:sz w:val="20"/>
          <w:szCs w:val="20"/>
          <w:color w:val="auto"/>
        </w:rPr>
      </w:pPr>
    </w:p>
    <w:p>
      <w:pPr>
        <w:jc w:val="both"/>
        <w:ind w:left="660" w:right="30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March 2021, Marker dosed the first patient in the safety lead-in portion of its Phase 2 trial in AML, which is expected to enroll a total of six patients: three of which will be treated with MT-401 manufactured with a legacy reagent, and the remaining three to be treated with study drug manufactured with a new reagent from an alternate supplier.</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clinical operations team has made considerable progress in opening sites to enroll patients for the safety lead-in portion of the AML trial. The Company has also received commitments from additional clinical sites to participate in the Phase 2 AML trial following the safety lead-in phase and anticipates activating a total of approximately 20 sites.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Marker continues to streamline and simplify the MT-401 manufacturing process, which could potentially result in a product with a superior T cell phenotype and improved antigen specificity as compared to the original process. The new process improvements have been updated in the CMC section of the IND and will be used for all patients in the Marker AML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Marker presented early results of robotic automation of T cell generation for the treatment of AML at the American Society of Gene &amp; Cell Therapy 24th Annual Meeting on May 11, 2021. The results will also be presented at the upcoming International Society for Cell &amp; Gene Therapy 2021 Annual Meeting, taking place virtually May 26-28,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UPDATES</w:t>
      </w:r>
    </w:p>
    <w:p>
      <w:pPr>
        <w:spacing w:after="0" w:line="229" w:lineRule="exact"/>
        <w:rPr>
          <w:sz w:val="20"/>
          <w:szCs w:val="20"/>
          <w:color w:val="auto"/>
        </w:rPr>
      </w:pPr>
    </w:p>
    <w:p>
      <w:pPr>
        <w:ind w:left="660" w:right="1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March, Marker closed an underwritten public offering of 32,282,857 shares of its common stock at a public offering price of $1.75 per share. The gross proceeds to Marker from the offering, before deducting the underwriting discounts and commissions and other offering expenses, were approximately $56.5 million.</w:t>
      </w:r>
    </w:p>
    <w:p>
      <w:pPr>
        <w:spacing w:after="0" w:line="183"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preparing to open its new cGMP manufacturing facility in Houston, TX, which will be used to manufacture study drug for Marker’s Phase 2 AML trial (MT-401) and for future hematological and solid tumor trials, in addition to the potential commercialization of any approved products. Marker initiated the technology transfer from Baylor College of Medicine to the cGMP facility in Q1 2021 and expects the facility to be fully operational in the first half of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ANTICIPATED PROGRAM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AML Trial Milestones</w:t>
      </w:r>
    </w:p>
    <w:p>
      <w:pPr>
        <w:spacing w:after="0" w:line="25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safety lead-in (6 patients) in Q2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main portion of Phase 2 trial in Q3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enrollment of 20 patients in main portion of Phase 2 trial in Q4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Topline readout of Group 2 (active disease) in Q1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Milestones</w:t>
      </w:r>
    </w:p>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 regulatory approval for Marker cGMP in Q2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Manufacture MT-401 at Marker cGMP for Phase 2 AML trial in Q3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2021 FINANCIAL RESULTS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At March 31, 2021, Marker had cash and cash equivalents of $64.5 million. The Company believes that its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will fund its operating expenses and capital expenditure requirements into Q1 2023.</w:t>
      </w:r>
    </w:p>
    <w:p>
      <w:pPr>
        <w:spacing w:after="0" w:line="161" w:lineRule="exact"/>
        <w:rPr>
          <w:rFonts w:ascii="Arial" w:cs="Arial" w:eastAsia="Arial" w:hAnsi="Arial"/>
          <w:sz w:val="18"/>
          <w:szCs w:val="18"/>
          <w:color w:val="auto"/>
        </w:rPr>
      </w:pPr>
    </w:p>
    <w:p>
      <w:pPr>
        <w:ind w:left="660" w:right="8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$5.6 million for the quarter ended March 31, 2021 compared to $3.8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2020. The increase was primarily attributable to increases in headcount-related expenses and infrastructure expenses due to growth of research and development operations.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right="22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$3.1 million for the quarter ended March 31, 2021 compared to $2.8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2020.</w:t>
      </w:r>
    </w:p>
    <w:p>
      <w:pPr>
        <w:spacing w:after="0" w:line="161"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$8.8 million for the quarter ended March 31, 2021, compared to a net loss of $6.5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will host a webcast and conference call to discuss its first quarter 2021 financial results and provide a corporate update today at 5:00 p.m. EDT. The webcast will be accessible in the Investors section of the Company's website at markertherapeutics.com. Individuals can participate in the conference call by dialing 877-407-8913 (domestic) or 201-689-8201 (international) and referring to the "Marker Therapeutics First Quarter 2021 Earnings Call."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https://www.markertherapeutics.com/email-alerts.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as well as clinical trials conducted by our collaborators; the timing and success of the technology transfer process related to our planned manufacturing facility and the receipt of regulatory approval for the related cGMP; our manufacturing processes and our ability to use our current and planned manufacturing facilities to support clinical and commercial demand.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Other receivables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Construction in progress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20" w:val="left"/>
          <w:tab w:leader="none" w:pos="154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64,507,575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21,352,382</w:t>
      </w:r>
    </w:p>
    <w:p>
      <w:pPr>
        <w:spacing w:after="0" w:line="23" w:lineRule="exact"/>
        <w:rPr>
          <w:sz w:val="20"/>
          <w:szCs w:val="20"/>
          <w:color w:val="auto"/>
        </w:rPr>
      </w:pPr>
    </w:p>
    <w:p>
      <w:pPr>
        <w:ind w:left="520"/>
        <w:spacing w:after="0"/>
        <w:tabs>
          <w:tab w:leader="none" w:pos="2060" w:val="left"/>
        </w:tabs>
        <w:rPr>
          <w:sz w:val="20"/>
          <w:szCs w:val="20"/>
          <w:color w:val="auto"/>
        </w:rPr>
      </w:pPr>
      <w:r>
        <w:rPr>
          <w:rFonts w:ascii="Arial" w:cs="Arial" w:eastAsia="Arial" w:hAnsi="Arial"/>
          <w:sz w:val="16"/>
          <w:szCs w:val="16"/>
          <w:color w:val="auto"/>
        </w:rPr>
        <w:t>1,962,924</w:t>
      </w:r>
      <w:r>
        <w:rPr>
          <w:sz w:val="20"/>
          <w:szCs w:val="20"/>
          <w:color w:val="auto"/>
        </w:rPr>
        <w:tab/>
      </w:r>
      <w:r>
        <w:rPr>
          <w:rFonts w:ascii="Arial" w:cs="Arial" w:eastAsia="Arial" w:hAnsi="Arial"/>
          <w:sz w:val="16"/>
          <w:szCs w:val="16"/>
          <w:color w:val="auto"/>
        </w:rPr>
        <w:t>2,057,924</w:t>
      </w:r>
    </w:p>
    <w:p>
      <w:pPr>
        <w:spacing w:after="0" w:line="32" w:lineRule="exact"/>
        <w:rPr>
          <w:sz w:val="20"/>
          <w:szCs w:val="20"/>
          <w:color w:val="auto"/>
        </w:rPr>
      </w:pPr>
    </w:p>
    <w:p>
      <w:pPr>
        <w:ind w:left="520"/>
        <w:spacing w:after="0"/>
        <w:tabs>
          <w:tab w:leader="none" w:pos="2060" w:val="left"/>
        </w:tabs>
        <w:rPr>
          <w:sz w:val="20"/>
          <w:szCs w:val="20"/>
          <w:color w:val="auto"/>
        </w:rPr>
      </w:pPr>
      <w:r>
        <w:rPr>
          <w:rFonts w:ascii="Arial" w:cs="Arial" w:eastAsia="Arial" w:hAnsi="Arial"/>
          <w:sz w:val="16"/>
          <w:szCs w:val="16"/>
          <w:color w:val="auto"/>
        </w:rPr>
        <w:t>1,000,867</w:t>
      </w:r>
      <w:r>
        <w:rPr>
          <w:sz w:val="20"/>
          <w:szCs w:val="20"/>
          <w:color w:val="auto"/>
        </w:rPr>
        <w:tab/>
      </w:r>
      <w:r>
        <w:rPr>
          <w:rFonts w:ascii="Arial" w:cs="Arial" w:eastAsia="Arial" w:hAnsi="Arial"/>
          <w:sz w:val="16"/>
          <w:szCs w:val="16"/>
          <w:color w:val="auto"/>
        </w:rPr>
        <w:t>1,000,559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774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both"/>
        <w:ind w:left="440"/>
        <w:spacing w:after="0"/>
        <w:tabs>
          <w:tab w:leader="none" w:pos="1960" w:val="left"/>
        </w:tabs>
        <w:rPr>
          <w:sz w:val="20"/>
          <w:szCs w:val="20"/>
          <w:color w:val="auto"/>
        </w:rPr>
      </w:pPr>
      <w:r>
        <w:rPr>
          <w:rFonts w:ascii="Arial" w:cs="Arial" w:eastAsia="Arial" w:hAnsi="Arial"/>
          <w:sz w:val="18"/>
          <w:szCs w:val="18"/>
          <w:color w:val="auto"/>
        </w:rPr>
        <w:t>67,471,366</w:t>
      </w:r>
      <w:r>
        <w:rPr>
          <w:sz w:val="20"/>
          <w:szCs w:val="20"/>
          <w:color w:val="auto"/>
        </w:rPr>
        <w:tab/>
      </w:r>
      <w:r>
        <w:rPr>
          <w:rFonts w:ascii="Arial" w:cs="Arial" w:eastAsia="Arial" w:hAnsi="Arial"/>
          <w:sz w:val="18"/>
          <w:szCs w:val="18"/>
          <w:color w:val="auto"/>
        </w:rPr>
        <w:t>24,410,865</w:t>
      </w:r>
    </w:p>
    <w:p>
      <w:pPr>
        <w:spacing w:after="0" w:line="238" w:lineRule="exact"/>
        <w:rPr>
          <w:sz w:val="20"/>
          <w:szCs w:val="20"/>
          <w:color w:val="auto"/>
        </w:rPr>
      </w:pPr>
    </w:p>
    <w:p>
      <w:pPr>
        <w:ind w:left="440"/>
        <w:spacing w:after="0"/>
        <w:tabs>
          <w:tab w:leader="none" w:pos="2060" w:val="left"/>
        </w:tabs>
        <w:rPr>
          <w:sz w:val="20"/>
          <w:szCs w:val="20"/>
          <w:color w:val="auto"/>
        </w:rPr>
      </w:pPr>
      <w:r>
        <w:rPr>
          <w:rFonts w:ascii="Arial" w:cs="Arial" w:eastAsia="Arial" w:hAnsi="Arial"/>
          <w:sz w:val="16"/>
          <w:szCs w:val="16"/>
          <w:color w:val="auto"/>
        </w:rPr>
        <w:t>10,298,225</w:t>
      </w:r>
      <w:r>
        <w:rPr>
          <w:sz w:val="20"/>
          <w:szCs w:val="20"/>
          <w:color w:val="auto"/>
        </w:rPr>
        <w:tab/>
      </w:r>
      <w:r>
        <w:rPr>
          <w:rFonts w:ascii="Arial" w:cs="Arial" w:eastAsia="Arial" w:hAnsi="Arial"/>
          <w:sz w:val="16"/>
          <w:szCs w:val="16"/>
          <w:color w:val="auto"/>
        </w:rPr>
        <w:t>3,570,736</w:t>
      </w:r>
    </w:p>
    <w:p>
      <w:pPr>
        <w:spacing w:after="0" w:line="46" w:lineRule="exact"/>
        <w:rPr>
          <w:sz w:val="20"/>
          <w:szCs w:val="20"/>
          <w:color w:val="auto"/>
        </w:rPr>
      </w:pPr>
    </w:p>
    <w:p>
      <w:pPr>
        <w:ind w:left="2080" w:hanging="900"/>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6,789,098</w:t>
      </w:r>
    </w:p>
    <w:p>
      <w:pPr>
        <w:spacing w:after="0" w:line="3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10,592,490</w:t>
      </w:r>
      <w:r>
        <w:rPr>
          <w:rFonts w:ascii="Arial" w:cs="Arial" w:eastAsia="Arial" w:hAnsi="Arial"/>
          <w:sz w:val="16"/>
          <w:szCs w:val="16"/>
          <w:color w:val="auto"/>
        </w:rPr>
        <w:t>10,844,116</w:t>
      </w:r>
    </w:p>
    <w:p>
      <w:pPr>
        <w:spacing w:after="0" w:line="2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20,890,715</w:t>
      </w:r>
      <w:r>
        <w:rPr>
          <w:rFonts w:ascii="Arial" w:cs="Arial" w:eastAsia="Arial" w:hAnsi="Arial"/>
          <w:sz w:val="16"/>
          <w:szCs w:val="16"/>
          <w:color w:val="auto"/>
        </w:rPr>
        <w:t>21,203,950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774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41" w:lineRule="exact"/>
        <w:rPr>
          <w:sz w:val="20"/>
          <w:szCs w:val="20"/>
          <w:color w:val="auto"/>
        </w:rPr>
      </w:pPr>
    </w:p>
    <w:p>
      <w:pPr>
        <w:spacing w:after="0"/>
        <w:tabs>
          <w:tab w:leader="none" w:pos="420" w:val="left"/>
          <w:tab w:leader="none" w:pos="1540" w:val="left"/>
          <w:tab w:leader="none" w:pos="196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88,362,081</w:t>
      </w:r>
      <w:r>
        <w:rPr>
          <w:sz w:val="20"/>
          <w:szCs w:val="20"/>
          <w:color w:val="auto"/>
        </w:rPr>
        <w:tab/>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45,614,815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774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2900"/>
          </w:cols>
          <w:pgMar w:left="320" w:top="904" w:right="339" w:bottom="1440" w:gutter="0" w:footer="0" w:header="0"/>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3,674,259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6,013,010</w:t>
            </w:r>
          </w:p>
        </w:tc>
      </w:tr>
      <w:tr>
        <w:trPr>
          <w:trHeight w:val="229"/>
        </w:trPr>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liability</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473,077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388,792</w:t>
            </w:r>
          </w:p>
        </w:tc>
      </w:tr>
      <w:tr>
        <w:trPr>
          <w:trHeight w:val="210"/>
        </w:trPr>
        <w:tc>
          <w:tcPr>
            <w:tcW w:w="80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4,147,336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6,401,802</w:t>
            </w:r>
          </w:p>
        </w:tc>
        <w:tc>
          <w:tcPr>
            <w:tcW w:w="10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20" w:type="dxa"/>
            <w:vAlign w:val="bottom"/>
          </w:tcPr>
          <w:p>
            <w:pPr>
              <w:ind w:left="420"/>
              <w:spacing w:after="0"/>
              <w:rPr>
                <w:sz w:val="20"/>
                <w:szCs w:val="20"/>
                <w:color w:val="auto"/>
              </w:rPr>
            </w:pPr>
            <w:r>
              <w:rPr>
                <w:rFonts w:ascii="Arial" w:cs="Arial" w:eastAsia="Arial" w:hAnsi="Arial"/>
                <w:sz w:val="18"/>
                <w:szCs w:val="18"/>
                <w:color w:val="auto"/>
              </w:rPr>
              <w:t>Lease liability, net of current portion</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11,719,826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11,868,440</w:t>
            </w:r>
          </w:p>
        </w:tc>
      </w:tr>
      <w:tr>
        <w:trPr>
          <w:trHeight w:val="210"/>
        </w:trPr>
        <w:tc>
          <w:tcPr>
            <w:tcW w:w="802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non-current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11,719,826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15,867,162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18,270,242</w:t>
            </w:r>
          </w:p>
        </w:tc>
      </w:tr>
      <w:tr>
        <w:trPr>
          <w:trHeight w:val="210"/>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20" w:type="dxa"/>
            <w:vAlign w:val="bottom"/>
          </w:tcPr>
          <w:p>
            <w:pPr>
              <w:ind w:left="420"/>
              <w:spacing w:after="0" w:line="201" w:lineRule="exact"/>
              <w:rPr>
                <w:sz w:val="20"/>
                <w:szCs w:val="20"/>
                <w:color w:val="auto"/>
              </w:rPr>
            </w:pPr>
            <w:r>
              <w:rPr>
                <w:rFonts w:ascii="Arial" w:cs="Arial" w:eastAsia="Arial" w:hAnsi="Arial"/>
                <w:sz w:val="18"/>
                <w:szCs w:val="18"/>
                <w:color w:val="auto"/>
                <w:w w:val="92"/>
              </w:rPr>
              <w:t>Preferred stock - $0.001 par value, 5 million shares authorized and 0 shares issued and outstanding at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20" w:type="dxa"/>
            <w:vAlign w:val="bottom"/>
          </w:tcPr>
          <w:p>
            <w:pPr>
              <w:ind w:left="420"/>
              <w:spacing w:after="0"/>
              <w:rPr>
                <w:sz w:val="20"/>
                <w:szCs w:val="20"/>
                <w:color w:val="auto"/>
              </w:rPr>
            </w:pPr>
            <w:r>
              <w:rPr>
                <w:rFonts w:ascii="Arial" w:cs="Arial" w:eastAsia="Arial" w:hAnsi="Arial"/>
                <w:sz w:val="18"/>
                <w:szCs w:val="18"/>
                <w:color w:val="auto"/>
              </w:rPr>
              <w:t>March 31, 2021 and December 31, 2020, respectively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4"/>
              </w:rPr>
              <w:t>Common stock, $0.001 par value, 150 million shares authorized, 83.0 million and 50.7 million shares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and outstanding as of March 31, 2021 and December 31, 2020, respectively</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50,731</w:t>
            </w:r>
          </w:p>
        </w:tc>
      </w:tr>
      <w:tr>
        <w:trPr>
          <w:trHeight w:val="216"/>
        </w:trPr>
        <w:tc>
          <w:tcPr>
            <w:tcW w:w="80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437,430,839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383,533,326</w:t>
            </w:r>
          </w:p>
        </w:tc>
      </w:tr>
      <w:tr>
        <w:trPr>
          <w:trHeight w:val="230"/>
        </w:trPr>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(365,018,934)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(356,239,484)</w:t>
            </w:r>
          </w:p>
        </w:tc>
      </w:tr>
      <w:tr>
        <w:trPr>
          <w:trHeight w:val="209"/>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72,494,919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27,344,573</w:t>
            </w:r>
          </w:p>
        </w:tc>
        <w:tc>
          <w:tcPr>
            <w:tcW w:w="10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88,362,081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45,614,815</w:t>
            </w:r>
          </w:p>
        </w:tc>
      </w:tr>
      <w:tr>
        <w:trPr>
          <w:trHeight w:val="20"/>
        </w:trPr>
        <w:tc>
          <w:tcPr>
            <w:tcW w:w="8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8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5,643,029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3,816,618</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3,137,958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2,826,995</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8,780,987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6,643,613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(6,643,613)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warrant liabilities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69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126,969</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(8,779,450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(6,485,644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56,470,247</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46,084,383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Marker Therapeutics, Inc.</w:t>
            </w: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9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Net loss</w:t>
            </w:r>
          </w:p>
        </w:tc>
        <w:tc>
          <w:tcPr>
            <w:tcW w:w="16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(8,779,450)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(6,485,644)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502,743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35,265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fair value of warrant liabilities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1,377,038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1,344,592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on right-of-use assets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251,626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47,361</w:t>
            </w: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Prepaid expenses and deposits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(189,650)</w:t>
            </w:r>
          </w:p>
        </w:tc>
        <w:tc>
          <w:tcPr>
            <w:tcW w:w="0" w:type="dxa"/>
            <w:vAlign w:val="bottom"/>
          </w:tcPr>
          <w:p>
            <w:pPr>
              <w:spacing w:after="0"/>
              <w:rPr>
                <w:sz w:val="1"/>
                <w:szCs w:val="1"/>
                <w:color w:val="auto"/>
              </w:rPr>
            </w:pPr>
          </w:p>
        </w:tc>
      </w:tr>
      <w:tr>
        <w:trPr>
          <w:trHeight w:val="216"/>
        </w:trPr>
        <w:tc>
          <w:tcPr>
            <w:tcW w:w="6900" w:type="dxa"/>
            <w:vAlign w:val="bottom"/>
          </w:tcPr>
          <w:p>
            <w:pPr>
              <w:ind w:left="620"/>
              <w:spacing w:after="0"/>
              <w:rPr>
                <w:sz w:val="20"/>
                <w:szCs w:val="20"/>
                <w:color w:val="auto"/>
              </w:rPr>
            </w:pPr>
            <w:r>
              <w:rPr>
                <w:rFonts w:ascii="Arial" w:cs="Arial" w:eastAsia="Arial" w:hAnsi="Arial"/>
                <w:sz w:val="18"/>
                <w:szCs w:val="18"/>
                <w:color w:val="auto"/>
              </w:rPr>
              <w:t>Other receivables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31,584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(2,442,581)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1,197,613</w:t>
            </w:r>
          </w:p>
        </w:tc>
        <w:tc>
          <w:tcPr>
            <w:tcW w:w="0" w:type="dxa"/>
            <w:vAlign w:val="bottom"/>
          </w:tcPr>
          <w:p>
            <w:pPr>
              <w:spacing w:after="0"/>
              <w:rPr>
                <w:sz w:val="1"/>
                <w:szCs w:val="1"/>
                <w:color w:val="auto"/>
              </w:rPr>
            </w:pPr>
          </w:p>
        </w:tc>
      </w:tr>
      <w:tr>
        <w:trPr>
          <w:trHeight w:val="230"/>
        </w:trPr>
        <w:tc>
          <w:tcPr>
            <w:tcW w:w="6900" w:type="dxa"/>
            <w:vAlign w:val="bottom"/>
          </w:tcPr>
          <w:p>
            <w:pPr>
              <w:ind w:left="620"/>
              <w:spacing w:after="0"/>
              <w:rPr>
                <w:sz w:val="20"/>
                <w:szCs w:val="20"/>
                <w:color w:val="auto"/>
              </w:rPr>
            </w:pPr>
            <w:r>
              <w:rPr>
                <w:rFonts w:ascii="Arial" w:cs="Arial" w:eastAsia="Arial" w:hAnsi="Arial"/>
                <w:sz w:val="18"/>
                <w:szCs w:val="18"/>
                <w:color w:val="auto"/>
              </w:rPr>
              <w:t>Lease liability</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(64,329)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(49,187)</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(9,060,261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(4,099,066</w:t>
            </w: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(441,134)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(99,821)</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(441,134</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(99,821</w:t>
            </w:r>
          </w:p>
        </w:tc>
        <w:tc>
          <w:tcPr>
            <w:tcW w:w="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52,656,588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warrants</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52,656,588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43,155,193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(3,648,887)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21,352,382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43,903,949</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64,507,575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40,255,062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SOURCE: Marker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32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646"/>
    </w:lvl>
  </w:abstractNum>
  <w:abstractNum w:abstractNumId="10">
    <w:nsid w:val="1F16E9E8"/>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2021-05-12T15:29:32Z</dcterms:created>
  <dcterms:modified xsi:type="dcterms:W3CDTF">2021-05-12T15:29:32Z</dcterms:modified>
</cp:coreProperties>
</file>