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421005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FORM 8-K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CURRENT REPORT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August 19, 2015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 of Report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TAPIMMUNE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Nevada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jc w:val="center"/>
              <w:ind w:left="1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000-27239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88-0277072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2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(State or other jurisdiction of incorporation)</w:t>
            </w:r>
          </w:p>
        </w:tc>
        <w:tc>
          <w:tcPr>
            <w:tcW w:w="4160" w:type="dxa"/>
            <w:vAlign w:val="bottom"/>
            <w:gridSpan w:val="5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(Commission File Number)</w:t>
            </w:r>
          </w:p>
        </w:tc>
        <w:tc>
          <w:tcPr>
            <w:tcW w:w="2840" w:type="dxa"/>
            <w:vAlign w:val="bottom"/>
            <w:gridSpan w:val="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(IRS Employer Identification No.)</w:t>
            </w:r>
          </w:p>
        </w:tc>
      </w:tr>
      <w:tr>
        <w:trPr>
          <w:trHeight w:val="419"/>
        </w:trPr>
        <w:tc>
          <w:tcPr>
            <w:tcW w:w="362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1551 Eastlake Avenue East, Suite 100, Seattle,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6"/>
        </w:trPr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6"/>
              </w:rPr>
              <w:t>WA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jc w:val="right"/>
              <w:ind w:righ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98102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36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620" w:type="dxa"/>
            <w:vAlign w:val="bottom"/>
            <w:gridSpan w:val="6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(Address of principal executive offices)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jc w:val="center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(Zip Code)</w:t>
            </w:r>
          </w:p>
        </w:tc>
      </w:tr>
      <w:tr>
        <w:trPr>
          <w:trHeight w:val="419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jc w:val="center"/>
              <w:ind w:left="1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(206) 504-7278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60" w:type="dxa"/>
            <w:vAlign w:val="bottom"/>
            <w:gridSpan w:val="5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Registrant’s telephone number, including area code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N/A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5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Written communications pursuant to Rule 425 under the Securities Act (17 CFR 230.425)</w:t>
            </w:r>
          </w:p>
        </w:tc>
      </w:tr>
      <w:tr>
        <w:trPr>
          <w:trHeight w:val="216"/>
        </w:trPr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Soliciting material pursuant to Rule 14a-12 under the Exchange Act (17 CFR 240.14a-12)</w:t>
            </w:r>
          </w:p>
        </w:tc>
      </w:tr>
      <w:tr>
        <w:trPr>
          <w:trHeight w:val="216"/>
        </w:trPr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Pre-commencement communications pursuant to Rule 14d-2(b) under the Exchange Act (17 CFR 240.14d-2(b))</w:t>
            </w:r>
          </w:p>
        </w:tc>
      </w:tr>
      <w:tr>
        <w:trPr>
          <w:trHeight w:val="234"/>
        </w:trPr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Pre-commencement communications pursuant to Rule 13e-4(c) under the Exchange Act (17 CFR 240.13e-4(c))</w:t>
            </w:r>
          </w:p>
        </w:tc>
      </w:tr>
      <w:tr>
        <w:trPr>
          <w:trHeight w:val="87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92" w:right="2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Other Events.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will hold a conference call on Wednesday, September 16 at 11:00 AM EDT (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http://services.choruscall.com/links/tpiv150916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 to discuss progress in our clinical programs and financing. As previously announced, we recently acquired Folate Receptor Alpha technology and a related IND from the Mayo Foundation for Medical Research &amp; Education. The conference call will discuss that acquisition, the structure and timing of the Phase II clinical programs and the current status of capital to progress through Phase II trials.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Our current capital structure has changed since our last quarterly report on Form 10-Q as we have raised an additional $3,350,000 between August 19, 2015 and September 9, 2015 upon the exercise of 6,749,991 Series B warrants and 10,000,000 Series B-1 warrants (each exercised at $0.20 per warrant). All of the shares underlying these warrants were registered on either our Registration Statement on Form S-3 on Form S-1 (registration number 333-196115) or on our registration statement on Form S-1 (registration number 333-205757). We currently have 62,890,762 shares of common stock issued and outstanding. We intend to use the funds raised hereby for general corporate purposes and working capital.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80" w:type="dxa"/>
            <w:vAlign w:val="bottom"/>
            <w:gridSpan w:val="4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TAPIMMUNE INC.</w:t>
            </w:r>
          </w:p>
        </w:tc>
      </w:tr>
      <w:tr>
        <w:trPr>
          <w:trHeight w:val="39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Date: September 10, 2015</w:t>
            </w:r>
          </w:p>
        </w:tc>
        <w:tc>
          <w:tcPr>
            <w:tcW w:w="250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/s/ Glynn Wilson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Glynn Wilson</w:t>
            </w:r>
          </w:p>
        </w:tc>
      </w:tr>
      <w:tr>
        <w:trPr>
          <w:trHeight w:val="234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Chairman and CEO</w:t>
            </w:r>
          </w:p>
        </w:tc>
      </w:tr>
      <w:tr>
        <w:trPr>
          <w:trHeight w:val="192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1"/>
        </w:trPr>
        <w:tc>
          <w:tcPr>
            <w:tcW w:w="38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7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2020-01-24T14:56:15Z</dcterms:created>
  <dcterms:modified xsi:type="dcterms:W3CDTF">2020-01-24T14:56:15Z</dcterms:modified>
</cp:coreProperties>
</file>