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January 15, 2019</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w:t>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360" w:type="dxa"/>
            <w:vAlign w:val="bottom"/>
            <w:gridSpan w:val="2"/>
          </w:tcPr>
          <w:p>
            <w:pPr>
              <w:spacing w:after="0"/>
              <w:rPr>
                <w:sz w:val="17"/>
                <w:szCs w:val="17"/>
                <w:color w:val="auto"/>
              </w:rPr>
            </w:pPr>
          </w:p>
        </w:tc>
        <w:tc>
          <w:tcPr>
            <w:tcW w:w="2660" w:type="dxa"/>
            <w:vAlign w:val="bottom"/>
            <w:gridSpan w:val="4"/>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1660" w:type="dxa"/>
            <w:vAlign w:val="bottom"/>
          </w:tcPr>
          <w:p>
            <w:pPr>
              <w:spacing w:after="0"/>
              <w:rPr>
                <w:sz w:val="17"/>
                <w:szCs w:val="17"/>
                <w:color w:val="auto"/>
              </w:rPr>
            </w:pPr>
          </w:p>
        </w:tc>
        <w:tc>
          <w:tcPr>
            <w:tcW w:w="28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8"/>
        </w:trPr>
        <w:tc>
          <w:tcPr>
            <w:tcW w:w="31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3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(Commission File Number)</w:t>
            </w:r>
          </w:p>
        </w:tc>
        <w:tc>
          <w:tcPr>
            <w:tcW w:w="284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800" w:type="dxa"/>
            <w:vAlign w:val="bottom"/>
          </w:tcPr>
          <w:p>
            <w:pPr>
              <w:spacing w:after="0"/>
              <w:rPr>
                <w:sz w:val="20"/>
                <w:szCs w:val="20"/>
                <w:color w:val="auto"/>
              </w:rPr>
            </w:pPr>
          </w:p>
        </w:tc>
        <w:tc>
          <w:tcPr>
            <w:tcW w:w="230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color w:val="auto"/>
                <w:w w:val="99"/>
              </w:rPr>
              <w:t>incorporation)</w:t>
            </w: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0"/>
        </w:trPr>
        <w:tc>
          <w:tcPr>
            <w:tcW w:w="31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5 West Forsyth Street</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Suite 200</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8"/>
        </w:trPr>
        <w:tc>
          <w:tcPr>
            <w:tcW w:w="800" w:type="dxa"/>
            <w:vAlign w:val="bottom"/>
          </w:tcPr>
          <w:p>
            <w:pPr>
              <w:spacing w:after="0"/>
              <w:rPr>
                <w:sz w:val="17"/>
                <w:szCs w:val="17"/>
                <w:color w:val="auto"/>
              </w:rPr>
            </w:pPr>
          </w:p>
        </w:tc>
        <w:tc>
          <w:tcPr>
            <w:tcW w:w="1260" w:type="dxa"/>
            <w:vAlign w:val="bottom"/>
            <w:tcBorders>
              <w:bottom w:val="single" w:sz="8" w:color="auto"/>
            </w:tcBorders>
            <w:gridSpan w:val="3"/>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Jacksonville, FL</w:t>
            </w:r>
          </w:p>
        </w:tc>
        <w:tc>
          <w:tcPr>
            <w:tcW w:w="10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40" w:type="dxa"/>
            <w:vAlign w:val="bottom"/>
            <w:gridSpan w:val="4"/>
          </w:tcPr>
          <w:p>
            <w:pPr>
              <w:jc w:val="right"/>
              <w:ind w:right="220"/>
              <w:spacing w:after="0" w:line="191" w:lineRule="exact"/>
              <w:rPr>
                <w:sz w:val="20"/>
                <w:szCs w:val="20"/>
                <w:color w:val="auto"/>
              </w:rPr>
            </w:pPr>
            <w:r>
              <w:rPr>
                <w:rFonts w:ascii="Times New Roman" w:cs="Times New Roman" w:eastAsia="Times New Roman" w:hAnsi="Times New Roman"/>
                <w:sz w:val="18"/>
                <w:szCs w:val="18"/>
                <w:b w:val="1"/>
                <w:bCs w:val="1"/>
                <w:color w:val="auto"/>
              </w:rPr>
              <w:t>32202</w:t>
            </w:r>
          </w:p>
        </w:tc>
        <w:tc>
          <w:tcPr>
            <w:tcW w:w="800" w:type="dxa"/>
            <w:vAlign w:val="bottom"/>
          </w:tcPr>
          <w:p>
            <w:pPr>
              <w:spacing w:after="0"/>
              <w:rPr>
                <w:sz w:val="17"/>
                <w:szCs w:val="17"/>
                <w:color w:val="auto"/>
              </w:rPr>
            </w:pPr>
          </w:p>
        </w:tc>
      </w:tr>
      <w:tr>
        <w:trPr>
          <w:trHeight w:val="20"/>
        </w:trPr>
        <w:tc>
          <w:tcPr>
            <w:tcW w:w="3100" w:type="dxa"/>
            <w:vAlign w:val="bottom"/>
            <w:gridSpan w:val="5"/>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1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(Zip Code)</w:t>
            </w:r>
          </w:p>
        </w:tc>
      </w:tr>
      <w:tr>
        <w:trPr>
          <w:trHeight w:val="392"/>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60" w:type="dxa"/>
            <w:vAlign w:val="bottom"/>
            <w:gridSpan w:val="4"/>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(904) 516-5436</w:t>
            </w: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802640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49" w:right="29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On January 15, 2019, Marker Therapeutics, Inc. (“Marker” or the “Company”) issued a press release announcing that the Center for Cell and Gene Therapy at Baylor College of Medicine was to present data from four abstracts at the meetings of the American Society for Blood and Marrow Transplantation (“ASBMT”)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studies summarize data achieved using multi-tumor antigen specific T cells that were developed at Baylor College of Medicine and exclusively licensed to the Company. The meetings of ASBMT are from February 20-24, 2019 and will take place in Houston, Texas.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0" w:lineRule="exact"/>
        <w:rPr>
          <w:sz w:val="20"/>
          <w:szCs w:val="20"/>
          <w:color w:val="auto"/>
        </w:rPr>
      </w:pPr>
    </w:p>
    <w:p>
      <w:pPr>
        <w:spacing w:after="0" w:line="241" w:lineRule="exact"/>
        <w:rPr>
          <w:sz w:val="20"/>
          <w:szCs w:val="20"/>
          <w:color w:val="auto"/>
        </w:rPr>
      </w:pPr>
    </w:p>
    <w:p>
      <w:pPr>
        <w:ind w:left="420"/>
        <w:spacing w:after="0"/>
        <w:tabs>
          <w:tab w:leader="none" w:pos="1140" w:val="left"/>
        </w:tabs>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7"/>
            <w:szCs w:val="17"/>
            <w:u w:val="single" w:color="auto"/>
            <w:color w:val="0000EE"/>
          </w:rPr>
          <w:t>Press release issued on January 15,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720725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900" w:right="6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 on this 15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January, 2019.</w:t>
      </w: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23"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Loiacono</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Michael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60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900"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168275</wp:posOffset>
            </wp:positionV>
            <wp:extent cx="259016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016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Center for Cell and Gene Therapy at Baylor College of Medicine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 at the Transplantation &amp; Cellular Therapy Meetings of ASBMT and CIBMTR 2019</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Houston, TX – January 15, 2019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Marker Therapeutics,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(Nasdaq:MRKR), a clinical-stage immuno-oncology company specializing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development of next-generation T cell-based immunotherapies for the treatment of hematological malignancies and solid tumor indications, today reported that data from four abstracts—including three oral presentations—were accepted for presentation at the Transplantation &amp; Cellular Therapy (TCT) Meetings of the American Society for Blood and Marrow Transplantation and the </w:t>
      </w:r>
      <w:r>
        <w:rPr>
          <w:rFonts w:ascii="Times New Roman" w:cs="Times New Roman" w:eastAsia="Times New Roman" w:hAnsi="Times New Roman"/>
          <w:sz w:val="18"/>
          <w:szCs w:val="18"/>
          <w:i w:val="1"/>
          <w:iCs w:val="1"/>
          <w:color w:val="auto"/>
        </w:rPr>
        <w:t>Center for International Blood and Marrow Transplant Research</w:t>
      </w:r>
      <w:r>
        <w:rPr>
          <w:rFonts w:ascii="Times New Roman" w:cs="Times New Roman" w:eastAsia="Times New Roman" w:hAnsi="Times New Roman"/>
          <w:sz w:val="18"/>
          <w:szCs w:val="18"/>
          <w:color w:val="auto"/>
        </w:rPr>
        <w:t xml:space="preserve"> (ASBMT and CIBMTR). The studies summarize data achieved using multi-tumor antigen specific T cells that were developed at Baylor College of Medicine in the laboratories of Dr. Swati Naik, Dr. Ann Leen, and Dr. Premal Lulla, and exclusively licensed to Marker.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TCT meetings of ASBMT and CIBMTR 2019 will take place in Houston, TX from February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Oral Presentation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Presentation Title: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Targeting Lymphomas Using Non-Engineered, Multi-Antigen-Specific T Cells</w:t>
      </w:r>
      <w:r>
        <w:rPr>
          <w:rFonts w:ascii="Times New Roman" w:cs="Times New Roman" w:eastAsia="Times New Roman" w:hAnsi="Times New Roman"/>
          <w:sz w:val="18"/>
          <w:szCs w:val="18"/>
          <w:color w:val="auto"/>
        </w:rPr>
        <w:t>” (Abstract #24)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Session C - Lymphoma and Myeloma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Date/Time: </w:t>
      </w:r>
      <w:r>
        <w:rPr>
          <w:rFonts w:ascii="Times New Roman" w:cs="Times New Roman" w:eastAsia="Times New Roman" w:hAnsi="Times New Roman"/>
          <w:sz w:val="18"/>
          <w:szCs w:val="18"/>
          <w:color w:val="auto"/>
        </w:rPr>
        <w:t>Wednesday, February 20, 2019, 5:00 p.m. CST</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Presentation Title: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Administering Leukemia-Directed Donor Lymphocytes to Patients with AML or MDS to Prevent or Treat Post-Allogeneic HSCT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Relapse</w:t>
      </w:r>
      <w:r>
        <w:rPr>
          <w:rFonts w:ascii="Times New Roman" w:cs="Times New Roman" w:eastAsia="Times New Roman" w:hAnsi="Times New Roman"/>
          <w:sz w:val="18"/>
          <w:szCs w:val="18"/>
          <w:color w:val="auto"/>
        </w:rPr>
        <w:t>” (Abstract #11)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Session A - Acute and Chronic Leukemia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Date/Time: </w:t>
      </w:r>
      <w:r>
        <w:rPr>
          <w:rFonts w:ascii="Times New Roman" w:cs="Times New Roman" w:eastAsia="Times New Roman" w:hAnsi="Times New Roman"/>
          <w:sz w:val="18"/>
          <w:szCs w:val="18"/>
          <w:color w:val="auto"/>
        </w:rPr>
        <w:t>Wednesday, February 20, 2019, 5:45 p.m. CST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Presentation Title: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Adoptive T-Cell Therapy for Acute Lymphoblastic Leukemia Targeting Multiple Tumor-Associated Antigens</w:t>
      </w:r>
      <w:r>
        <w:rPr>
          <w:rFonts w:ascii="Times New Roman" w:cs="Times New Roman" w:eastAsia="Times New Roman" w:hAnsi="Times New Roman"/>
          <w:sz w:val="18"/>
          <w:szCs w:val="18"/>
          <w:color w:val="auto"/>
        </w:rPr>
        <w:t>” (Abstract #78)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Session K - Immune and Gene Therapy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Date/Time: </w:t>
      </w:r>
      <w:r>
        <w:rPr>
          <w:rFonts w:ascii="Times New Roman" w:cs="Times New Roman" w:eastAsia="Times New Roman" w:hAnsi="Times New Roman"/>
          <w:sz w:val="18"/>
          <w:szCs w:val="18"/>
          <w:color w:val="auto"/>
        </w:rPr>
        <w:t>Saturday, February 23, 2019, 5:00 p.m. CST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Poster Presentation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Presentation Title: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Safety and Efficacy of Multiantigen-Targeted T Cells for Multiple Myeloma</w:t>
      </w:r>
      <w:r>
        <w:rPr>
          <w:rFonts w:ascii="Times New Roman" w:cs="Times New Roman" w:eastAsia="Times New Roman" w:hAnsi="Times New Roman"/>
          <w:sz w:val="18"/>
          <w:szCs w:val="18"/>
          <w:color w:val="auto"/>
        </w:rPr>
        <w:t>” (Abstract #621)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Presentation Date/Time: </w:t>
      </w:r>
      <w:r>
        <w:rPr>
          <w:rFonts w:ascii="Times New Roman" w:cs="Times New Roman" w:eastAsia="Times New Roman" w:hAnsi="Times New Roman"/>
          <w:sz w:val="18"/>
          <w:szCs w:val="18"/>
          <w:color w:val="auto"/>
        </w:rPr>
        <w:t>Saturday, February 23, 6:45 p.m. CST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Once infused into patients, this population of T cells attacks multiple tumor targets and acts to activate the patient’s immune system to produce broad spectrum anti-tumor activity. Because Marker does not genetically engineer its T cells, when compared to current engineered CAR-T and TCR-based approaches, its products (i) are significantly less expensive and easier to manufacture, (ii) appear to be markedly less toxic, and (iii) are associated with meaningful clinical benefit. As a result, Marker believes its portfolio of T cell therapies has a compelling therapeutic product profile, as compared to current gene-modified CAR-T and TCR-based therapies.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Marker is also advancing a number of innovative peptide- and gene-based immuno-therapeutics for the treatment of metastatic solid tumors, including the Folate Receptor Alpha program (TPIV200) for breast and ovarian cancers and the HER2/neu program (TPIV100/110) for breast cancer, currently in Phase II clinical trials. In parallel, we are developing a proprietary DNA expression technology named PolyStart™ that can enhance the ability of the immune system to recognize and destroy diseased cells.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please call toll free at (904) 862-6490 or visit: </w:t>
      </w:r>
      <w:r>
        <w:rPr>
          <w:rFonts w:ascii="Times New Roman" w:cs="Times New Roman" w:eastAsia="Times New Roman" w:hAnsi="Times New Roman"/>
          <w:sz w:val="18"/>
          <w:szCs w:val="18"/>
          <w:u w:val="single" w:color="auto"/>
          <w:color w:val="auto"/>
        </w:rPr>
        <w:t>markertherapeutics.com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https://markertherapeutics.com/email-alerts/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 us on Twitter </w:t>
      </w:r>
      <w:r>
        <w:rPr>
          <w:rFonts w:ascii="Times New Roman" w:cs="Times New Roman" w:eastAsia="Times New Roman" w:hAnsi="Times New Roman"/>
          <w:sz w:val="18"/>
          <w:szCs w:val="18"/>
          <w:u w:val="single" w:color="auto"/>
          <w:color w:val="auto"/>
        </w:rPr>
        <w:t>@MRKRTherapeutic</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 Disclaimer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and development activities relating to our multi-tumor antigen specific T cell therapies; our TPIV200 and TPIV100/110 programs and our PolyStart™ program; the effectiveness of these programs or the possible range of application and potential curative effects and safety in the treatment of diseases; and, the timing and success of our clinical trials, as well as multi-tumor antigen specific T cell clinical trials conducted by Baylor College of Medicine.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Santos</w:t>
      </w:r>
    </w:p>
    <w:p>
      <w:pPr>
        <w:spacing w:after="0" w:line="9" w:lineRule="exact"/>
        <w:rPr>
          <w:sz w:val="20"/>
          <w:szCs w:val="20"/>
          <w:color w:val="auto"/>
        </w:rPr>
      </w:pPr>
    </w:p>
    <w:p>
      <w:pPr>
        <w:ind w:right="8280" w:firstLine="8"/>
        <w:spacing w:after="0" w:line="290" w:lineRule="auto"/>
        <w:tabs>
          <w:tab w:leader="none" w:pos="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862-6490 investor.relations@markertherapeutics.com</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Solebury Trout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Miles</w:t>
      </w:r>
    </w:p>
    <w:p>
      <w:pPr>
        <w:spacing w:after="0" w:line="9" w:lineRule="exact"/>
        <w:rPr>
          <w:sz w:val="20"/>
          <w:szCs w:val="20"/>
          <w:color w:val="auto"/>
        </w:rPr>
      </w:pPr>
    </w:p>
    <w:p>
      <w:pPr>
        <w:ind w:right="9460" w:firstLine="8"/>
        <w:spacing w:after="0" w:line="290"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513-3125 bmiles@soleburytrout.com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or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Bonanno</w:t>
      </w:r>
    </w:p>
    <w:p>
      <w:pPr>
        <w:spacing w:after="0" w:line="27" w:lineRule="exact"/>
        <w:rPr>
          <w:sz w:val="20"/>
          <w:szCs w:val="20"/>
          <w:color w:val="auto"/>
        </w:rPr>
      </w:pPr>
    </w:p>
    <w:p>
      <w:pPr>
        <w:ind w:right="9240" w:firstLine="8"/>
        <w:spacing w:after="0" w:line="290" w:lineRule="auto"/>
        <w:tabs>
          <w:tab w:leader="none" w:pos="4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450-0349 abonanno@soleburytrout.com</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04"/>
    </w:lvl>
  </w:abstractNum>
  <w:abstractNum w:abstractNumId="2">
    <w:nsid w:val="2AE8944A"/>
    <w:multiLevelType w:val="hybridMultilevel"/>
    <w:lvl w:ilvl="0">
      <w:lvlJc w:val="left"/>
      <w:lvlText w:val="(%1)"/>
      <w:numFmt w:val="decimal"/>
      <w:start w:val="646"/>
    </w:lvl>
  </w:abstractNum>
  <w:abstractNum w:abstractNumId="3">
    <w:nsid w:val="625558EC"/>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2020-01-10T02:47:06Z</dcterms:created>
  <dcterms:modified xsi:type="dcterms:W3CDTF">2020-01-10T02:47:06Z</dcterms:modified>
</cp:coreProperties>
</file>