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March 9,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3"/>
          </w:tcPr>
          <w:p>
            <w:pPr>
              <w:jc w:val="center"/>
              <w:ind w:right="1360"/>
              <w:spacing w:after="0"/>
              <w:rPr>
                <w:sz w:val="20"/>
                <w:szCs w:val="20"/>
                <w:color w:val="auto"/>
              </w:rPr>
            </w:pPr>
            <w:r>
              <w:rPr>
                <w:rFonts w:ascii="Arial" w:cs="Arial" w:eastAsia="Arial" w:hAnsi="Arial"/>
                <w:sz w:val="18"/>
                <w:szCs w:val="18"/>
                <w:b w:val="1"/>
                <w:bCs w:val="1"/>
                <w:color w:val="auto"/>
                <w:w w:val="91"/>
              </w:rPr>
              <w:t>Delaware</w:t>
            </w:r>
          </w:p>
        </w:tc>
        <w:tc>
          <w:tcPr>
            <w:tcW w:w="41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001-37939</w:t>
            </w:r>
          </w:p>
        </w:tc>
        <w:tc>
          <w:tcPr>
            <w:tcW w:w="28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0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(State or other jurisdiction of incorporation)</w:t>
            </w:r>
          </w:p>
        </w:tc>
        <w:tc>
          <w:tcPr>
            <w:tcW w:w="41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(Commission File Number)</w:t>
            </w:r>
          </w:p>
        </w:tc>
        <w:tc>
          <w:tcPr>
            <w:tcW w:w="2800" w:type="dxa"/>
            <w:vAlign w:val="bottom"/>
            <w:gridSpan w:val="5"/>
          </w:tcPr>
          <w:p>
            <w:pPr>
              <w:jc w:val="center"/>
              <w:ind w:left="23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0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8"/>
              </w:rPr>
              <w:t>3200 Southwest Freeway</w:t>
            </w: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2300" w:type="dxa"/>
            <w:vAlign w:val="bottom"/>
            <w:gridSpan w:val="4"/>
          </w:tcPr>
          <w:p>
            <w:pPr>
              <w:jc w:val="center"/>
              <w:ind w:right="1140"/>
              <w:spacing w:after="0"/>
              <w:rPr>
                <w:sz w:val="20"/>
                <w:szCs w:val="20"/>
                <w:color w:val="auto"/>
              </w:rPr>
            </w:pPr>
            <w:r>
              <w:rPr>
                <w:rFonts w:ascii="Arial" w:cs="Arial" w:eastAsia="Arial" w:hAnsi="Arial"/>
                <w:sz w:val="18"/>
                <w:szCs w:val="18"/>
                <w:b w:val="1"/>
                <w:bCs w:val="1"/>
                <w:color w:val="auto"/>
                <w:w w:val="89"/>
              </w:rPr>
              <w:t>Suite 2500</w:t>
            </w: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1000" w:type="dxa"/>
            <w:vAlign w:val="bottom"/>
          </w:tcPr>
          <w:p>
            <w:pPr>
              <w:spacing w:after="0"/>
              <w:rPr>
                <w:sz w:val="16"/>
                <w:szCs w:val="16"/>
                <w:color w:val="auto"/>
              </w:rPr>
            </w:pPr>
          </w:p>
        </w:tc>
        <w:tc>
          <w:tcPr>
            <w:tcW w:w="11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6"/>
              </w:rPr>
              <w:t>Houston, Texas</w:t>
            </w:r>
          </w:p>
        </w:tc>
        <w:tc>
          <w:tcPr>
            <w:tcW w:w="1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00" w:type="dxa"/>
            <w:vAlign w:val="bottom"/>
            <w:gridSpan w:val="4"/>
          </w:tcPr>
          <w:p>
            <w:pPr>
              <w:jc w:val="right"/>
              <w:ind w:right="220"/>
              <w:spacing w:after="0" w:line="194"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300" w:type="dxa"/>
            <w:vAlign w:val="bottom"/>
            <w:gridSpan w:val="5"/>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4"/>
        </w:trPr>
        <w:tc>
          <w:tcPr>
            <w:tcW w:w="330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(Address of principal executive offices)</w:t>
            </w:r>
          </w:p>
        </w:tc>
        <w:tc>
          <w:tcPr>
            <w:tcW w:w="1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418"/>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(713) 400-6400</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14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Registrant’s telephone number, including area code</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1140" w:hanging="1132"/>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1140" w:hanging="1132"/>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140" w:hanging="1132"/>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1140" w:hanging="1132"/>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18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18"/>
        </w:trPr>
        <w:tc>
          <w:tcPr>
            <w:tcW w:w="4700" w:type="dxa"/>
            <w:vAlign w:val="bottom"/>
          </w:tcPr>
          <w:p>
            <w:pPr>
              <w:spacing w:after="0"/>
              <w:rPr>
                <w:sz w:val="24"/>
                <w:szCs w:val="24"/>
                <w:color w:val="auto"/>
              </w:rPr>
            </w:pPr>
          </w:p>
        </w:tc>
        <w:tc>
          <w:tcPr>
            <w:tcW w:w="2180" w:type="dxa"/>
            <w:vAlign w:val="bottom"/>
          </w:tcPr>
          <w:p>
            <w:pPr>
              <w:jc w:val="center"/>
              <w:ind w:right="210"/>
              <w:spacing w:after="0"/>
              <w:rPr>
                <w:sz w:val="20"/>
                <w:szCs w:val="20"/>
                <w:color w:val="auto"/>
              </w:rPr>
            </w:pPr>
            <w:r>
              <w:rPr>
                <w:rFonts w:ascii="Arial" w:cs="Arial" w:eastAsia="Arial" w:hAnsi="Arial"/>
                <w:sz w:val="18"/>
                <w:szCs w:val="18"/>
                <w:color w:val="auto"/>
                <w:w w:val="91"/>
              </w:rPr>
              <w:t>Trading</w:t>
            </w:r>
          </w:p>
        </w:tc>
        <w:tc>
          <w:tcPr>
            <w:tcW w:w="4360" w:type="dxa"/>
            <w:vAlign w:val="bottom"/>
          </w:tcPr>
          <w:p>
            <w:pPr>
              <w:spacing w:after="0"/>
              <w:rPr>
                <w:sz w:val="24"/>
                <w:szCs w:val="24"/>
                <w:color w:val="auto"/>
              </w:rPr>
            </w:pPr>
          </w:p>
        </w:tc>
      </w:tr>
      <w:tr>
        <w:trPr>
          <w:trHeight w:val="230"/>
        </w:trPr>
        <w:tc>
          <w:tcPr>
            <w:tcW w:w="4700" w:type="dxa"/>
            <w:vAlign w:val="bottom"/>
            <w:tcBorders>
              <w:bottom w:val="single" w:sz="8" w:color="auto"/>
            </w:tcBorders>
          </w:tcPr>
          <w:p>
            <w:pPr>
              <w:jc w:val="center"/>
              <w:ind w:right="790"/>
              <w:spacing w:after="0"/>
              <w:rPr>
                <w:sz w:val="20"/>
                <w:szCs w:val="20"/>
                <w:color w:val="auto"/>
              </w:rPr>
            </w:pPr>
            <w:r>
              <w:rPr>
                <w:rFonts w:ascii="Arial" w:cs="Arial" w:eastAsia="Arial" w:hAnsi="Arial"/>
                <w:sz w:val="18"/>
                <w:szCs w:val="18"/>
                <w:color w:val="auto"/>
                <w:w w:val="90"/>
              </w:rPr>
              <w:t>Title of each class</w:t>
            </w:r>
          </w:p>
        </w:tc>
        <w:tc>
          <w:tcPr>
            <w:tcW w:w="21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3"/>
              </w:rPr>
              <w:t>Symbol(s)</w:t>
            </w:r>
          </w:p>
        </w:tc>
        <w:tc>
          <w:tcPr>
            <w:tcW w:w="436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00" w:type="dxa"/>
            <w:vAlign w:val="bottom"/>
          </w:tcPr>
          <w:p>
            <w:pPr>
              <w:jc w:val="center"/>
              <w:ind w:right="770"/>
              <w:spacing w:after="0"/>
              <w:rPr>
                <w:sz w:val="20"/>
                <w:szCs w:val="20"/>
                <w:color w:val="auto"/>
              </w:rPr>
            </w:pPr>
            <w:r>
              <w:rPr>
                <w:rFonts w:ascii="Arial" w:cs="Arial" w:eastAsia="Arial" w:hAnsi="Arial"/>
                <w:sz w:val="18"/>
                <w:szCs w:val="18"/>
                <w:color w:val="auto"/>
                <w:w w:val="89"/>
              </w:rPr>
              <w:t>Common Stock, par value $0.001 per share</w:t>
            </w:r>
          </w:p>
        </w:tc>
        <w:tc>
          <w:tcPr>
            <w:tcW w:w="2180" w:type="dxa"/>
            <w:vAlign w:val="bottom"/>
          </w:tcPr>
          <w:p>
            <w:pPr>
              <w:jc w:val="center"/>
              <w:ind w:right="210"/>
              <w:spacing w:after="0"/>
              <w:rPr>
                <w:sz w:val="20"/>
                <w:szCs w:val="20"/>
                <w:color w:val="auto"/>
              </w:rPr>
            </w:pPr>
            <w:r>
              <w:rPr>
                <w:rFonts w:ascii="Arial" w:cs="Arial" w:eastAsia="Arial" w:hAnsi="Arial"/>
                <w:sz w:val="18"/>
                <w:szCs w:val="18"/>
                <w:color w:val="auto"/>
                <w:w w:val="98"/>
              </w:rPr>
              <w:t>MRKR</w:t>
            </w:r>
          </w:p>
        </w:tc>
        <w:tc>
          <w:tcPr>
            <w:tcW w:w="4360" w:type="dxa"/>
            <w:vAlign w:val="bottom"/>
          </w:tcPr>
          <w:p>
            <w:pPr>
              <w:jc w:val="center"/>
              <w:ind w:left="470"/>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On March 9, 2021, Marker Therapeutics, Inc. (the “Company”) reported financial results for the fiscal year ended December 31, 2020 and other recent corporate updates. A copy of the press release is furnished as Exhibit 99.1 to this report and incorporated by reference.</w:t>
      </w:r>
    </w:p>
    <w:p>
      <w:pPr>
        <w:spacing w:after="0" w:line="14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information in this Item 2.02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(d) Exhibits.</w:t>
            </w:r>
          </w:p>
        </w:tc>
        <w:tc>
          <w:tcPr>
            <w:tcW w:w="220" w:type="dxa"/>
            <w:vAlign w:val="bottom"/>
          </w:tcPr>
          <w:p>
            <w:pPr>
              <w:spacing w:after="0"/>
              <w:rPr>
                <w:sz w:val="20"/>
                <w:szCs w:val="20"/>
                <w:color w:val="auto"/>
              </w:rPr>
            </w:pPr>
          </w:p>
        </w:tc>
        <w:tc>
          <w:tcPr>
            <w:tcW w:w="9880" w:type="dxa"/>
            <w:vAlign w:val="bottom"/>
          </w:tcPr>
          <w:p>
            <w:pPr>
              <w:spacing w:after="0"/>
              <w:rPr>
                <w:sz w:val="20"/>
                <w:szCs w:val="20"/>
                <w:color w:val="auto"/>
              </w:rPr>
            </w:pPr>
          </w:p>
        </w:tc>
      </w:tr>
      <w:tr>
        <w:trPr>
          <w:trHeight w:val="432"/>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4"/>
                <w:szCs w:val="24"/>
                <w:color w:val="auto"/>
              </w:rPr>
            </w:pPr>
          </w:p>
        </w:tc>
        <w:tc>
          <w:tcPr>
            <w:tcW w:w="9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1140" w:type="dxa"/>
            <w:vAlign w:val="bottom"/>
          </w:tcPr>
          <w:p>
            <w:pPr>
              <w:spacing w:after="0" w:line="195"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220" w:type="dxa"/>
            <w:vAlign w:val="bottom"/>
          </w:tcPr>
          <w:p>
            <w:pPr>
              <w:spacing w:after="0"/>
              <w:rPr>
                <w:sz w:val="16"/>
                <w:szCs w:val="16"/>
                <w:color w:val="auto"/>
              </w:rPr>
            </w:pPr>
          </w:p>
        </w:tc>
        <w:tc>
          <w:tcPr>
            <w:tcW w:w="9880" w:type="dxa"/>
            <w:vAlign w:val="bottom"/>
          </w:tcPr>
          <w:p>
            <w:pPr>
              <w:spacing w:after="0" w:line="195"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issued on March 9, 2021</w:t>
              </w:r>
            </w:hyperlink>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Inline XBRL for the cover page of this Current Report on Form 8-K</w:t>
            </w:r>
          </w:p>
        </w:tc>
      </w:tr>
      <w:tr>
        <w:trPr>
          <w:trHeight w:val="675"/>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Dated: March 9, 2021</w:t>
            </w:r>
          </w:p>
        </w:tc>
        <w:tc>
          <w:tcPr>
            <w:tcW w:w="7620" w:type="dxa"/>
            <w:vAlign w:val="bottom"/>
            <w:gridSpan w:val="2"/>
          </w:tcPr>
          <w:p>
            <w:pPr>
              <w:ind w:left="2020"/>
              <w:spacing w:after="0"/>
              <w:rPr>
                <w:sz w:val="20"/>
                <w:szCs w:val="20"/>
                <w:color w:val="auto"/>
              </w:rPr>
            </w:pPr>
            <w:r>
              <w:rPr>
                <w:rFonts w:ascii="Arial" w:cs="Arial" w:eastAsia="Arial" w:hAnsi="Arial"/>
                <w:sz w:val="18"/>
                <w:szCs w:val="18"/>
                <w:color w:val="auto"/>
              </w:rPr>
              <w:t>By: /s/ Anthony Kim</w:t>
            </w:r>
          </w:p>
        </w:tc>
      </w:tr>
      <w:tr>
        <w:trPr>
          <w:trHeight w:val="195"/>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Anthony Kim</w:t>
            </w:r>
          </w:p>
        </w:tc>
      </w:tr>
      <w:tr>
        <w:trPr>
          <w:trHeight w:val="230"/>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675"/>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962785" cy="47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6278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Reports Fiscal Year 2020 Operating and Financial Results</w:t>
      </w:r>
    </w:p>
    <w:p>
      <w:pPr>
        <w:spacing w:after="0" w:line="229" w:lineRule="exact"/>
        <w:rPr>
          <w:sz w:val="20"/>
          <w:szCs w:val="20"/>
          <w:color w:val="auto"/>
        </w:rPr>
      </w:pPr>
    </w:p>
    <w:p>
      <w:pPr>
        <w:ind w:left="920" w:right="260" w:hanging="4306"/>
        <w:spacing w:after="0" w:line="277" w:lineRule="auto"/>
        <w:tabs>
          <w:tab w:leader="none" w:pos="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i w:val="1"/>
          <w:iCs w:val="1"/>
          <w:color w:val="auto"/>
        </w:rPr>
        <w:t>Dosed first patient in the Company's Phase 2 trial of MT-401, its lead MultiTAA-specific T cell product candidate, for the treatment of post-transplant acute myeloid leukemia –</w:t>
      </w:r>
    </w:p>
    <w:p>
      <w:pPr>
        <w:spacing w:after="0" w:line="170" w:lineRule="exact"/>
        <w:rPr>
          <w:sz w:val="20"/>
          <w:szCs w:val="20"/>
          <w:color w:val="auto"/>
        </w:rPr>
      </w:pPr>
    </w:p>
    <w:p>
      <w:pPr>
        <w:ind w:left="700" w:hanging="368"/>
        <w:spacing w:after="0"/>
        <w:tabs>
          <w:tab w:leader="none" w:pos="70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Completed construction of new in-house cGMP manufacturing facility in Houston to supply MultiTAA-specific T cell products, including MT-401,</w:t>
      </w:r>
    </w:p>
    <w:p>
      <w:pPr>
        <w:spacing w:after="0" w:line="46" w:lineRule="exact"/>
        <w:rPr>
          <w:rFonts w:ascii="Arial" w:cs="Arial" w:eastAsia="Arial" w:hAnsi="Arial"/>
          <w:sz w:val="16"/>
          <w:szCs w:val="16"/>
          <w:color w:val="auto"/>
        </w:rPr>
      </w:pPr>
    </w:p>
    <w:p>
      <w:pPr>
        <w:ind w:left="2080"/>
        <w:spacing w:after="0"/>
        <w:rPr>
          <w:rFonts w:ascii="Arial" w:cs="Arial" w:eastAsia="Arial" w:hAnsi="Arial"/>
          <w:sz w:val="16"/>
          <w:szCs w:val="16"/>
          <w:color w:val="auto"/>
        </w:rPr>
      </w:pPr>
      <w:r>
        <w:rPr>
          <w:rFonts w:ascii="Arial" w:cs="Arial" w:eastAsia="Arial" w:hAnsi="Arial"/>
          <w:sz w:val="18"/>
          <w:szCs w:val="18"/>
          <w:i w:val="1"/>
          <w:iCs w:val="1"/>
          <w:color w:val="auto"/>
        </w:rPr>
        <w:t>for clinical activities and potential commercialization; facility expected to be fully operational in 1H 2021 -</w:t>
      </w:r>
    </w:p>
    <w:p>
      <w:pPr>
        <w:spacing w:after="0" w:line="20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Houston, TX—March 9, 2021—</w:t>
      </w:r>
      <w:r>
        <w:rPr>
          <w:rFonts w:ascii="Arial" w:cs="Arial" w:eastAsia="Arial" w:hAnsi="Arial"/>
          <w:sz w:val="18"/>
          <w:szCs w:val="18"/>
          <w:color w:val="auto"/>
        </w:rPr>
        <w:t>Marker Therapeutics, Inc. (Nasdaq:MRKR), a clinical-stage immuno-oncology company specializing in the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of next-generation T cell-based immunotherapies for the treatment of hematological malignancies and solid tumor indications, today provided a corporate update and reported financial results for the fiscal year ended December 31, 2020.</w:t>
      </w:r>
    </w:p>
    <w:p>
      <w:pPr>
        <w:spacing w:after="0" w:line="18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proud of our Company’s continued progress, which has positioned us for a busy and productive year ahead,” said Peter L. Hoang, President &amp; CEO of Marker Therapeutics. “Recently, we dosed the first patient in the safety lead-in portion of our Phase 2 trial in post-transplant acute myeloid leukemia (AML). In the fourth quarter, we completed construction of a new in-house cGMP manufacturing facility in Houston, which we anticipate will be fully operational in the first half of this year. We also continue to optimize the MT-401 cell therapy manufacturing process, which we believe could result in an increase in the number of T cells available for patient administration, superior T cell phenotype and antigen specificity, and the potential for improved patient outcomes.”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PROGRAM UPDATES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MT-401: Multi-Antigen Targeted (MultiTAA)-Specific T Cell Product Candidate for AML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2 AML Trial</w:t>
      </w:r>
    </w:p>
    <w:p>
      <w:pPr>
        <w:spacing w:after="0" w:line="229" w:lineRule="exact"/>
        <w:rPr>
          <w:sz w:val="20"/>
          <w:szCs w:val="20"/>
          <w:color w:val="auto"/>
        </w:rPr>
      </w:pPr>
    </w:p>
    <w:p>
      <w:pPr>
        <w:jc w:val="both"/>
        <w:ind w:left="660" w:right="28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March 2021, Marker dosed the first patient in the safety lead-in portion of its Phase 2 trial in AML. The safety lead-in is expected to enroll a total of six patients: three of which will be treated with MT-401 manufactured with a legacy reagent, and the remaining three to be treated with study drug manufactured with a new reagent from an alternate supplier.</w:t>
      </w:r>
    </w:p>
    <w:p>
      <w:pPr>
        <w:spacing w:after="0" w:line="183" w:lineRule="exact"/>
        <w:rPr>
          <w:rFonts w:ascii="Arial" w:cs="Arial" w:eastAsia="Arial" w:hAnsi="Arial"/>
          <w:sz w:val="18"/>
          <w:szCs w:val="18"/>
          <w:color w:val="auto"/>
        </w:rPr>
      </w:pPr>
    </w:p>
    <w:p>
      <w:pPr>
        <w:ind w:left="660" w:right="22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date, Marker has activated seven clinical sites and is in the start-up phase with additional clinical sites to enroll patients for the safety lead-in portion of the AML trial. The Company has also received commitments from additional clinical sites to participate in the Phase 2 AML trial following the safety lead-in phase and anticipates activating a total of approximately 20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Manufacturing and Process Improvements</w:t>
      </w:r>
    </w:p>
    <w:p>
      <w:pPr>
        <w:spacing w:after="0" w:line="229" w:lineRule="exact"/>
        <w:rPr>
          <w:sz w:val="20"/>
          <w:szCs w:val="20"/>
          <w:color w:val="auto"/>
        </w:rPr>
      </w:pPr>
    </w:p>
    <w:p>
      <w:pPr>
        <w:ind w:left="660" w:right="30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Marker continues to streamline and simplify the MT-401 manufacturing process. The technical improvements include a 50% reduction in manufacturing time, a 90%+ reduction in the number of required operator interventions, and significant improvement in the consistency and reproducibility of the manufacturing process, while yielding a significant increase in the number of T cells available for patient administration. The Company believes the new process could yield a measurably improved product, with superior T cell phenotype and antigen specificity as compared to the original process. The new process improvements have been updated in the CMC section of the IND and will be used for all patients in the Marker AML Phase 2 clinical trial.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UPDATES</w:t>
      </w:r>
    </w:p>
    <w:p>
      <w:pPr>
        <w:spacing w:after="0" w:line="229" w:lineRule="exact"/>
        <w:rPr>
          <w:sz w:val="20"/>
          <w:szCs w:val="20"/>
          <w:color w:val="auto"/>
        </w:rPr>
      </w:pPr>
    </w:p>
    <w:p>
      <w:pPr>
        <w:ind w:left="340" w:right="40" w:hanging="332"/>
        <w:spacing w:after="0" w:line="275"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completed the construction and qualification of its cGMP manufacturing facility in Houston, TX, located near the George Bush Intercontinental Airport. The facility will allow production of MultiTAA-specific T cell products according to U.S. FDA guidelines and is designed to be scalable using modular processes. The facility will be used to support the manufacture of study drug for Marker’s Phase 2 AML trial (MT-401) and for future hematological and solid tumor trials, in addition to the potential commercialization of any approved products. The Company has initiated the technology transfer process and expects the facility to be fully operational in the first half of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2020 FINANCIAL RESULTS</w:t>
      </w:r>
    </w:p>
    <w:p>
      <w:pPr>
        <w:spacing w:after="0" w:line="225"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 xml:space="preserve">Cash Position and Guidance: </w:t>
      </w:r>
      <w:r>
        <w:rPr>
          <w:rFonts w:ascii="Arial" w:cs="Arial" w:eastAsia="Arial" w:hAnsi="Arial"/>
          <w:sz w:val="18"/>
          <w:szCs w:val="18"/>
          <w:color w:val="auto"/>
        </w:rPr>
        <w:t>At December 31, 2020, Marker had cash and cash equivalents of $21.4 million. The Company raised $6.2 million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the previously executed $30 million common stock purchase agreement with Aspire Capital Fund, LLC. The remaining $23.8 million available to Marker from Aspire Capital, along with current cash available, funds operations into Q1 2022.</w:t>
      </w:r>
    </w:p>
    <w:p>
      <w:pPr>
        <w:spacing w:after="0" w:line="176"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R&amp;D Expenses: </w:t>
      </w:r>
      <w:r>
        <w:rPr>
          <w:rFonts w:ascii="Arial" w:cs="Arial" w:eastAsia="Arial" w:hAnsi="Arial"/>
          <w:sz w:val="18"/>
          <w:szCs w:val="18"/>
          <w:color w:val="auto"/>
        </w:rPr>
        <w:t>Research and development expenses were $18.9 million for the year ended December 31, 2020, compared to $12.8 million for the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ended December 31, 2019.</w:t>
      </w:r>
    </w:p>
    <w:p>
      <w:pPr>
        <w:spacing w:after="0" w:line="16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G&amp;A Expenses: </w:t>
      </w:r>
      <w:r>
        <w:rPr>
          <w:rFonts w:ascii="Arial" w:cs="Arial" w:eastAsia="Arial" w:hAnsi="Arial"/>
          <w:sz w:val="18"/>
          <w:szCs w:val="18"/>
          <w:color w:val="auto"/>
        </w:rPr>
        <w:t>General and administrative expenses were $10.5 million for the year ended December 31, 2020, compared to $10.0 million for the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ended December 31, 2019.</w:t>
      </w:r>
    </w:p>
    <w:p>
      <w:pPr>
        <w:spacing w:after="0" w:line="16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Marker reported a net loss of $28.7 million for the year ended December 31, 2020, compared to a net loss of $21.4 million for the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2019.</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Marker Therapeutics, Inc.</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receive future press releases via email, please visit: </w:t>
      </w:r>
      <w:r>
        <w:rPr>
          <w:rFonts w:ascii="Arial" w:cs="Arial" w:eastAsia="Arial" w:hAnsi="Arial"/>
          <w:sz w:val="18"/>
          <w:szCs w:val="18"/>
          <w:u w:val="single" w:color="auto"/>
          <w:color w:val="auto"/>
        </w:rPr>
        <w:t>https://www.markertherapeutics.com/email-alerts</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timing, conduct and success of our clinical trials, including the Phase 2 trial of MT-401, as well as clinical trials conducted by our collaborators; the timing and success of the technology transfer process related to our planned manufacturing facility and the receipt of regulatory approval for the related cGMP; our manufacturing processes and our ability to use our current and planned manufacturing facilities to support clinical and commercial demand.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Such risks and uncertainties may be amplified by the COVID-19 pandemic and its impact on our business and the global economy. The Company assumes no obligation to update our forward-looking statements whether as a result of new information, future events or otherwise, after the date of this press release.</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380" w:type="dxa"/>
            <w:vAlign w:val="bottom"/>
          </w:tcPr>
          <w:p>
            <w:pPr>
              <w:spacing w:after="0"/>
              <w:rPr>
                <w:sz w:val="20"/>
                <w:szCs w:val="20"/>
                <w:color w:val="auto"/>
              </w:rPr>
            </w:pPr>
            <w:r>
              <w:rPr>
                <w:rFonts w:ascii="Arial" w:cs="Arial" w:eastAsia="Arial" w:hAnsi="Arial"/>
                <w:sz w:val="18"/>
                <w:szCs w:val="18"/>
                <w:b w:val="1"/>
                <w:bCs w:val="1"/>
                <w:color w:val="auto"/>
              </w:rPr>
              <w:t>Consolidated Balance Sheets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8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83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09"/>
        </w:trPr>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Current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21,352,382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43,903,949</w:t>
            </w:r>
          </w:p>
        </w:tc>
      </w:tr>
      <w:tr>
        <w:trPr>
          <w:trHeight w:val="216"/>
        </w:trPr>
        <w:tc>
          <w:tcPr>
            <w:tcW w:w="8380" w:type="dxa"/>
            <w:vAlign w:val="bottom"/>
          </w:tcPr>
          <w:p>
            <w:pPr>
              <w:ind w:left="260"/>
              <w:spacing w:after="0"/>
              <w:rPr>
                <w:sz w:val="20"/>
                <w:szCs w:val="20"/>
                <w:color w:val="auto"/>
              </w:rPr>
            </w:pPr>
            <w:r>
              <w:rPr>
                <w:rFonts w:ascii="Arial" w:cs="Arial" w:eastAsia="Arial" w:hAnsi="Arial"/>
                <w:sz w:val="18"/>
                <w:szCs w:val="18"/>
                <w:color w:val="auto"/>
              </w:rPr>
              <w:t>Prepaid expenses and deposits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2,057,924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1,526,442</w:t>
            </w:r>
          </w:p>
        </w:tc>
      </w:tr>
      <w:tr>
        <w:trPr>
          <w:trHeight w:val="216"/>
        </w:trPr>
        <w:tc>
          <w:tcPr>
            <w:tcW w:w="8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receivable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56,189</w:t>
            </w:r>
          </w:p>
        </w:tc>
      </w:tr>
      <w:tr>
        <w:trPr>
          <w:trHeight w:val="229"/>
        </w:trPr>
        <w:tc>
          <w:tcPr>
            <w:tcW w:w="8380" w:type="dxa"/>
            <w:vAlign w:val="bottom"/>
          </w:tcPr>
          <w:p>
            <w:pPr>
              <w:ind w:left="260"/>
              <w:spacing w:after="0"/>
              <w:rPr>
                <w:sz w:val="20"/>
                <w:szCs w:val="20"/>
                <w:color w:val="auto"/>
              </w:rPr>
            </w:pPr>
            <w:r>
              <w:rPr>
                <w:rFonts w:ascii="Arial" w:cs="Arial" w:eastAsia="Arial" w:hAnsi="Arial"/>
                <w:sz w:val="18"/>
                <w:szCs w:val="18"/>
                <w:color w:val="auto"/>
              </w:rPr>
              <w:t>Other receivable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3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24,410,865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45,486,580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380" w:type="dxa"/>
            <w:vAlign w:val="bottom"/>
          </w:tcPr>
          <w:p>
            <w:pPr>
              <w:spacing w:after="0"/>
              <w:rPr>
                <w:sz w:val="20"/>
                <w:szCs w:val="20"/>
                <w:color w:val="auto"/>
              </w:rPr>
            </w:pPr>
            <w:r>
              <w:rPr>
                <w:rFonts w:ascii="Arial" w:cs="Arial" w:eastAsia="Arial" w:hAnsi="Arial"/>
                <w:sz w:val="18"/>
                <w:szCs w:val="18"/>
                <w:color w:val="auto"/>
              </w:rPr>
              <w:t>Non-current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Property, plant and equipment,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3,570,736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417,528</w:t>
            </w:r>
          </w:p>
        </w:tc>
      </w:tr>
      <w:tr>
        <w:trPr>
          <w:trHeight w:val="216"/>
        </w:trPr>
        <w:tc>
          <w:tcPr>
            <w:tcW w:w="8380" w:type="dxa"/>
            <w:vAlign w:val="bottom"/>
          </w:tcPr>
          <w:p>
            <w:pPr>
              <w:ind w:left="260"/>
              <w:spacing w:after="0"/>
              <w:rPr>
                <w:sz w:val="20"/>
                <w:szCs w:val="20"/>
                <w:color w:val="auto"/>
              </w:rPr>
            </w:pPr>
            <w:r>
              <w:rPr>
                <w:rFonts w:ascii="Arial" w:cs="Arial" w:eastAsia="Arial" w:hAnsi="Arial"/>
                <w:sz w:val="18"/>
                <w:szCs w:val="18"/>
                <w:color w:val="auto"/>
              </w:rPr>
              <w:t>Construction in progress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6,789,098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8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Right-of-use assets, net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10,844,116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455,174</w:t>
            </w:r>
          </w:p>
        </w:tc>
      </w:tr>
      <w:tr>
        <w:trPr>
          <w:trHeight w:val="209"/>
        </w:trPr>
        <w:tc>
          <w:tcPr>
            <w:tcW w:w="83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non-current assets</w:t>
            </w: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21,203,950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872,702</w:t>
            </w:r>
          </w:p>
        </w:tc>
        <w:tc>
          <w:tcPr>
            <w:tcW w:w="100" w:type="dxa"/>
            <w:vAlign w:val="bottom"/>
            <w:tcBorders>
              <w:bottom w:val="single" w:sz="8" w:color="CCEEFF"/>
            </w:tcBorders>
          </w:tcPr>
          <w:p>
            <w:pPr>
              <w:spacing w:after="0"/>
              <w:rPr>
                <w:sz w:val="18"/>
                <w:szCs w:val="18"/>
                <w:color w:val="auto"/>
              </w:rPr>
            </w:pPr>
          </w:p>
        </w:tc>
      </w:tr>
      <w:tr>
        <w:trPr>
          <w:trHeight w:val="210"/>
        </w:trPr>
        <w:tc>
          <w:tcPr>
            <w:tcW w:w="8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83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45,614,815</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46,359,282</w:t>
            </w:r>
          </w:p>
        </w:tc>
      </w:tr>
      <w:tr>
        <w:trPr>
          <w:trHeight w:val="197"/>
        </w:trPr>
        <w:tc>
          <w:tcPr>
            <w:tcW w:w="83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Current liabilities: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6,013,010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1,757,680</w:t>
            </w:r>
          </w:p>
        </w:tc>
      </w:tr>
      <w:tr>
        <w:trPr>
          <w:trHeight w:val="216"/>
        </w:trPr>
        <w:tc>
          <w:tcPr>
            <w:tcW w:w="8380" w:type="dxa"/>
            <w:vAlign w:val="bottom"/>
          </w:tcPr>
          <w:p>
            <w:pPr>
              <w:ind w:left="260"/>
              <w:spacing w:after="0"/>
              <w:rPr>
                <w:sz w:val="20"/>
                <w:szCs w:val="20"/>
                <w:color w:val="auto"/>
              </w:rPr>
            </w:pPr>
            <w:r>
              <w:rPr>
                <w:rFonts w:ascii="Arial" w:cs="Arial" w:eastAsia="Arial" w:hAnsi="Arial"/>
                <w:sz w:val="18"/>
                <w:szCs w:val="18"/>
                <w:color w:val="auto"/>
              </w:rPr>
              <w:t>Lease liability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388,792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204,132</w:t>
            </w:r>
          </w:p>
        </w:tc>
      </w:tr>
      <w:tr>
        <w:trPr>
          <w:trHeight w:val="229"/>
        </w:trPr>
        <w:tc>
          <w:tcPr>
            <w:tcW w:w="8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Warrant liability</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31,000</w:t>
            </w:r>
          </w:p>
        </w:tc>
      </w:tr>
      <w:tr>
        <w:trPr>
          <w:trHeight w:val="210"/>
        </w:trPr>
        <w:tc>
          <w:tcPr>
            <w:tcW w:w="83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current liabilities</w:t>
            </w: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6,401,802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1,992,812</w:t>
            </w:r>
          </w:p>
        </w:tc>
        <w:tc>
          <w:tcPr>
            <w:tcW w:w="100" w:type="dxa"/>
            <w:vAlign w:val="bottom"/>
            <w:tcBorders>
              <w:bottom w:val="single" w:sz="8" w:color="CCEEFF"/>
            </w:tcBorders>
          </w:tcPr>
          <w:p>
            <w:pPr>
              <w:spacing w:after="0"/>
              <w:rPr>
                <w:sz w:val="18"/>
                <w:szCs w:val="18"/>
                <w:color w:val="auto"/>
              </w:rPr>
            </w:pPr>
          </w:p>
        </w:tc>
      </w:tr>
      <w:tr>
        <w:trPr>
          <w:trHeight w:val="210"/>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380" w:type="dxa"/>
            <w:vAlign w:val="bottom"/>
          </w:tcPr>
          <w:p>
            <w:pPr>
              <w:ind w:left="260"/>
              <w:spacing w:after="0"/>
              <w:rPr>
                <w:sz w:val="20"/>
                <w:szCs w:val="20"/>
                <w:color w:val="auto"/>
              </w:rPr>
            </w:pPr>
            <w:r>
              <w:rPr>
                <w:rFonts w:ascii="Arial" w:cs="Arial" w:eastAsia="Arial" w:hAnsi="Arial"/>
                <w:sz w:val="18"/>
                <w:szCs w:val="18"/>
                <w:color w:val="auto"/>
              </w:rPr>
              <w:t>Lease liability, net of current portion</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11,868,440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280,247</w:t>
            </w:r>
          </w:p>
        </w:tc>
      </w:tr>
      <w:tr>
        <w:trPr>
          <w:trHeight w:val="210"/>
        </w:trPr>
        <w:tc>
          <w:tcPr>
            <w:tcW w:w="83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liabilities</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11,868,440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18,270,242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2,273,059</w:t>
            </w:r>
          </w:p>
        </w:tc>
      </w:tr>
      <w:tr>
        <w:trPr>
          <w:trHeight w:val="210"/>
        </w:trPr>
        <w:tc>
          <w:tcPr>
            <w:tcW w:w="8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380" w:type="dxa"/>
            <w:vAlign w:val="bottom"/>
          </w:tcPr>
          <w:p>
            <w:pPr>
              <w:ind w:left="260"/>
              <w:spacing w:after="0" w:line="201" w:lineRule="exact"/>
              <w:rPr>
                <w:sz w:val="20"/>
                <w:szCs w:val="20"/>
                <w:color w:val="auto"/>
              </w:rPr>
            </w:pPr>
            <w:r>
              <w:rPr>
                <w:rFonts w:ascii="Arial" w:cs="Arial" w:eastAsia="Arial" w:hAnsi="Arial"/>
                <w:sz w:val="18"/>
                <w:szCs w:val="18"/>
                <w:color w:val="auto"/>
                <w:w w:val="89"/>
              </w:rPr>
              <w:t>Preferred stock - $0.001 par value, 5 million shares authorized and 0 shares issued and outstanding at December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380" w:type="dxa"/>
            <w:vAlign w:val="bottom"/>
          </w:tcPr>
          <w:p>
            <w:pPr>
              <w:ind w:left="260"/>
              <w:spacing w:after="0"/>
              <w:rPr>
                <w:sz w:val="20"/>
                <w:szCs w:val="20"/>
                <w:color w:val="auto"/>
              </w:rPr>
            </w:pPr>
            <w:r>
              <w:rPr>
                <w:rFonts w:ascii="Arial" w:cs="Arial" w:eastAsia="Arial" w:hAnsi="Arial"/>
                <w:sz w:val="18"/>
                <w:szCs w:val="18"/>
                <w:color w:val="auto"/>
              </w:rPr>
              <w:t>31, 2020 and 2019, respectively</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38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4"/>
              </w:rPr>
              <w:t>Common stock, $0.001 par value, 150 million shares authorized, 50.7 million and 45.7 million shares issued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and outstanding as of December 31, 2020 and 2019, respectively</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50,731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45,728</w:t>
            </w:r>
          </w:p>
        </w:tc>
      </w:tr>
      <w:tr>
        <w:trPr>
          <w:trHeight w:val="216"/>
        </w:trPr>
        <w:tc>
          <w:tcPr>
            <w:tcW w:w="83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383,533,326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371,573,909</w:t>
            </w:r>
          </w:p>
        </w:tc>
      </w:tr>
      <w:tr>
        <w:trPr>
          <w:trHeight w:val="230"/>
        </w:trPr>
        <w:tc>
          <w:tcPr>
            <w:tcW w:w="8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Accumulated deficit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(356,239,484)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(327,533,414)</w:t>
            </w:r>
          </w:p>
        </w:tc>
      </w:tr>
      <w:tr>
        <w:trPr>
          <w:trHeight w:val="209"/>
        </w:trPr>
        <w:tc>
          <w:tcPr>
            <w:tcW w:w="8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27,344,573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44,086,223</w:t>
            </w:r>
          </w:p>
        </w:tc>
        <w:tc>
          <w:tcPr>
            <w:tcW w:w="100" w:type="dxa"/>
            <w:vAlign w:val="bottom"/>
            <w:tcBorders>
              <w:bottom w:val="single" w:sz="8" w:color="CCEEFF"/>
            </w:tcBorders>
          </w:tcPr>
          <w:p>
            <w:pPr>
              <w:spacing w:after="0"/>
              <w:rPr>
                <w:sz w:val="18"/>
                <w:szCs w:val="18"/>
                <w:color w:val="auto"/>
              </w:rPr>
            </w:pPr>
          </w:p>
        </w:tc>
      </w:tr>
      <w:tr>
        <w:trPr>
          <w:trHeight w:val="210"/>
        </w:trPr>
        <w:tc>
          <w:tcPr>
            <w:tcW w:w="8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83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45,614,815</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46,359,282</w:t>
            </w:r>
          </w:p>
        </w:tc>
      </w:tr>
      <w:tr>
        <w:trPr>
          <w:trHeight w:val="20"/>
        </w:trPr>
        <w:tc>
          <w:tcPr>
            <w:tcW w:w="8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8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700395"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Grant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00395"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70039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General and administrative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0039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039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Change in fair value of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70039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338"/>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right="2338"/>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3627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11" w:lineRule="exact"/>
        <w:rPr>
          <w:sz w:val="20"/>
          <w:szCs w:val="20"/>
          <w:color w:val="auto"/>
        </w:rPr>
      </w:pPr>
    </w:p>
    <w:p>
      <w:pPr>
        <w:ind w:left="322"/>
        <w:spacing w:after="0"/>
        <w:tabs>
          <w:tab w:leader="none" w:pos="1462"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56" w:lineRule="exact"/>
        <w:rPr>
          <w:sz w:val="20"/>
          <w:szCs w:val="20"/>
          <w:color w:val="auto"/>
        </w:rPr>
      </w:pPr>
    </w:p>
    <w:p>
      <w:pPr>
        <w:ind w:left="422" w:hanging="422"/>
        <w:spacing w:after="0"/>
        <w:tabs>
          <w:tab w:leader="none" w:pos="422" w:val="left"/>
        </w:tabs>
        <w:numPr>
          <w:ilvl w:val="0"/>
          <w:numId w:val="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466,785  $    213,194</w:t>
      </w:r>
    </w:p>
    <w:p>
      <w:pPr>
        <w:spacing w:after="0" w:line="23" w:lineRule="exact"/>
        <w:rPr>
          <w:rFonts w:ascii="Arial" w:cs="Arial" w:eastAsia="Arial" w:hAnsi="Arial"/>
          <w:sz w:val="18"/>
          <w:szCs w:val="18"/>
          <w:u w:val="single" w:color="auto"/>
          <w:color w:val="auto"/>
        </w:rPr>
      </w:pPr>
    </w:p>
    <w:p>
      <w:pPr>
        <w:ind w:left="422"/>
        <w:spacing w:after="0"/>
        <w:rPr>
          <w:rFonts w:ascii="Arial" w:cs="Arial" w:eastAsia="Arial" w:hAnsi="Arial"/>
          <w:sz w:val="18"/>
          <w:szCs w:val="18"/>
          <w:u w:val="single" w:color="auto"/>
          <w:color w:val="auto"/>
        </w:rPr>
      </w:pPr>
      <w:r>
        <w:rPr>
          <w:rFonts w:ascii="Arial" w:cs="Arial" w:eastAsia="Arial" w:hAnsi="Arial"/>
          <w:sz w:val="18"/>
          <w:szCs w:val="18"/>
          <w:color w:val="auto"/>
        </w:rPr>
        <w:t>466,785</w:t>
      </w:r>
      <w:r>
        <w:rPr>
          <w:rFonts w:ascii="Arial" w:cs="Arial" w:eastAsia="Arial" w:hAnsi="Arial"/>
          <w:sz w:val="16"/>
          <w:szCs w:val="16"/>
          <w:color w:val="auto"/>
        </w:rPr>
        <w:t>213,194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3627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18" w:lineRule="exact"/>
        <w:rPr>
          <w:sz w:val="20"/>
          <w:szCs w:val="20"/>
          <w:color w:val="auto"/>
        </w:rPr>
      </w:pPr>
    </w:p>
    <w:p>
      <w:pPr>
        <w:ind w:left="182"/>
        <w:spacing w:after="0"/>
        <w:tabs>
          <w:tab w:leader="none" w:pos="1322" w:val="left"/>
        </w:tabs>
        <w:rPr>
          <w:sz w:val="20"/>
          <w:szCs w:val="20"/>
          <w:color w:val="auto"/>
        </w:rPr>
      </w:pPr>
      <w:r>
        <w:rPr>
          <w:rFonts w:ascii="Arial" w:cs="Arial" w:eastAsia="Arial" w:hAnsi="Arial"/>
          <w:sz w:val="17"/>
          <w:szCs w:val="17"/>
          <w:color w:val="auto"/>
        </w:rPr>
        <w:t>18,880,751</w:t>
      </w:r>
      <w:r>
        <w:rPr>
          <w:sz w:val="20"/>
          <w:szCs w:val="20"/>
          <w:color w:val="auto"/>
        </w:rPr>
        <w:tab/>
      </w:r>
      <w:r>
        <w:rPr>
          <w:rFonts w:ascii="Arial" w:cs="Arial" w:eastAsia="Arial" w:hAnsi="Arial"/>
          <w:sz w:val="17"/>
          <w:szCs w:val="17"/>
          <w:color w:val="auto"/>
        </w:rPr>
        <w:t>12,764,804</w:t>
      </w:r>
    </w:p>
    <w:p>
      <w:pPr>
        <w:spacing w:after="0" w:line="35" w:lineRule="exact"/>
        <w:rPr>
          <w:sz w:val="20"/>
          <w:szCs w:val="20"/>
          <w:color w:val="auto"/>
        </w:rPr>
      </w:pPr>
    </w:p>
    <w:p>
      <w:pPr>
        <w:ind w:left="182"/>
        <w:spacing w:after="0"/>
        <w:tabs>
          <w:tab w:leader="none" w:pos="1402" w:val="left"/>
        </w:tabs>
        <w:rPr>
          <w:sz w:val="20"/>
          <w:szCs w:val="20"/>
          <w:color w:val="auto"/>
        </w:rPr>
      </w:pPr>
      <w:r>
        <w:rPr>
          <w:rFonts w:ascii="Arial" w:cs="Arial" w:eastAsia="Arial" w:hAnsi="Arial"/>
          <w:sz w:val="17"/>
          <w:szCs w:val="17"/>
          <w:color w:val="auto"/>
        </w:rPr>
        <w:t>10,471,846</w:t>
      </w:r>
      <w:r>
        <w:rPr>
          <w:sz w:val="20"/>
          <w:szCs w:val="20"/>
          <w:color w:val="auto"/>
        </w:rPr>
        <w:tab/>
      </w:r>
      <w:r>
        <w:rPr>
          <w:rFonts w:ascii="Arial" w:cs="Arial" w:eastAsia="Arial" w:hAnsi="Arial"/>
          <w:sz w:val="17"/>
          <w:szCs w:val="17"/>
          <w:color w:val="auto"/>
        </w:rPr>
        <w:t>9,977,196</w:t>
      </w:r>
    </w:p>
    <w:p>
      <w:pPr>
        <w:spacing w:after="0" w:line="34" w:lineRule="exact"/>
        <w:rPr>
          <w:sz w:val="20"/>
          <w:szCs w:val="20"/>
          <w:color w:val="auto"/>
        </w:rPr>
      </w:pPr>
    </w:p>
    <w:p>
      <w:pPr>
        <w:ind w:left="182"/>
        <w:spacing w:after="0"/>
        <w:tabs>
          <w:tab w:leader="none" w:pos="1322" w:val="left"/>
        </w:tabs>
        <w:rPr>
          <w:sz w:val="20"/>
          <w:szCs w:val="20"/>
          <w:color w:val="auto"/>
        </w:rPr>
      </w:pPr>
      <w:r>
        <w:rPr>
          <w:rFonts w:ascii="Arial" w:cs="Arial" w:eastAsia="Arial" w:hAnsi="Arial"/>
          <w:sz w:val="17"/>
          <w:szCs w:val="17"/>
          <w:color w:val="auto"/>
        </w:rPr>
        <w:t>29,352,597</w:t>
      </w:r>
      <w:r>
        <w:rPr>
          <w:sz w:val="20"/>
          <w:szCs w:val="20"/>
          <w:color w:val="auto"/>
        </w:rPr>
        <w:tab/>
      </w:r>
      <w:r>
        <w:rPr>
          <w:rFonts w:ascii="Arial" w:cs="Arial" w:eastAsia="Arial" w:hAnsi="Arial"/>
          <w:sz w:val="17"/>
          <w:szCs w:val="17"/>
          <w:color w:val="auto"/>
        </w:rPr>
        <w:t>22,742,000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13627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14" w:lineRule="exact"/>
        <w:rPr>
          <w:sz w:val="20"/>
          <w:szCs w:val="20"/>
          <w:color w:val="auto"/>
        </w:rPr>
      </w:pPr>
    </w:p>
    <w:p>
      <w:pPr>
        <w:ind w:left="122"/>
        <w:spacing w:after="0"/>
        <w:tabs>
          <w:tab w:leader="none" w:pos="1262" w:val="left"/>
        </w:tabs>
        <w:rPr>
          <w:sz w:val="20"/>
          <w:szCs w:val="20"/>
          <w:color w:val="auto"/>
        </w:rPr>
      </w:pPr>
      <w:r>
        <w:rPr>
          <w:rFonts w:ascii="Arial" w:cs="Arial" w:eastAsia="Arial" w:hAnsi="Arial"/>
          <w:sz w:val="16"/>
          <w:szCs w:val="16"/>
          <w:color w:val="auto"/>
        </w:rPr>
        <w:t>(28,885,812)</w:t>
        <w:tab/>
        <w:t>(22,528,806)</w:t>
      </w:r>
    </w:p>
    <w:p>
      <w:pPr>
        <w:spacing w:after="0" w:line="247" w:lineRule="exact"/>
        <w:rPr>
          <w:sz w:val="20"/>
          <w:szCs w:val="20"/>
          <w:color w:val="auto"/>
        </w:rPr>
      </w:pPr>
    </w:p>
    <w:p>
      <w:pPr>
        <w:ind w:left="502"/>
        <w:spacing w:after="0"/>
        <w:tabs>
          <w:tab w:leader="none" w:pos="1622" w:val="left"/>
        </w:tabs>
        <w:rPr>
          <w:sz w:val="20"/>
          <w:szCs w:val="20"/>
          <w:color w:val="auto"/>
        </w:rPr>
      </w:pPr>
      <w:r>
        <w:rPr>
          <w:rFonts w:ascii="Arial" w:cs="Arial" w:eastAsia="Arial" w:hAnsi="Arial"/>
          <w:sz w:val="18"/>
          <w:szCs w:val="18"/>
          <w:color w:val="auto"/>
        </w:rPr>
        <w:t>31,000</w:t>
      </w:r>
      <w:r>
        <w:rPr>
          <w:sz w:val="20"/>
          <w:szCs w:val="20"/>
          <w:color w:val="auto"/>
        </w:rPr>
        <w:tab/>
      </w:r>
      <w:r>
        <w:rPr>
          <w:rFonts w:ascii="Arial" w:cs="Arial" w:eastAsia="Arial" w:hAnsi="Arial"/>
          <w:sz w:val="18"/>
          <w:szCs w:val="18"/>
          <w:color w:val="auto"/>
        </w:rPr>
        <w:t>18,000</w:t>
      </w:r>
    </w:p>
    <w:p>
      <w:pPr>
        <w:spacing w:after="0" w:line="23" w:lineRule="exact"/>
        <w:rPr>
          <w:sz w:val="20"/>
          <w:szCs w:val="20"/>
          <w:color w:val="auto"/>
        </w:rPr>
      </w:pPr>
    </w:p>
    <w:p>
      <w:pPr>
        <w:ind w:left="422"/>
        <w:spacing w:after="0"/>
        <w:tabs>
          <w:tab w:leader="none" w:pos="1402" w:val="left"/>
        </w:tabs>
        <w:rPr>
          <w:sz w:val="20"/>
          <w:szCs w:val="20"/>
          <w:color w:val="auto"/>
        </w:rPr>
      </w:pPr>
      <w:r>
        <w:rPr>
          <w:rFonts w:ascii="Arial" w:cs="Arial" w:eastAsia="Arial" w:hAnsi="Arial"/>
          <w:sz w:val="17"/>
          <w:szCs w:val="17"/>
          <w:color w:val="auto"/>
        </w:rPr>
        <w:t>148,742</w:t>
      </w:r>
      <w:r>
        <w:rPr>
          <w:sz w:val="20"/>
          <w:szCs w:val="20"/>
          <w:color w:val="auto"/>
        </w:rPr>
        <w:tab/>
      </w:r>
      <w:r>
        <w:rPr>
          <w:rFonts w:ascii="Arial" w:cs="Arial" w:eastAsia="Arial" w:hAnsi="Arial"/>
          <w:sz w:val="17"/>
          <w:szCs w:val="17"/>
          <w:color w:val="auto"/>
        </w:rPr>
        <w:t>1,082,842</w:t>
      </w:r>
    </w:p>
    <w:p>
      <w:pPr>
        <w:spacing w:after="0" w:line="34" w:lineRule="exact"/>
        <w:rPr>
          <w:sz w:val="20"/>
          <w:szCs w:val="20"/>
          <w:color w:val="auto"/>
        </w:rPr>
      </w:pPr>
    </w:p>
    <w:p>
      <w:pPr>
        <w:sectPr>
          <w:pgSz w:w="11900" w:h="16838" w:orient="portrait"/>
          <w:cols w:equalWidth="0" w:num="2">
            <w:col w:w="6038" w:space="720"/>
            <w:col w:w="4482"/>
          </w:cols>
          <w:pgMar w:left="320" w:top="904" w:right="339" w:bottom="0" w:gutter="0" w:footer="0" w:header="0"/>
        </w:sectPr>
      </w:pPr>
    </w:p>
    <w:tbl>
      <w:tblPr>
        <w:tblLayout w:type="fixed"/>
        <w:tblInd w:w="0" w:type="dxa"/>
        <w:tblCellMar>
          <w:top w:w="0" w:type="dxa"/>
          <w:left w:w="0" w:type="dxa"/>
          <w:bottom w:w="0" w:type="dxa"/>
          <w:right w:w="0" w:type="dxa"/>
        </w:tblCellMar>
      </w:tblPr>
      <w:tr>
        <w:trPr>
          <w:trHeight w:val="263"/>
        </w:trPr>
        <w:tc>
          <w:tcPr>
            <w:tcW w:w="67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(28,706,070</w:t>
            </w:r>
          </w:p>
        </w:tc>
        <w:tc>
          <w:tcPr>
            <w:tcW w:w="160" w:type="dxa"/>
            <w:vAlign w:val="bottom"/>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1000" w:type="dxa"/>
            <w:vAlign w:val="bottom"/>
            <w:tcBorders>
              <w:top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w w:val="86"/>
              </w:rPr>
              <w:t>$ (21,427,964</w:t>
            </w:r>
          </w:p>
        </w:tc>
        <w:tc>
          <w:tcPr>
            <w:tcW w:w="6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67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(0.61)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(0.47)</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76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common shares outstanding</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47,039,862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45,587,734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b w:val="1"/>
                <w:bCs w:val="1"/>
                <w:color w:val="auto"/>
              </w:rPr>
              <w:t>Marker Therapeutics, Inc.</w:t>
            </w: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60" w:type="dxa"/>
            <w:vAlign w:val="bottom"/>
            <w:gridSpan w:val="7"/>
          </w:tcPr>
          <w:p>
            <w:pPr>
              <w:jc w:val="right"/>
              <w:ind w:right="660"/>
              <w:spacing w:after="0"/>
              <w:rPr>
                <w:sz w:val="20"/>
                <w:szCs w:val="20"/>
                <w:color w:val="auto"/>
              </w:rPr>
            </w:pPr>
            <w:r>
              <w:rPr>
                <w:rFonts w:ascii="Arial" w:cs="Arial" w:eastAsia="Arial" w:hAnsi="Arial"/>
                <w:sz w:val="18"/>
                <w:szCs w:val="18"/>
                <w:b w:val="1"/>
                <w:bCs w:val="1"/>
                <w:color w:val="auto"/>
                <w:w w:val="90"/>
              </w:rPr>
              <w:t>For the Years Ended</w:t>
            </w: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60" w:type="dxa"/>
            <w:vAlign w:val="bottom"/>
            <w:gridSpan w:val="7"/>
          </w:tcPr>
          <w:p>
            <w:pPr>
              <w:jc w:val="right"/>
              <w:ind w:right="9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Arial" w:cs="Arial" w:eastAsia="Arial" w:hAnsi="Arial"/>
                <w:sz w:val="18"/>
                <w:szCs w:val="18"/>
                <w:b w:val="1"/>
                <w:bCs w:val="1"/>
                <w:color w:val="auto"/>
              </w:rPr>
              <w:t>Net loss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5"/>
          </w:tcPr>
          <w:p>
            <w:pPr>
              <w:jc w:val="right"/>
              <w:ind w:right="81"/>
              <w:spacing w:after="0"/>
              <w:rPr>
                <w:sz w:val="20"/>
                <w:szCs w:val="20"/>
                <w:color w:val="auto"/>
              </w:rPr>
            </w:pPr>
            <w:r>
              <w:rPr>
                <w:rFonts w:ascii="Arial" w:cs="Arial" w:eastAsia="Arial" w:hAnsi="Arial"/>
                <w:sz w:val="18"/>
                <w:szCs w:val="18"/>
                <w:color w:val="auto"/>
              </w:rPr>
              <w:t>(28,706,070)</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(21,427,964)</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Reconciliation of net loss to net cash used in operating activities: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5"/>
          </w:tcPr>
          <w:p>
            <w:pPr>
              <w:jc w:val="right"/>
              <w:ind w:right="141"/>
              <w:spacing w:after="0"/>
              <w:rPr>
                <w:sz w:val="20"/>
                <w:szCs w:val="20"/>
                <w:color w:val="auto"/>
              </w:rPr>
            </w:pPr>
            <w:r>
              <w:rPr>
                <w:rFonts w:ascii="Arial" w:cs="Arial" w:eastAsia="Arial" w:hAnsi="Arial"/>
                <w:sz w:val="18"/>
                <w:szCs w:val="18"/>
                <w:color w:val="auto"/>
              </w:rPr>
              <w:t>485,641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105,123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Changes in fair value of warrant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81"/>
              <w:spacing w:after="0"/>
              <w:rPr>
                <w:sz w:val="20"/>
                <w:szCs w:val="20"/>
                <w:color w:val="auto"/>
              </w:rPr>
            </w:pPr>
            <w:r>
              <w:rPr>
                <w:rFonts w:ascii="Arial" w:cs="Arial" w:eastAsia="Arial" w:hAnsi="Arial"/>
                <w:sz w:val="18"/>
                <w:szCs w:val="18"/>
                <w:color w:val="auto"/>
              </w:rPr>
              <w:t>(31,000)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16"/>
        </w:trPr>
        <w:tc>
          <w:tcPr>
            <w:tcW w:w="676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5"/>
          </w:tcPr>
          <w:p>
            <w:pPr>
              <w:jc w:val="right"/>
              <w:ind w:right="141"/>
              <w:spacing w:after="0"/>
              <w:rPr>
                <w:sz w:val="20"/>
                <w:szCs w:val="20"/>
                <w:color w:val="auto"/>
              </w:rPr>
            </w:pPr>
            <w:r>
              <w:rPr>
                <w:rFonts w:ascii="Arial" w:cs="Arial" w:eastAsia="Arial" w:hAnsi="Arial"/>
                <w:sz w:val="18"/>
                <w:szCs w:val="18"/>
                <w:color w:val="auto"/>
              </w:rPr>
              <w:t>5,228,409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5,356,972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Amortization on right-of-use 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141"/>
              <w:spacing w:after="0"/>
              <w:rPr>
                <w:sz w:val="20"/>
                <w:szCs w:val="20"/>
                <w:color w:val="auto"/>
              </w:rPr>
            </w:pPr>
            <w:r>
              <w:rPr>
                <w:rFonts w:ascii="Arial" w:cs="Arial" w:eastAsia="Arial" w:hAnsi="Arial"/>
                <w:sz w:val="18"/>
                <w:szCs w:val="18"/>
                <w:color w:val="auto"/>
              </w:rPr>
              <w:t>590,039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181,459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60"/>
              <w:spacing w:after="0"/>
              <w:rPr>
                <w:sz w:val="20"/>
                <w:szCs w:val="20"/>
                <w:color w:val="auto"/>
              </w:rPr>
            </w:pPr>
            <w:r>
              <w:rPr>
                <w:rFonts w:ascii="Arial" w:cs="Arial" w:eastAsia="Arial" w:hAnsi="Arial"/>
                <w:sz w:val="18"/>
                <w:szCs w:val="18"/>
                <w:b w:val="1"/>
                <w:bCs w:val="1"/>
                <w:color w:val="auto"/>
              </w:rPr>
              <w:t>Changes in operating assets and liabilities: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Prepaid expenses and deposits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81"/>
              <w:spacing w:after="0"/>
              <w:rPr>
                <w:sz w:val="20"/>
                <w:szCs w:val="20"/>
                <w:color w:val="auto"/>
              </w:rPr>
            </w:pPr>
            <w:r>
              <w:rPr>
                <w:rFonts w:ascii="Arial" w:cs="Arial" w:eastAsia="Arial" w:hAnsi="Arial"/>
                <w:sz w:val="18"/>
                <w:szCs w:val="18"/>
                <w:color w:val="auto"/>
              </w:rPr>
              <w:t>(531,482)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(1,384,725)</w:t>
            </w:r>
          </w:p>
        </w:tc>
        <w:tc>
          <w:tcPr>
            <w:tcW w:w="0" w:type="dxa"/>
            <w:vAlign w:val="bottom"/>
          </w:tcPr>
          <w:p>
            <w:pPr>
              <w:spacing w:after="0"/>
              <w:rPr>
                <w:sz w:val="1"/>
                <w:szCs w:val="1"/>
                <w:color w:val="auto"/>
              </w:rPr>
            </w:pPr>
          </w:p>
        </w:tc>
      </w:tr>
      <w:tr>
        <w:trPr>
          <w:trHeight w:val="216"/>
        </w:trPr>
        <w:tc>
          <w:tcPr>
            <w:tcW w:w="6760" w:type="dxa"/>
            <w:vAlign w:val="bottom"/>
          </w:tcPr>
          <w:p>
            <w:pPr>
              <w:ind w:left="380"/>
              <w:spacing w:after="0"/>
              <w:rPr>
                <w:sz w:val="20"/>
                <w:szCs w:val="20"/>
                <w:color w:val="auto"/>
              </w:rPr>
            </w:pPr>
            <w:r>
              <w:rPr>
                <w:rFonts w:ascii="Arial" w:cs="Arial" w:eastAsia="Arial" w:hAnsi="Arial"/>
                <w:sz w:val="18"/>
                <w:szCs w:val="18"/>
                <w:color w:val="auto"/>
              </w:rPr>
              <w:t>Interest receivable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5"/>
          </w:tcPr>
          <w:p>
            <w:pPr>
              <w:jc w:val="right"/>
              <w:ind w:right="141"/>
              <w:spacing w:after="0"/>
              <w:rPr>
                <w:sz w:val="20"/>
                <w:szCs w:val="20"/>
                <w:color w:val="auto"/>
              </w:rPr>
            </w:pPr>
            <w:r>
              <w:rPr>
                <w:rFonts w:ascii="Arial" w:cs="Arial" w:eastAsia="Arial" w:hAnsi="Arial"/>
                <w:sz w:val="18"/>
                <w:szCs w:val="18"/>
                <w:color w:val="auto"/>
              </w:rPr>
              <w:t>55,630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51,988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141"/>
              <w:spacing w:after="0"/>
              <w:rPr>
                <w:sz w:val="20"/>
                <w:szCs w:val="20"/>
                <w:color w:val="auto"/>
              </w:rPr>
            </w:pPr>
            <w:r>
              <w:rPr>
                <w:rFonts w:ascii="Arial" w:cs="Arial" w:eastAsia="Arial" w:hAnsi="Arial"/>
                <w:sz w:val="18"/>
                <w:szCs w:val="18"/>
                <w:color w:val="auto"/>
              </w:rPr>
              <w:t>4,222,470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(963,967)</w:t>
            </w:r>
          </w:p>
        </w:tc>
        <w:tc>
          <w:tcPr>
            <w:tcW w:w="0" w:type="dxa"/>
            <w:vAlign w:val="bottom"/>
          </w:tcPr>
          <w:p>
            <w:pPr>
              <w:spacing w:after="0"/>
              <w:rPr>
                <w:sz w:val="1"/>
                <w:szCs w:val="1"/>
                <w:color w:val="auto"/>
              </w:rPr>
            </w:pPr>
          </w:p>
        </w:tc>
      </w:tr>
      <w:tr>
        <w:trPr>
          <w:trHeight w:val="230"/>
        </w:trPr>
        <w:tc>
          <w:tcPr>
            <w:tcW w:w="6760" w:type="dxa"/>
            <w:vAlign w:val="bottom"/>
          </w:tcPr>
          <w:p>
            <w:pPr>
              <w:ind w:left="380"/>
              <w:spacing w:after="0"/>
              <w:rPr>
                <w:sz w:val="20"/>
                <w:szCs w:val="20"/>
                <w:color w:val="auto"/>
              </w:rPr>
            </w:pPr>
            <w:r>
              <w:rPr>
                <w:rFonts w:ascii="Arial" w:cs="Arial" w:eastAsia="Arial" w:hAnsi="Arial"/>
                <w:sz w:val="18"/>
                <w:szCs w:val="18"/>
                <w:color w:val="auto"/>
              </w:rPr>
              <w:t>Lease liability</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5"/>
          </w:tcPr>
          <w:p>
            <w:pPr>
              <w:jc w:val="right"/>
              <w:ind w:right="81"/>
              <w:spacing w:after="0"/>
              <w:rPr>
                <w:sz w:val="20"/>
                <w:szCs w:val="20"/>
                <w:color w:val="auto"/>
              </w:rPr>
            </w:pPr>
            <w:r>
              <w:rPr>
                <w:rFonts w:ascii="Arial" w:cs="Arial" w:eastAsia="Arial" w:hAnsi="Arial"/>
                <w:sz w:val="18"/>
                <w:szCs w:val="18"/>
                <w:color w:val="auto"/>
              </w:rPr>
              <w:t>(173,268)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(185,179)</w:t>
            </w:r>
          </w:p>
        </w:tc>
        <w:tc>
          <w:tcPr>
            <w:tcW w:w="0" w:type="dxa"/>
            <w:vAlign w:val="bottom"/>
          </w:tcPr>
          <w:p>
            <w:pPr>
              <w:spacing w:after="0"/>
              <w:rPr>
                <w:sz w:val="1"/>
                <w:szCs w:val="1"/>
                <w:color w:val="auto"/>
              </w:rPr>
            </w:pPr>
          </w:p>
        </w:tc>
      </w:tr>
      <w:tr>
        <w:trPr>
          <w:trHeight w:val="210"/>
        </w:trPr>
        <w:tc>
          <w:tcPr>
            <w:tcW w:w="67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(18,859,631</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(18,284,293</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67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81"/>
              <w:spacing w:after="0"/>
              <w:rPr>
                <w:sz w:val="20"/>
                <w:szCs w:val="20"/>
                <w:color w:val="auto"/>
              </w:rPr>
            </w:pPr>
            <w:r>
              <w:rPr>
                <w:rFonts w:ascii="Arial" w:cs="Arial" w:eastAsia="Arial" w:hAnsi="Arial"/>
                <w:sz w:val="18"/>
                <w:szCs w:val="18"/>
                <w:color w:val="auto"/>
              </w:rPr>
              <w:t>(3,638,849)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(374,983)</w:t>
            </w:r>
          </w:p>
        </w:tc>
        <w:tc>
          <w:tcPr>
            <w:tcW w:w="0" w:type="dxa"/>
            <w:vAlign w:val="bottom"/>
          </w:tcPr>
          <w:p>
            <w:pPr>
              <w:spacing w:after="0"/>
              <w:rPr>
                <w:sz w:val="1"/>
                <w:szCs w:val="1"/>
                <w:color w:val="auto"/>
              </w:rPr>
            </w:pPr>
          </w:p>
        </w:tc>
      </w:tr>
      <w:tr>
        <w:trPr>
          <w:trHeight w:val="230"/>
        </w:trPr>
        <w:tc>
          <w:tcPr>
            <w:tcW w:w="6760" w:type="dxa"/>
            <w:vAlign w:val="bottom"/>
          </w:tcPr>
          <w:p>
            <w:pPr>
              <w:ind w:left="260"/>
              <w:spacing w:after="0"/>
              <w:rPr>
                <w:sz w:val="20"/>
                <w:szCs w:val="20"/>
                <w:color w:val="auto"/>
              </w:rPr>
            </w:pPr>
            <w:r>
              <w:rPr>
                <w:rFonts w:ascii="Arial" w:cs="Arial" w:eastAsia="Arial" w:hAnsi="Arial"/>
                <w:sz w:val="18"/>
                <w:szCs w:val="18"/>
                <w:color w:val="auto"/>
              </w:rPr>
              <w:t>Purchase of construction in progress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5"/>
          </w:tcPr>
          <w:p>
            <w:pPr>
              <w:jc w:val="right"/>
              <w:ind w:right="81"/>
              <w:spacing w:after="0"/>
              <w:rPr>
                <w:sz w:val="20"/>
                <w:szCs w:val="20"/>
                <w:color w:val="auto"/>
              </w:rPr>
            </w:pPr>
            <w:r>
              <w:rPr>
                <w:rFonts w:ascii="Arial" w:cs="Arial" w:eastAsia="Arial" w:hAnsi="Arial"/>
                <w:sz w:val="18"/>
                <w:szCs w:val="18"/>
                <w:color w:val="auto"/>
              </w:rPr>
              <w:t>(6,789,098)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(10,427,947</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(374,983</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67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141"/>
              <w:spacing w:after="0"/>
              <w:rPr>
                <w:sz w:val="20"/>
                <w:szCs w:val="20"/>
                <w:color w:val="auto"/>
              </w:rPr>
            </w:pPr>
            <w:r>
              <w:rPr>
                <w:rFonts w:ascii="Arial" w:cs="Arial" w:eastAsia="Arial" w:hAnsi="Arial"/>
                <w:sz w:val="18"/>
                <w:szCs w:val="18"/>
                <w:color w:val="auto"/>
              </w:rPr>
              <w:t>6,186,011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5"/>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57,744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Proceeds from exercise of warrants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5"/>
            <w:shd w:val="clear" w:color="auto" w:fill="CCEEFF"/>
          </w:tcPr>
          <w:p>
            <w:pPr>
              <w:jc w:val="right"/>
              <w:ind w:right="141"/>
              <w:spacing w:after="0"/>
              <w:rPr>
                <w:sz w:val="20"/>
                <w:szCs w:val="20"/>
                <w:color w:val="auto"/>
              </w:rPr>
            </w:pPr>
            <w:r>
              <w:rPr>
                <w:rFonts w:ascii="Arial" w:cs="Arial" w:eastAsia="Arial" w:hAnsi="Arial"/>
                <w:sz w:val="18"/>
                <w:szCs w:val="18"/>
                <w:color w:val="auto"/>
              </w:rPr>
              <w:t>550,000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758,733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6,736,011</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816,477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(22,551,567)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(17,842,799)</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4"/>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5"/>
            <w:shd w:val="clear" w:color="auto" w:fill="CCEEFF"/>
          </w:tcPr>
          <w:p>
            <w:pPr>
              <w:jc w:val="right"/>
              <w:ind w:right="141"/>
              <w:spacing w:after="0"/>
              <w:rPr>
                <w:sz w:val="20"/>
                <w:szCs w:val="20"/>
                <w:color w:val="auto"/>
              </w:rPr>
            </w:pPr>
            <w:r>
              <w:rPr>
                <w:rFonts w:ascii="Arial" w:cs="Arial" w:eastAsia="Arial" w:hAnsi="Arial"/>
                <w:sz w:val="18"/>
                <w:szCs w:val="18"/>
                <w:color w:val="auto"/>
              </w:rPr>
              <w:t>43,903,949</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61,746,748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21,352,382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43,903,949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Korb</w:t>
      </w:r>
    </w:p>
    <w:p>
      <w:pPr>
        <w:spacing w:after="0" w:line="9" w:lineRule="exact"/>
        <w:rPr>
          <w:sz w:val="20"/>
          <w:szCs w:val="20"/>
          <w:color w:val="auto"/>
        </w:rPr>
      </w:pPr>
    </w:p>
    <w:p>
      <w:pPr>
        <w:ind w:right="9340" w:firstLine="8"/>
        <w:spacing w:after="0" w:line="323" w:lineRule="auto"/>
        <w:tabs>
          <w:tab w:leader="none" w:pos="435" w:val="left"/>
        </w:tabs>
        <w:numPr>
          <w:ilvl w:val="0"/>
          <w:numId w:val="7"/>
        </w:numPr>
        <w:rPr>
          <w:rFonts w:ascii="Arial" w:cs="Arial" w:eastAsia="Arial" w:hAnsi="Arial"/>
          <w:sz w:val="16"/>
          <w:szCs w:val="16"/>
          <w:color w:val="auto"/>
        </w:rPr>
      </w:pPr>
      <w:r>
        <w:rPr>
          <w:rFonts w:ascii="Arial" w:cs="Arial" w:eastAsia="Arial" w:hAnsi="Arial"/>
          <w:sz w:val="16"/>
          <w:szCs w:val="16"/>
          <w:color w:val="auto"/>
        </w:rPr>
        <w:t>378-2923 bkorb@soleburytrout.com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pacing w:after="0" w:line="9" w:lineRule="exact"/>
        <w:rPr>
          <w:sz w:val="20"/>
          <w:szCs w:val="20"/>
          <w:color w:val="auto"/>
        </w:rPr>
      </w:pPr>
    </w:p>
    <w:p>
      <w:pPr>
        <w:ind w:right="9060" w:firstLine="8"/>
        <w:spacing w:after="0" w:line="323" w:lineRule="auto"/>
        <w:tabs>
          <w:tab w:leader="none" w:pos="435" w:val="left"/>
        </w:tabs>
        <w:numPr>
          <w:ilvl w:val="0"/>
          <w:numId w:val="8"/>
        </w:numPr>
        <w:rPr>
          <w:rFonts w:ascii="Arial" w:cs="Arial" w:eastAsia="Arial" w:hAnsi="Arial"/>
          <w:sz w:val="16"/>
          <w:szCs w:val="16"/>
          <w:color w:val="auto"/>
        </w:rPr>
      </w:pPr>
      <w:r>
        <w:rPr>
          <w:rFonts w:ascii="Arial" w:cs="Arial" w:eastAsia="Arial" w:hAnsi="Arial"/>
          <w:sz w:val="16"/>
          <w:szCs w:val="16"/>
          <w:color w:val="auto"/>
        </w:rPr>
        <w:t>450-0349 abonanno@soleburytrout.com</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240"/>
          </w:cols>
          <w:pgMar w:left="320" w:top="904" w:right="339" w:bottom="0" w:gutter="0" w:footer="0" w:header="0"/>
          <w:type w:val="continuous"/>
        </w:sectPr>
      </w:pPr>
    </w:p>
    <w:bookmarkStart w:id="8" w:name="page9"/>
    <w:bookmarkEnd w:id="8"/>
    <w:p>
      <w:pPr>
        <w:ind w:left="100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20"/>
      </w:cols>
      <w:pgMar w:left="1440" w:top="5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646"/>
    </w:lvl>
  </w:abstractNum>
  <w:abstractNum w:abstractNumId="7">
    <w:nsid w:val="7545E146"/>
    <w:multiLevelType w:val="hybridMultilevel"/>
    <w:lvl w:ilvl="0">
      <w:lvlJc w:val="left"/>
      <w:lvlText w:val="(%1)"/>
      <w:numFmt w:val="decimal"/>
      <w:start w:val="9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2021-03-09T15:54:32Z</dcterms:created>
  <dcterms:modified xsi:type="dcterms:W3CDTF">2021-03-09T15:54:32Z</dcterms:modified>
</cp:coreProperties>
</file>