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February 22,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120" w:type="dxa"/>
            <w:vAlign w:val="bottom"/>
            <w:gridSpan w:val="3"/>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740" w:type="dxa"/>
            <w:vAlign w:val="bottom"/>
          </w:tcPr>
          <w:p>
            <w:pPr>
              <w:spacing w:after="0"/>
              <w:rPr>
                <w:sz w:val="20"/>
                <w:szCs w:val="20"/>
                <w:color w:val="auto"/>
              </w:rPr>
            </w:pPr>
          </w:p>
        </w:tc>
        <w:tc>
          <w:tcPr>
            <w:tcW w:w="346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0" w:type="dxa"/>
            <w:vAlign w:val="bottom"/>
            <w:gridSpan w:val="6"/>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rPr>
              <w:t>9350 Kirby Drive, Suite 300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Borders>
              <w:bottom w:val="single" w:sz="8" w:color="auto"/>
            </w:tcBorders>
            <w:gridSpan w:val="2"/>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3460" w:type="dxa"/>
            <w:vAlign w:val="bottom"/>
            <w:gridSpan w:val="3"/>
          </w:tcPr>
          <w:p>
            <w:pPr>
              <w:spacing w:after="0"/>
              <w:rPr>
                <w:sz w:val="17"/>
                <w:szCs w:val="17"/>
                <w:color w:val="auto"/>
              </w:rPr>
            </w:pPr>
          </w:p>
        </w:tc>
        <w:tc>
          <w:tcPr>
            <w:tcW w:w="2000" w:type="dxa"/>
            <w:vAlign w:val="bottom"/>
            <w:gridSpan w:val="4"/>
          </w:tcPr>
          <w:p>
            <w:pPr>
              <w:jc w:val="right"/>
              <w:ind w:right="200"/>
              <w:spacing w:after="0" w:line="191" w:lineRule="exact"/>
              <w:rPr>
                <w:sz w:val="20"/>
                <w:szCs w:val="20"/>
                <w:color w:val="auto"/>
              </w:rPr>
            </w:pPr>
            <w:r>
              <w:rPr>
                <w:rFonts w:ascii="Times New Roman" w:cs="Times New Roman" w:eastAsia="Times New Roman" w:hAnsi="Times New Roman"/>
                <w:sz w:val="18"/>
                <w:szCs w:val="18"/>
                <w:b w:val="1"/>
                <w:bCs w:val="1"/>
                <w:color w:val="auto"/>
              </w:rPr>
              <w:t>77054</w:t>
            </w:r>
          </w:p>
        </w:tc>
        <w:tc>
          <w:tcPr>
            <w:tcW w:w="8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6"/>
          </w:tcPr>
          <w:p>
            <w:pPr>
              <w:jc w:val="center"/>
              <w:ind w:right="25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2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Trading</w:t>
            </w:r>
          </w:p>
        </w:tc>
        <w:tc>
          <w:tcPr>
            <w:tcW w:w="4480" w:type="dxa"/>
            <w:vAlign w:val="bottom"/>
          </w:tcPr>
          <w:p>
            <w:pPr>
              <w:spacing w:after="0"/>
              <w:rPr>
                <w:sz w:val="24"/>
                <w:szCs w:val="24"/>
                <w:color w:val="auto"/>
              </w:rPr>
            </w:pPr>
          </w:p>
        </w:tc>
      </w:tr>
      <w:tr>
        <w:trPr>
          <w:trHeight w:val="234"/>
        </w:trPr>
        <w:tc>
          <w:tcPr>
            <w:tcW w:w="47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Symbol(s)</w:t>
            </w:r>
          </w:p>
        </w:tc>
        <w:tc>
          <w:tcPr>
            <w:tcW w:w="44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MRKR</w:t>
            </w:r>
          </w:p>
        </w:tc>
        <w:tc>
          <w:tcPr>
            <w:tcW w:w="4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February 22, 2024, Marker Therapeutics, Inc. (the “Company”) entered into a Master Services Agreement for Product Supply (the “Agreement”) with Cell Ready LLC (“Cell Ready”). Cell Ready, which is owned by one of the Company’s directors and shareholders, Mr. John Wilson, is a contract development and manufacturing organization (CDMO).</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Agreement,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The Agreement contains customary representations, warranties and indemnification provision. The initial term of the Agreement is three years and may be extended upon the mutual written agreement of the parties. Either party may terminate the Agreement (a) for material breach by the other party if such breach has not been cured within 30 days following notice of termination or (b) if the other party is the subject of an insolvency event.</w:t>
      </w:r>
    </w:p>
    <w:p>
      <w:pPr>
        <w:spacing w:after="0" w:line="18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Also on February 22, 2024, the Company entered into Work Order #1 under the Agreement, pursuant to which Cell Ready will provide the Company with GMP drug product for Marker MT-401 and/or MT-601. The services include the delivery of final drug product and quality control testing. The Company also requested Cell Ready to provide general support services in connection therewith. The total projected sum (inclusive of taxes) for the services under Work Order #1 are not anticipated to exceed $750,000. The services will cover the anticipated manufacturing costs for the first quarter of 2024. Additional Work Orders are expected to be generated for the remainder of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40"/>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31"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26, 2024</w:t>
            </w: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Juan Vera</w:t>
            </w:r>
          </w:p>
        </w:tc>
      </w:tr>
      <w:tr>
        <w:trPr>
          <w:trHeight w:val="189"/>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2024-02-26T07:07:03Z</dcterms:created>
  <dcterms:modified xsi:type="dcterms:W3CDTF">2024-02-26T07:07:03Z</dcterms:modified>
</cp:coreProperties>
</file>