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0"/>
        <w:spacing w:after="0"/>
        <w:rPr>
          <w:sz w:val="20"/>
          <w:szCs w:val="20"/>
          <w:color w:val="auto"/>
        </w:rPr>
      </w:pPr>
      <w:r>
        <w:rPr>
          <w:rFonts w:ascii="Arial" w:cs="Arial" w:eastAsia="Arial" w:hAnsi="Arial"/>
          <w:sz w:val="18"/>
          <w:szCs w:val="18"/>
          <w:b w:val="1"/>
          <w:bCs w:val="1"/>
          <w:color w:val="auto"/>
        </w:rPr>
        <w:t>SCHEDULE 14A INFORMATION</w:t>
      </w:r>
    </w:p>
    <w:p>
      <w:pPr>
        <w:spacing w:after="0" w:line="54"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ectPr>
          <w:pgSz w:w="11900" w:h="16838" w:orient="portrait"/>
          <w:cols w:equalWidth="0" w:num="1">
            <w:col w:w="9019"/>
          </w:cols>
          <w:pgMar w:left="1440" w:top="864" w:right="1440" w:bottom="1440" w:gutter="0" w:footer="0" w:header="0"/>
        </w:sectPr>
      </w:pPr>
    </w:p>
    <w:p>
      <w:pPr>
        <w:spacing w:after="0" w:line="211"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Filed by the Registrant</w:t>
      </w:r>
    </w:p>
    <w:p>
      <w:pPr>
        <w:spacing w:after="0" w:line="23" w:lineRule="exact"/>
        <w:rPr>
          <w:sz w:val="24"/>
          <w:szCs w:val="24"/>
          <w:color w:val="auto"/>
        </w:rPr>
      </w:pPr>
    </w:p>
    <w:p>
      <w:pPr>
        <w:ind w:left="400"/>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0" w:lineRule="exact"/>
        <w:rPr>
          <w:sz w:val="24"/>
          <w:szCs w:val="24"/>
          <w:color w:val="auto"/>
        </w:rPr>
      </w:pPr>
    </w:p>
    <w:p>
      <w:pPr>
        <w:sectPr>
          <w:pgSz w:w="11900" w:h="16838" w:orient="portrait"/>
          <w:cols w:equalWidth="0" w:num="2">
            <w:col w:w="3520" w:space="340"/>
            <w:col w:w="5159"/>
          </w:cols>
          <w:pgMar w:left="1440" w:top="864" w:right="1440" w:bottom="1440" w:gutter="0" w:footer="0" w:header="0"/>
          <w:type w:val="continuous"/>
        </w:sectPr>
      </w:pPr>
    </w:p>
    <w:p>
      <w:pPr>
        <w:spacing w:after="0" w:line="22" w:lineRule="exact"/>
        <w:rPr>
          <w:sz w:val="24"/>
          <w:szCs w:val="24"/>
          <w:color w:val="auto"/>
        </w:rPr>
      </w:pPr>
    </w:p>
    <w:p>
      <w:pPr>
        <w:ind w:left="40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019"/>
          </w:cols>
          <w:pgMar w:left="1440" w:top="864" w:right="1440" w:bottom="1440" w:gutter="0" w:footer="0" w:header="0"/>
          <w:type w:val="continuous"/>
        </w:sectPr>
      </w:pPr>
    </w:p>
    <w:p>
      <w:pPr>
        <w:spacing w:after="0" w:line="248" w:lineRule="exact"/>
        <w:rPr>
          <w:sz w:val="24"/>
          <w:szCs w:val="24"/>
          <w:color w:val="auto"/>
        </w:rPr>
      </w:pPr>
    </w:p>
    <w:p>
      <w:pPr>
        <w:ind w:left="1080" w:hanging="680"/>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1080" w:hanging="680"/>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080" w:hanging="680"/>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1080" w:hanging="680"/>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1080" w:hanging="680"/>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43180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186055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33" w:lineRule="exact"/>
        <w:rPr>
          <w:sz w:val="24"/>
          <w:szCs w:val="24"/>
          <w:color w:val="auto"/>
        </w:rPr>
      </w:pPr>
    </w:p>
    <w:p>
      <w:pPr>
        <w:ind w:left="40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1080" w:hanging="680"/>
        <w:spacing w:after="0"/>
        <w:tabs>
          <w:tab w:leader="none" w:pos="10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400" w:right="2219"/>
        <w:spacing w:after="0" w:line="517" w:lineRule="auto"/>
        <w:tabs>
          <w:tab w:leader="none" w:pos="108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-31115</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134620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67" w:lineRule="exact"/>
        <w:rPr>
          <w:sz w:val="24"/>
          <w:szCs w:val="24"/>
          <w:color w:val="auto"/>
        </w:rPr>
      </w:pPr>
    </w:p>
    <w:p>
      <w:pPr>
        <w:ind w:left="400" w:right="419"/>
        <w:spacing w:after="0" w:line="277" w:lineRule="auto"/>
        <w:rPr>
          <w:sz w:val="20"/>
          <w:szCs w:val="20"/>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151765</wp:posOffset>
            </wp:positionV>
            <wp:extent cx="521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93" w:lineRule="exact"/>
        <w:rPr>
          <w:sz w:val="24"/>
          <w:szCs w:val="24"/>
          <w:color w:val="auto"/>
        </w:rPr>
      </w:pPr>
    </w:p>
    <w:p>
      <w:pPr>
        <w:ind w:left="400"/>
        <w:spacing w:after="0"/>
        <w:rPr>
          <w:sz w:val="20"/>
          <w:szCs w:val="20"/>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186055</wp:posOffset>
            </wp:positionV>
            <wp:extent cx="5212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186055</wp:posOffset>
            </wp:positionV>
            <wp:extent cx="5212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1080" w:hanging="680"/>
        <w:spacing w:after="0"/>
        <w:tabs>
          <w:tab w:leader="none" w:pos="10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jc w:val="both"/>
        <w:ind w:left="1080" w:right="419" w:hanging="680"/>
        <w:spacing w:after="0" w:line="254" w:lineRule="auto"/>
        <w:tabs>
          <w:tab w:leader="none" w:pos="10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0"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186055</wp:posOffset>
            </wp:positionV>
            <wp:extent cx="5212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186055</wp:posOffset>
            </wp:positionV>
            <wp:extent cx="5212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186055</wp:posOffset>
            </wp:positionV>
            <wp:extent cx="5212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186055</wp:posOffset>
            </wp:positionV>
            <wp:extent cx="5212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-555625</wp:posOffset>
            </wp:positionH>
            <wp:positionV relativeFrom="paragraph">
              <wp:posOffset>430530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864" w:right="144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XPLANATORY</w:t>
      </w:r>
      <w:r>
        <w:rPr>
          <w:rFonts w:ascii="Arial" w:cs="Arial" w:eastAsia="Arial" w:hAnsi="Arial"/>
          <w:sz w:val="20"/>
          <w:szCs w:val="20"/>
          <w:b w:val="1"/>
          <w:bCs w:val="1"/>
          <w:color w:val="auto"/>
        </w:rPr>
        <w:t xml:space="preserve"> N</w:t>
      </w:r>
      <w:r>
        <w:rPr>
          <w:rFonts w:ascii="Arial" w:cs="Arial" w:eastAsia="Arial" w:hAnsi="Arial"/>
          <w:sz w:val="16"/>
          <w:szCs w:val="16"/>
          <w:b w:val="1"/>
          <w:bCs w:val="1"/>
          <w:color w:val="auto"/>
        </w:rPr>
        <w:t>OTE</w:t>
      </w:r>
    </w:p>
    <w:p>
      <w:pPr>
        <w:spacing w:after="0" w:line="157" w:lineRule="exact"/>
        <w:rPr>
          <w:sz w:val="20"/>
          <w:szCs w:val="20"/>
          <w:color w:val="auto"/>
        </w:rPr>
      </w:pPr>
    </w:p>
    <w:p>
      <w:pPr>
        <w:jc w:val="both"/>
        <w:ind w:left="400" w:right="419"/>
        <w:spacing w:after="0" w:line="259" w:lineRule="auto"/>
        <w:rPr>
          <w:sz w:val="20"/>
          <w:szCs w:val="20"/>
          <w:color w:val="auto"/>
        </w:rPr>
      </w:pPr>
      <w:r>
        <w:rPr>
          <w:rFonts w:ascii="Arial" w:cs="Arial" w:eastAsia="Arial" w:hAnsi="Arial"/>
          <w:sz w:val="17"/>
          <w:szCs w:val="17"/>
          <w:color w:val="auto"/>
        </w:rPr>
        <w:t>This Amendment No. 1 to the Definitive Proxy Statement on Schedule 14A filed by Marker Therapeutics, Inc. (the “Company”) with the U.S. Securities and Exchange Commission (“SEC”) on April 23, 2021 (the “Original Filing”) is being filed solely to correct the total compensation awarded to, earned by and paid to the Company’s named executive officers with respect to the year ended December 31, 2020 under the “Total” column in the revised table below. No other changes have been made to Original Filing.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ABLE</w:t>
      </w:r>
    </w:p>
    <w:p>
      <w:pPr>
        <w:spacing w:after="0" w:line="175" w:lineRule="exact"/>
        <w:rPr>
          <w:sz w:val="20"/>
          <w:szCs w:val="20"/>
          <w:color w:val="auto"/>
        </w:rPr>
      </w:pPr>
    </w:p>
    <w:p>
      <w:pPr>
        <w:jc w:val="both"/>
        <w:ind w:left="400" w:right="419"/>
        <w:spacing w:after="0" w:line="291" w:lineRule="auto"/>
        <w:rPr>
          <w:sz w:val="20"/>
          <w:szCs w:val="20"/>
          <w:color w:val="auto"/>
        </w:rPr>
      </w:pPr>
      <w:r>
        <w:rPr>
          <w:rFonts w:ascii="Arial" w:cs="Arial" w:eastAsia="Arial" w:hAnsi="Arial"/>
          <w:sz w:val="17"/>
          <w:szCs w:val="17"/>
          <w:color w:val="auto"/>
        </w:rPr>
        <w:t>The following table sets forth information regarding compensation awarded to, earned by and paid to our named executive officers with respect to the years ended December 31, 2020 and 2019, respectively.</w:t>
      </w:r>
    </w:p>
    <w:p>
      <w:pPr>
        <w:spacing w:after="0" w:line="98"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Non-Equity</w:t>
            </w:r>
          </w:p>
        </w:tc>
        <w:tc>
          <w:tcPr>
            <w:tcW w:w="740" w:type="dxa"/>
            <w:vAlign w:val="bottom"/>
          </w:tcPr>
          <w:p>
            <w:pPr>
              <w:spacing w:after="0"/>
              <w:rPr>
                <w:sz w:val="14"/>
                <w:szCs w:val="14"/>
                <w:color w:val="auto"/>
              </w:rPr>
            </w:pPr>
          </w:p>
        </w:tc>
      </w:tr>
      <w:tr>
        <w:trPr>
          <w:trHeight w:val="158"/>
        </w:trPr>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rPr>
              <w:t>Salary</w:t>
            </w:r>
          </w:p>
        </w:tc>
        <w:tc>
          <w:tcPr>
            <w:tcW w:w="7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1"/>
              </w:rPr>
              <w:t>Bonus</w:t>
            </w: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Awards</w:t>
            </w: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Incentive Plan</w:t>
            </w:r>
          </w:p>
        </w:tc>
        <w:tc>
          <w:tcPr>
            <w:tcW w:w="7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Total</w:t>
            </w:r>
          </w:p>
        </w:tc>
      </w:tr>
      <w:tr>
        <w:trPr>
          <w:trHeight w:val="216"/>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8"/>
                <w:szCs w:val="18"/>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6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5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8"/>
                <w:szCs w:val="18"/>
                <w:color w:val="auto"/>
              </w:rPr>
            </w:pPr>
          </w:p>
        </w:tc>
        <w:tc>
          <w:tcPr>
            <w:tcW w:w="740" w:type="dxa"/>
            <w:vAlign w:val="bottom"/>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Compensation ($)</w:t>
            </w: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w:t>
            </w:r>
          </w:p>
        </w:tc>
      </w:tr>
      <w:tr>
        <w:trPr>
          <w:trHeight w:val="223"/>
        </w:trPr>
        <w:tc>
          <w:tcPr>
            <w:tcW w:w="2200" w:type="dxa"/>
            <w:vAlign w:val="bottom"/>
            <w:tcBorders>
              <w:top w:val="single" w:sz="8" w:color="auto"/>
            </w:tcBorders>
            <w:gridSpan w:val="2"/>
            <w:shd w:val="clear" w:color="auto" w:fill="CCEDFF"/>
          </w:tcPr>
          <w:p>
            <w:pPr>
              <w:spacing w:after="0" w:line="223" w:lineRule="exact"/>
              <w:rPr>
                <w:sz w:val="20"/>
                <w:szCs w:val="20"/>
                <w:color w:val="auto"/>
              </w:rPr>
            </w:pPr>
            <w:r>
              <w:rPr>
                <w:rFonts w:ascii="Arial" w:cs="Arial" w:eastAsia="Arial" w:hAnsi="Arial"/>
                <w:sz w:val="17"/>
                <w:szCs w:val="17"/>
                <w:color w:val="auto"/>
              </w:rPr>
              <w:t>Peter Hoang</w:t>
            </w:r>
            <w:r>
              <w:rPr>
                <w:rFonts w:ascii="Arial" w:cs="Arial" w:eastAsia="Arial" w:hAnsi="Arial"/>
                <w:sz w:val="25"/>
                <w:szCs w:val="25"/>
                <w:color w:val="auto"/>
                <w:vertAlign w:val="superscript"/>
              </w:rPr>
              <w:t>(2)</w:t>
            </w:r>
          </w:p>
        </w:tc>
        <w:tc>
          <w:tcPr>
            <w:tcW w:w="180" w:type="dxa"/>
            <w:vAlign w:val="bottom"/>
            <w:tcBorders>
              <w:top w:val="single" w:sz="8" w:color="CCEDFF"/>
            </w:tcBorders>
            <w:shd w:val="clear" w:color="auto" w:fill="CCEDFF"/>
          </w:tcPr>
          <w:p>
            <w:pPr>
              <w:spacing w:after="0"/>
              <w:rPr>
                <w:sz w:val="19"/>
                <w:szCs w:val="19"/>
                <w:color w:val="auto"/>
              </w:rPr>
            </w:pPr>
          </w:p>
        </w:tc>
        <w:tc>
          <w:tcPr>
            <w:tcW w:w="380" w:type="dxa"/>
            <w:vAlign w:val="bottom"/>
            <w:tcBorders>
              <w:top w:val="single" w:sz="8" w:color="auto"/>
            </w:tcBorders>
            <w:shd w:val="clear" w:color="auto" w:fill="CCEDFF"/>
          </w:tcPr>
          <w:p>
            <w:pPr>
              <w:spacing w:after="0"/>
              <w:rPr>
                <w:sz w:val="19"/>
                <w:szCs w:val="19"/>
                <w:color w:val="auto"/>
              </w:rPr>
            </w:pPr>
          </w:p>
        </w:tc>
        <w:tc>
          <w:tcPr>
            <w:tcW w:w="180" w:type="dxa"/>
            <w:vAlign w:val="bottom"/>
            <w:tcBorders>
              <w:top w:val="single" w:sz="8" w:color="CCEDFF"/>
            </w:tcBorders>
            <w:shd w:val="clear" w:color="auto" w:fill="CCEDFF"/>
          </w:tcPr>
          <w:p>
            <w:pPr>
              <w:spacing w:after="0"/>
              <w:rPr>
                <w:sz w:val="19"/>
                <w:szCs w:val="19"/>
                <w:color w:val="auto"/>
              </w:rPr>
            </w:pPr>
          </w:p>
        </w:tc>
        <w:tc>
          <w:tcPr>
            <w:tcW w:w="300" w:type="dxa"/>
            <w:vAlign w:val="bottom"/>
            <w:tcBorders>
              <w:top w:val="single" w:sz="8" w:color="auto"/>
            </w:tcBorders>
            <w:shd w:val="clear" w:color="auto" w:fill="CCEDFF"/>
          </w:tcPr>
          <w:p>
            <w:pPr>
              <w:spacing w:after="0"/>
              <w:rPr>
                <w:sz w:val="19"/>
                <w:szCs w:val="19"/>
                <w:color w:val="auto"/>
              </w:rPr>
            </w:pPr>
          </w:p>
        </w:tc>
        <w:tc>
          <w:tcPr>
            <w:tcW w:w="320" w:type="dxa"/>
            <w:vAlign w:val="bottom"/>
            <w:tcBorders>
              <w:top w:val="single" w:sz="8" w:color="auto"/>
            </w:tcBorders>
            <w:shd w:val="clear" w:color="auto" w:fill="CCEDFF"/>
          </w:tcPr>
          <w:p>
            <w:pPr>
              <w:spacing w:after="0"/>
              <w:rPr>
                <w:sz w:val="19"/>
                <w:szCs w:val="19"/>
                <w:color w:val="auto"/>
              </w:rPr>
            </w:pPr>
          </w:p>
        </w:tc>
        <w:tc>
          <w:tcPr>
            <w:tcW w:w="200" w:type="dxa"/>
            <w:vAlign w:val="bottom"/>
            <w:tcBorders>
              <w:top w:val="single" w:sz="8" w:color="CCEDFF"/>
            </w:tcBorders>
            <w:shd w:val="clear" w:color="auto" w:fill="CCEDFF"/>
          </w:tcPr>
          <w:p>
            <w:pPr>
              <w:spacing w:after="0"/>
              <w:rPr>
                <w:sz w:val="19"/>
                <w:szCs w:val="19"/>
                <w:color w:val="auto"/>
              </w:rPr>
            </w:pPr>
          </w:p>
        </w:tc>
        <w:tc>
          <w:tcPr>
            <w:tcW w:w="520" w:type="dxa"/>
            <w:vAlign w:val="bottom"/>
            <w:tcBorders>
              <w:top w:val="single" w:sz="8" w:color="auto"/>
            </w:tcBorders>
            <w:shd w:val="clear" w:color="auto" w:fill="CCEDFF"/>
          </w:tcPr>
          <w:p>
            <w:pPr>
              <w:spacing w:after="0"/>
              <w:rPr>
                <w:sz w:val="19"/>
                <w:szCs w:val="19"/>
                <w:color w:val="auto"/>
              </w:rPr>
            </w:pPr>
          </w:p>
        </w:tc>
        <w:tc>
          <w:tcPr>
            <w:tcW w:w="200" w:type="dxa"/>
            <w:vAlign w:val="bottom"/>
            <w:tcBorders>
              <w:top w:val="single" w:sz="8" w:color="CCEDFF"/>
            </w:tcBorders>
            <w:shd w:val="clear" w:color="auto" w:fill="CCEDFF"/>
          </w:tcPr>
          <w:p>
            <w:pPr>
              <w:spacing w:after="0"/>
              <w:rPr>
                <w:sz w:val="19"/>
                <w:szCs w:val="19"/>
                <w:color w:val="auto"/>
              </w:rPr>
            </w:pPr>
          </w:p>
        </w:tc>
        <w:tc>
          <w:tcPr>
            <w:tcW w:w="740" w:type="dxa"/>
            <w:vAlign w:val="bottom"/>
            <w:tcBorders>
              <w:top w:val="single" w:sz="8" w:color="auto"/>
            </w:tcBorders>
            <w:shd w:val="clear" w:color="auto" w:fill="CCEDFF"/>
          </w:tcPr>
          <w:p>
            <w:pPr>
              <w:spacing w:after="0"/>
              <w:rPr>
                <w:sz w:val="19"/>
                <w:szCs w:val="19"/>
                <w:color w:val="auto"/>
              </w:rPr>
            </w:pPr>
          </w:p>
        </w:tc>
        <w:tc>
          <w:tcPr>
            <w:tcW w:w="220" w:type="dxa"/>
            <w:vAlign w:val="bottom"/>
            <w:tcBorders>
              <w:top w:val="single" w:sz="8" w:color="CCEDFF"/>
            </w:tcBorders>
            <w:shd w:val="clear" w:color="auto" w:fill="CCEDFF"/>
          </w:tcPr>
          <w:p>
            <w:pPr>
              <w:spacing w:after="0"/>
              <w:rPr>
                <w:sz w:val="19"/>
                <w:szCs w:val="19"/>
                <w:color w:val="auto"/>
              </w:rPr>
            </w:pPr>
          </w:p>
        </w:tc>
        <w:tc>
          <w:tcPr>
            <w:tcW w:w="1080" w:type="dxa"/>
            <w:vAlign w:val="bottom"/>
            <w:tcBorders>
              <w:top w:val="single" w:sz="8" w:color="auto"/>
            </w:tcBorders>
            <w:shd w:val="clear" w:color="auto" w:fill="CCEDFF"/>
          </w:tcPr>
          <w:p>
            <w:pPr>
              <w:spacing w:after="0"/>
              <w:rPr>
                <w:sz w:val="19"/>
                <w:szCs w:val="19"/>
                <w:color w:val="auto"/>
              </w:rPr>
            </w:pPr>
          </w:p>
        </w:tc>
        <w:tc>
          <w:tcPr>
            <w:tcW w:w="220" w:type="dxa"/>
            <w:vAlign w:val="bottom"/>
            <w:tcBorders>
              <w:top w:val="single" w:sz="8" w:color="CCEDFF"/>
            </w:tcBorders>
            <w:shd w:val="clear" w:color="auto" w:fill="CCEDFF"/>
          </w:tcPr>
          <w:p>
            <w:pPr>
              <w:spacing w:after="0"/>
              <w:rPr>
                <w:sz w:val="19"/>
                <w:szCs w:val="19"/>
                <w:color w:val="auto"/>
              </w:rPr>
            </w:pPr>
          </w:p>
        </w:tc>
        <w:tc>
          <w:tcPr>
            <w:tcW w:w="740" w:type="dxa"/>
            <w:vAlign w:val="bottom"/>
            <w:tcBorders>
              <w:top w:val="single" w:sz="8" w:color="auto"/>
            </w:tcBorders>
            <w:shd w:val="clear" w:color="auto" w:fill="CCEDFF"/>
          </w:tcPr>
          <w:p>
            <w:pPr>
              <w:spacing w:after="0"/>
              <w:rPr>
                <w:sz w:val="19"/>
                <w:szCs w:val="19"/>
                <w:color w:val="auto"/>
              </w:rPr>
            </w:pPr>
          </w:p>
        </w:tc>
      </w:tr>
      <w:tr>
        <w:trPr>
          <w:trHeight w:val="232"/>
        </w:trPr>
        <w:tc>
          <w:tcPr>
            <w:tcW w:w="2200" w:type="dxa"/>
            <w:vAlign w:val="bottom"/>
            <w:gridSpan w:val="2"/>
            <w:shd w:val="clear" w:color="auto" w:fill="CCEDFF"/>
          </w:tcPr>
          <w:p>
            <w:pPr>
              <w:ind w:left="180"/>
              <w:spacing w:after="0"/>
              <w:rPr>
                <w:sz w:val="20"/>
                <w:szCs w:val="20"/>
                <w:color w:val="auto"/>
              </w:rPr>
            </w:pPr>
            <w:r>
              <w:rPr>
                <w:rFonts w:ascii="Arial" w:cs="Arial" w:eastAsia="Arial" w:hAnsi="Arial"/>
                <w:sz w:val="18"/>
                <w:szCs w:val="18"/>
                <w:i w:val="1"/>
                <w:iCs w:val="1"/>
                <w:color w:val="auto"/>
              </w:rPr>
              <w:t>President and Chief</w:t>
            </w:r>
          </w:p>
        </w:tc>
        <w:tc>
          <w:tcPr>
            <w:tcW w:w="180" w:type="dxa"/>
            <w:vAlign w:val="bottom"/>
            <w:shd w:val="clear" w:color="auto" w:fill="CCEDFF"/>
          </w:tcPr>
          <w:p>
            <w:pPr>
              <w:spacing w:after="0"/>
              <w:rPr>
                <w:sz w:val="20"/>
                <w:szCs w:val="20"/>
                <w:color w:val="auto"/>
              </w:rPr>
            </w:pPr>
          </w:p>
        </w:tc>
        <w:tc>
          <w:tcPr>
            <w:tcW w:w="3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shd w:val="clear" w:color="auto" w:fill="CCEDFF"/>
          </w:tcPr>
          <w:p>
            <w:pPr>
              <w:spacing w:after="0"/>
              <w:rPr>
                <w:sz w:val="20"/>
                <w:szCs w:val="20"/>
                <w:color w:val="auto"/>
              </w:rPr>
            </w:pPr>
          </w:p>
        </w:tc>
        <w:tc>
          <w:tcPr>
            <w:tcW w:w="620" w:type="dxa"/>
            <w:vAlign w:val="bottom"/>
            <w:gridSpan w:val="2"/>
            <w:shd w:val="clear" w:color="auto" w:fill="CCEDFF"/>
          </w:tcPr>
          <w:p>
            <w:pPr>
              <w:ind w:left="20"/>
              <w:spacing w:after="0"/>
              <w:rPr>
                <w:sz w:val="20"/>
                <w:szCs w:val="20"/>
                <w:color w:val="auto"/>
              </w:rPr>
            </w:pPr>
            <w:r>
              <w:rPr>
                <w:rFonts w:ascii="Arial" w:cs="Arial" w:eastAsia="Arial" w:hAnsi="Arial"/>
                <w:sz w:val="18"/>
                <w:szCs w:val="18"/>
                <w:color w:val="auto"/>
                <w:w w:val="89"/>
              </w:rPr>
              <w:t>416,882</w:t>
            </w:r>
          </w:p>
        </w:tc>
        <w:tc>
          <w:tcPr>
            <w:tcW w:w="200" w:type="dxa"/>
            <w:vAlign w:val="bottom"/>
            <w:shd w:val="clear" w:color="auto" w:fill="CCEDFF"/>
          </w:tcPr>
          <w:p>
            <w:pPr>
              <w:spacing w:after="0"/>
              <w:rPr>
                <w:sz w:val="20"/>
                <w:szCs w:val="20"/>
                <w:color w:val="auto"/>
              </w:rPr>
            </w:pPr>
          </w:p>
        </w:tc>
        <w:tc>
          <w:tcPr>
            <w:tcW w:w="720" w:type="dxa"/>
            <w:vAlign w:val="bottom"/>
            <w:gridSpan w:val="2"/>
            <w:shd w:val="clear" w:color="auto" w:fill="CCED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748,200</w:t>
            </w:r>
          </w:p>
        </w:tc>
        <w:tc>
          <w:tcPr>
            <w:tcW w:w="220" w:type="dxa"/>
            <w:vAlign w:val="bottom"/>
            <w:shd w:val="clear" w:color="auto" w:fill="CCEDFF"/>
          </w:tcPr>
          <w:p>
            <w:pPr>
              <w:spacing w:after="0"/>
              <w:rPr>
                <w:sz w:val="20"/>
                <w:szCs w:val="20"/>
                <w:color w:val="auto"/>
              </w:rPr>
            </w:pPr>
          </w:p>
        </w:tc>
        <w:tc>
          <w:tcPr>
            <w:tcW w:w="1080" w:type="dxa"/>
            <w:vAlign w:val="bottom"/>
            <w:shd w:val="clear" w:color="auto" w:fill="CCEDFF"/>
          </w:tcPr>
          <w:p>
            <w:pPr>
              <w:jc w:val="right"/>
              <w:ind w:right="156"/>
              <w:spacing w:after="0"/>
              <w:rPr>
                <w:sz w:val="20"/>
                <w:szCs w:val="20"/>
                <w:color w:val="auto"/>
              </w:rPr>
            </w:pPr>
            <w:r>
              <w:rPr>
                <w:rFonts w:ascii="Arial" w:cs="Arial" w:eastAsia="Arial" w:hAnsi="Arial"/>
                <w:sz w:val="18"/>
                <w:szCs w:val="18"/>
                <w:color w:val="auto"/>
              </w:rPr>
              <w:t>209,000</w:t>
            </w:r>
          </w:p>
        </w:tc>
        <w:tc>
          <w:tcPr>
            <w:tcW w:w="220" w:type="dxa"/>
            <w:vAlign w:val="bottom"/>
            <w:shd w:val="clear" w:color="auto" w:fill="CCEDFF"/>
          </w:tcPr>
          <w:p>
            <w:pPr>
              <w:spacing w:after="0"/>
              <w:rPr>
                <w:sz w:val="20"/>
                <w:szCs w:val="20"/>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w w:val="89"/>
              </w:rPr>
              <w:t>1,374,082</w:t>
            </w:r>
          </w:p>
        </w:tc>
      </w:tr>
      <w:tr>
        <w:trPr>
          <w:trHeight w:val="254"/>
        </w:trPr>
        <w:tc>
          <w:tcPr>
            <w:tcW w:w="360" w:type="dxa"/>
            <w:vAlign w:val="bottom"/>
            <w:shd w:val="clear" w:color="auto" w:fill="CCEDFF"/>
          </w:tcPr>
          <w:p>
            <w:pPr>
              <w:spacing w:after="0"/>
              <w:rPr>
                <w:sz w:val="22"/>
                <w:szCs w:val="22"/>
                <w:color w:val="auto"/>
              </w:rPr>
            </w:pPr>
          </w:p>
        </w:tc>
        <w:tc>
          <w:tcPr>
            <w:tcW w:w="1840" w:type="dxa"/>
            <w:vAlign w:val="bottom"/>
            <w:shd w:val="clear" w:color="auto" w:fill="CCEDFF"/>
          </w:tcPr>
          <w:p>
            <w:pPr>
              <w:spacing w:after="0"/>
              <w:rPr>
                <w:sz w:val="20"/>
                <w:szCs w:val="20"/>
                <w:color w:val="auto"/>
              </w:rPr>
            </w:pPr>
            <w:r>
              <w:rPr>
                <w:rFonts w:ascii="Arial" w:cs="Arial" w:eastAsia="Arial" w:hAnsi="Arial"/>
                <w:sz w:val="18"/>
                <w:szCs w:val="18"/>
                <w:i w:val="1"/>
                <w:iCs w:val="1"/>
                <w:color w:val="auto"/>
              </w:rPr>
              <w:t>Executive Officer</w:t>
            </w:r>
          </w:p>
        </w:tc>
        <w:tc>
          <w:tcPr>
            <w:tcW w:w="180" w:type="dxa"/>
            <w:vAlign w:val="bottom"/>
            <w:shd w:val="clear" w:color="auto" w:fill="CCEDFF"/>
          </w:tcPr>
          <w:p>
            <w:pPr>
              <w:spacing w:after="0"/>
              <w:rPr>
                <w:sz w:val="22"/>
                <w:szCs w:val="22"/>
                <w:color w:val="auto"/>
              </w:rPr>
            </w:pPr>
          </w:p>
        </w:tc>
        <w:tc>
          <w:tcPr>
            <w:tcW w:w="3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shd w:val="clear" w:color="auto" w:fill="CCEDFF"/>
          </w:tcPr>
          <w:p>
            <w:pPr>
              <w:spacing w:after="0"/>
              <w:rPr>
                <w:sz w:val="22"/>
                <w:szCs w:val="22"/>
                <w:color w:val="auto"/>
              </w:rPr>
            </w:pPr>
          </w:p>
        </w:tc>
        <w:tc>
          <w:tcPr>
            <w:tcW w:w="620" w:type="dxa"/>
            <w:vAlign w:val="bottom"/>
            <w:gridSpan w:val="2"/>
            <w:shd w:val="clear" w:color="auto" w:fill="CCEDFF"/>
          </w:tcPr>
          <w:p>
            <w:pPr>
              <w:ind w:left="20"/>
              <w:spacing w:after="0"/>
              <w:rPr>
                <w:sz w:val="20"/>
                <w:szCs w:val="20"/>
                <w:color w:val="auto"/>
              </w:rPr>
            </w:pPr>
            <w:r>
              <w:rPr>
                <w:rFonts w:ascii="Arial" w:cs="Arial" w:eastAsia="Arial" w:hAnsi="Arial"/>
                <w:sz w:val="18"/>
                <w:szCs w:val="18"/>
                <w:color w:val="auto"/>
                <w:w w:val="89"/>
              </w:rPr>
              <w:t>380,000</w:t>
            </w:r>
          </w:p>
        </w:tc>
        <w:tc>
          <w:tcPr>
            <w:tcW w:w="200" w:type="dxa"/>
            <w:vAlign w:val="bottom"/>
            <w:shd w:val="clear" w:color="auto" w:fill="CCEDFF"/>
          </w:tcPr>
          <w:p>
            <w:pPr>
              <w:spacing w:after="0"/>
              <w:rPr>
                <w:sz w:val="22"/>
                <w:szCs w:val="22"/>
                <w:color w:val="auto"/>
              </w:rPr>
            </w:pPr>
          </w:p>
        </w:tc>
        <w:tc>
          <w:tcPr>
            <w:tcW w:w="720" w:type="dxa"/>
            <w:vAlign w:val="bottom"/>
            <w:gridSpan w:val="2"/>
            <w:shd w:val="clear" w:color="auto" w:fill="CCED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D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DFF"/>
          </w:tcPr>
          <w:p>
            <w:pPr>
              <w:jc w:val="right"/>
              <w:spacing w:after="0" w:line="253" w:lineRule="exact"/>
              <w:rPr>
                <w:sz w:val="20"/>
                <w:szCs w:val="20"/>
                <w:color w:val="auto"/>
              </w:rPr>
            </w:pPr>
            <w:r>
              <w:rPr>
                <w:rFonts w:ascii="Arial" w:cs="Arial" w:eastAsia="Arial" w:hAnsi="Arial"/>
                <w:sz w:val="18"/>
                <w:szCs w:val="18"/>
                <w:color w:val="auto"/>
              </w:rPr>
              <w:t>71,665</w:t>
            </w:r>
            <w:r>
              <w:rPr>
                <w:rFonts w:ascii="Arial" w:cs="Arial" w:eastAsia="Arial" w:hAnsi="Arial"/>
                <w:sz w:val="26"/>
                <w:szCs w:val="26"/>
                <w:color w:val="auto"/>
                <w:vertAlign w:val="superscript"/>
              </w:rPr>
              <w:t>(5)</w:t>
            </w:r>
          </w:p>
        </w:tc>
        <w:tc>
          <w:tcPr>
            <w:tcW w:w="220" w:type="dxa"/>
            <w:vAlign w:val="bottom"/>
            <w:shd w:val="clear" w:color="auto" w:fill="CCEDFF"/>
          </w:tcPr>
          <w:p>
            <w:pPr>
              <w:spacing w:after="0"/>
              <w:rPr>
                <w:sz w:val="22"/>
                <w:szCs w:val="22"/>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451,665</w:t>
            </w:r>
          </w:p>
        </w:tc>
      </w:tr>
      <w:tr>
        <w:trPr>
          <w:trHeight w:val="242"/>
        </w:trPr>
        <w:tc>
          <w:tcPr>
            <w:tcW w:w="2200" w:type="dxa"/>
            <w:vAlign w:val="bottom"/>
            <w:gridSpan w:val="2"/>
          </w:tcPr>
          <w:p>
            <w:pPr>
              <w:spacing w:after="0"/>
              <w:rPr>
                <w:sz w:val="20"/>
                <w:szCs w:val="20"/>
                <w:color w:val="auto"/>
              </w:rPr>
            </w:pPr>
            <w:r>
              <w:rPr>
                <w:rFonts w:ascii="Arial" w:cs="Arial" w:eastAsia="Arial" w:hAnsi="Arial"/>
                <w:sz w:val="18"/>
                <w:szCs w:val="18"/>
                <w:color w:val="auto"/>
              </w:rPr>
              <w:t>Anthony Kim</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06"/>
        </w:trPr>
        <w:tc>
          <w:tcPr>
            <w:tcW w:w="22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89"/>
              </w:rPr>
              <w:t>392,906</w:t>
            </w:r>
          </w:p>
        </w:tc>
        <w:tc>
          <w:tcPr>
            <w:tcW w:w="2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278,400</w:t>
            </w:r>
          </w:p>
        </w:tc>
        <w:tc>
          <w:tcPr>
            <w:tcW w:w="220" w:type="dxa"/>
            <w:vAlign w:val="bottom"/>
          </w:tcPr>
          <w:p>
            <w:pPr>
              <w:spacing w:after="0"/>
              <w:rPr>
                <w:sz w:val="17"/>
                <w:szCs w:val="17"/>
                <w:color w:val="auto"/>
              </w:rPr>
            </w:pPr>
          </w:p>
        </w:tc>
        <w:tc>
          <w:tcPr>
            <w:tcW w:w="1080" w:type="dxa"/>
            <w:vAlign w:val="bottom"/>
          </w:tcPr>
          <w:p>
            <w:pPr>
              <w:jc w:val="right"/>
              <w:ind w:right="156"/>
              <w:spacing w:after="0"/>
              <w:rPr>
                <w:sz w:val="20"/>
                <w:szCs w:val="20"/>
                <w:color w:val="auto"/>
              </w:rPr>
            </w:pPr>
            <w:r>
              <w:rPr>
                <w:rFonts w:ascii="Arial" w:cs="Arial" w:eastAsia="Arial" w:hAnsi="Arial"/>
                <w:sz w:val="18"/>
                <w:szCs w:val="18"/>
                <w:color w:val="auto"/>
              </w:rPr>
              <w:t>158,000</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829,306</w:t>
            </w:r>
          </w:p>
        </w:tc>
      </w:tr>
      <w:tr>
        <w:trPr>
          <w:trHeight w:val="254"/>
        </w:trPr>
        <w:tc>
          <w:tcPr>
            <w:tcW w:w="3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5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2"/>
                <w:szCs w:val="22"/>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color w:val="auto"/>
                <w:w w:val="89"/>
              </w:rPr>
              <w:t>375,000</w:t>
            </w:r>
          </w:p>
        </w:tc>
        <w:tc>
          <w:tcPr>
            <w:tcW w:w="2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53" w:lineRule="exact"/>
              <w:rPr>
                <w:sz w:val="20"/>
                <w:szCs w:val="20"/>
                <w:color w:val="auto"/>
              </w:rPr>
            </w:pPr>
            <w:r>
              <w:rPr>
                <w:rFonts w:ascii="Arial" w:cs="Arial" w:eastAsia="Arial" w:hAnsi="Arial"/>
                <w:sz w:val="18"/>
                <w:szCs w:val="18"/>
                <w:color w:val="auto"/>
              </w:rPr>
              <w:t>56,523</w:t>
            </w:r>
            <w:r>
              <w:rPr>
                <w:rFonts w:ascii="Arial" w:cs="Arial" w:eastAsia="Arial" w:hAnsi="Arial"/>
                <w:sz w:val="26"/>
                <w:szCs w:val="26"/>
                <w:color w:val="auto"/>
                <w:vertAlign w:val="superscript"/>
              </w:rPr>
              <w:t>(5)</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431,523</w:t>
            </w:r>
          </w:p>
        </w:tc>
      </w:tr>
      <w:tr>
        <w:trPr>
          <w:trHeight w:val="216"/>
        </w:trPr>
        <w:tc>
          <w:tcPr>
            <w:tcW w:w="2200" w:type="dxa"/>
            <w:vAlign w:val="bottom"/>
            <w:gridSpan w:val="2"/>
            <w:shd w:val="clear" w:color="auto" w:fill="CCEDFF"/>
          </w:tcPr>
          <w:p>
            <w:pPr>
              <w:spacing w:after="0"/>
              <w:rPr>
                <w:sz w:val="20"/>
                <w:szCs w:val="20"/>
                <w:color w:val="auto"/>
              </w:rPr>
            </w:pPr>
            <w:r>
              <w:rPr>
                <w:rFonts w:ascii="Arial" w:cs="Arial" w:eastAsia="Arial" w:hAnsi="Arial"/>
                <w:sz w:val="18"/>
                <w:szCs w:val="18"/>
                <w:color w:val="auto"/>
              </w:rPr>
              <w:t>Mythili Koneru</w:t>
            </w:r>
          </w:p>
        </w:tc>
        <w:tc>
          <w:tcPr>
            <w:tcW w:w="180" w:type="dxa"/>
            <w:vAlign w:val="bottom"/>
            <w:shd w:val="clear" w:color="auto" w:fill="CCEDFF"/>
          </w:tcPr>
          <w:p>
            <w:pPr>
              <w:spacing w:after="0"/>
              <w:rPr>
                <w:sz w:val="18"/>
                <w:szCs w:val="18"/>
                <w:color w:val="auto"/>
              </w:rPr>
            </w:pPr>
          </w:p>
        </w:tc>
        <w:tc>
          <w:tcPr>
            <w:tcW w:w="380" w:type="dxa"/>
            <w:vAlign w:val="bottom"/>
            <w:shd w:val="clear" w:color="auto" w:fill="CCEDFF"/>
          </w:tcPr>
          <w:p>
            <w:pPr>
              <w:spacing w:after="0"/>
              <w:rPr>
                <w:sz w:val="18"/>
                <w:szCs w:val="18"/>
                <w:color w:val="auto"/>
              </w:rPr>
            </w:pPr>
          </w:p>
        </w:tc>
        <w:tc>
          <w:tcPr>
            <w:tcW w:w="180" w:type="dxa"/>
            <w:vAlign w:val="bottom"/>
            <w:shd w:val="clear" w:color="auto" w:fill="CCEDFF"/>
          </w:tcPr>
          <w:p>
            <w:pPr>
              <w:spacing w:after="0"/>
              <w:rPr>
                <w:sz w:val="18"/>
                <w:szCs w:val="18"/>
                <w:color w:val="auto"/>
              </w:rPr>
            </w:pPr>
          </w:p>
        </w:tc>
        <w:tc>
          <w:tcPr>
            <w:tcW w:w="300" w:type="dxa"/>
            <w:vAlign w:val="bottom"/>
            <w:shd w:val="clear" w:color="auto" w:fill="CCEDFF"/>
          </w:tcPr>
          <w:p>
            <w:pPr>
              <w:spacing w:after="0"/>
              <w:rPr>
                <w:sz w:val="18"/>
                <w:szCs w:val="18"/>
                <w:color w:val="auto"/>
              </w:rPr>
            </w:pPr>
          </w:p>
        </w:tc>
        <w:tc>
          <w:tcPr>
            <w:tcW w:w="32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520" w:type="dxa"/>
            <w:vAlign w:val="bottom"/>
            <w:shd w:val="clear" w:color="auto" w:fill="CCEDFF"/>
          </w:tcPr>
          <w:p>
            <w:pPr>
              <w:spacing w:after="0"/>
              <w:rPr>
                <w:sz w:val="18"/>
                <w:szCs w:val="18"/>
                <w:color w:val="auto"/>
              </w:rPr>
            </w:pPr>
          </w:p>
        </w:tc>
        <w:tc>
          <w:tcPr>
            <w:tcW w:w="200" w:type="dxa"/>
            <w:vAlign w:val="bottom"/>
            <w:shd w:val="clear" w:color="auto" w:fill="CCEDFF"/>
          </w:tcPr>
          <w:p>
            <w:pPr>
              <w:spacing w:after="0"/>
              <w:rPr>
                <w:sz w:val="18"/>
                <w:szCs w:val="18"/>
                <w:color w:val="auto"/>
              </w:rPr>
            </w:pPr>
          </w:p>
        </w:tc>
        <w:tc>
          <w:tcPr>
            <w:tcW w:w="74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1080" w:type="dxa"/>
            <w:vAlign w:val="bottom"/>
            <w:shd w:val="clear" w:color="auto" w:fill="CCEDFF"/>
          </w:tcPr>
          <w:p>
            <w:pPr>
              <w:spacing w:after="0"/>
              <w:rPr>
                <w:sz w:val="18"/>
                <w:szCs w:val="18"/>
                <w:color w:val="auto"/>
              </w:rPr>
            </w:pPr>
          </w:p>
        </w:tc>
        <w:tc>
          <w:tcPr>
            <w:tcW w:w="220" w:type="dxa"/>
            <w:vAlign w:val="bottom"/>
            <w:shd w:val="clear" w:color="auto" w:fill="CCEDFF"/>
          </w:tcPr>
          <w:p>
            <w:pPr>
              <w:spacing w:after="0"/>
              <w:rPr>
                <w:sz w:val="18"/>
                <w:szCs w:val="18"/>
                <w:color w:val="auto"/>
              </w:rPr>
            </w:pPr>
          </w:p>
        </w:tc>
        <w:tc>
          <w:tcPr>
            <w:tcW w:w="740" w:type="dxa"/>
            <w:vAlign w:val="bottom"/>
            <w:shd w:val="clear" w:color="auto" w:fill="CCEDFF"/>
          </w:tcPr>
          <w:p>
            <w:pPr>
              <w:spacing w:after="0"/>
              <w:rPr>
                <w:sz w:val="18"/>
                <w:szCs w:val="18"/>
                <w:color w:val="auto"/>
              </w:rPr>
            </w:pPr>
          </w:p>
        </w:tc>
      </w:tr>
      <w:tr>
        <w:trPr>
          <w:trHeight w:val="232"/>
        </w:trPr>
        <w:tc>
          <w:tcPr>
            <w:tcW w:w="2200" w:type="dxa"/>
            <w:vAlign w:val="bottom"/>
            <w:gridSpan w:val="2"/>
            <w:shd w:val="clear" w:color="auto" w:fill="CCED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80" w:type="dxa"/>
            <w:vAlign w:val="bottom"/>
            <w:shd w:val="clear" w:color="auto" w:fill="CCEDFF"/>
          </w:tcPr>
          <w:p>
            <w:pPr>
              <w:spacing w:after="0"/>
              <w:rPr>
                <w:sz w:val="20"/>
                <w:szCs w:val="20"/>
                <w:color w:val="auto"/>
              </w:rPr>
            </w:pPr>
          </w:p>
        </w:tc>
        <w:tc>
          <w:tcPr>
            <w:tcW w:w="3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shd w:val="clear" w:color="auto" w:fill="CCEDFF"/>
          </w:tcPr>
          <w:p>
            <w:pPr>
              <w:spacing w:after="0"/>
              <w:rPr>
                <w:sz w:val="20"/>
                <w:szCs w:val="20"/>
                <w:color w:val="auto"/>
              </w:rPr>
            </w:pPr>
          </w:p>
        </w:tc>
        <w:tc>
          <w:tcPr>
            <w:tcW w:w="620" w:type="dxa"/>
            <w:vAlign w:val="bottom"/>
            <w:gridSpan w:val="2"/>
            <w:shd w:val="clear" w:color="auto" w:fill="CCEDFF"/>
          </w:tcPr>
          <w:p>
            <w:pPr>
              <w:ind w:left="20"/>
              <w:spacing w:after="0"/>
              <w:rPr>
                <w:sz w:val="20"/>
                <w:szCs w:val="20"/>
                <w:color w:val="auto"/>
              </w:rPr>
            </w:pPr>
            <w:r>
              <w:rPr>
                <w:rFonts w:ascii="Arial" w:cs="Arial" w:eastAsia="Arial" w:hAnsi="Arial"/>
                <w:sz w:val="18"/>
                <w:szCs w:val="18"/>
                <w:color w:val="auto"/>
                <w:w w:val="89"/>
              </w:rPr>
              <w:t>398,600</w:t>
            </w:r>
          </w:p>
        </w:tc>
        <w:tc>
          <w:tcPr>
            <w:tcW w:w="200" w:type="dxa"/>
            <w:vAlign w:val="bottom"/>
            <w:shd w:val="clear" w:color="auto" w:fill="CCEDFF"/>
          </w:tcPr>
          <w:p>
            <w:pPr>
              <w:spacing w:after="0"/>
              <w:rPr>
                <w:sz w:val="20"/>
                <w:szCs w:val="20"/>
                <w:color w:val="auto"/>
              </w:rPr>
            </w:pPr>
          </w:p>
        </w:tc>
        <w:tc>
          <w:tcPr>
            <w:tcW w:w="720" w:type="dxa"/>
            <w:vAlign w:val="bottom"/>
            <w:gridSpan w:val="2"/>
            <w:shd w:val="clear" w:color="auto" w:fill="CCED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243,600</w:t>
            </w:r>
          </w:p>
        </w:tc>
        <w:tc>
          <w:tcPr>
            <w:tcW w:w="220" w:type="dxa"/>
            <w:vAlign w:val="bottom"/>
            <w:shd w:val="clear" w:color="auto" w:fill="CCEDFF"/>
          </w:tcPr>
          <w:p>
            <w:pPr>
              <w:spacing w:after="0"/>
              <w:rPr>
                <w:sz w:val="20"/>
                <w:szCs w:val="20"/>
                <w:color w:val="auto"/>
              </w:rPr>
            </w:pPr>
          </w:p>
        </w:tc>
        <w:tc>
          <w:tcPr>
            <w:tcW w:w="1080" w:type="dxa"/>
            <w:vAlign w:val="bottom"/>
            <w:shd w:val="clear" w:color="auto" w:fill="CCEDFF"/>
          </w:tcPr>
          <w:p>
            <w:pPr>
              <w:jc w:val="right"/>
              <w:ind w:right="156"/>
              <w:spacing w:after="0"/>
              <w:rPr>
                <w:sz w:val="20"/>
                <w:szCs w:val="20"/>
                <w:color w:val="auto"/>
              </w:rPr>
            </w:pPr>
            <w:r>
              <w:rPr>
                <w:rFonts w:ascii="Arial" w:cs="Arial" w:eastAsia="Arial" w:hAnsi="Arial"/>
                <w:sz w:val="18"/>
                <w:szCs w:val="18"/>
                <w:color w:val="auto"/>
              </w:rPr>
              <w:t>140,000</w:t>
            </w:r>
          </w:p>
        </w:tc>
        <w:tc>
          <w:tcPr>
            <w:tcW w:w="220" w:type="dxa"/>
            <w:vAlign w:val="bottom"/>
            <w:shd w:val="clear" w:color="auto" w:fill="CCEDFF"/>
          </w:tcPr>
          <w:p>
            <w:pPr>
              <w:spacing w:after="0"/>
              <w:rPr>
                <w:sz w:val="20"/>
                <w:szCs w:val="20"/>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782,200</w:t>
            </w:r>
          </w:p>
        </w:tc>
      </w:tr>
      <w:tr>
        <w:trPr>
          <w:trHeight w:val="348"/>
        </w:trPr>
        <w:tc>
          <w:tcPr>
            <w:tcW w:w="360" w:type="dxa"/>
            <w:vAlign w:val="bottom"/>
            <w:shd w:val="clear" w:color="auto" w:fill="CCEDFF"/>
          </w:tcPr>
          <w:p>
            <w:pPr>
              <w:spacing w:after="0"/>
              <w:rPr>
                <w:sz w:val="24"/>
                <w:szCs w:val="24"/>
                <w:color w:val="auto"/>
              </w:rPr>
            </w:pPr>
          </w:p>
        </w:tc>
        <w:tc>
          <w:tcPr>
            <w:tcW w:w="1840" w:type="dxa"/>
            <w:vAlign w:val="bottom"/>
            <w:shd w:val="clear" w:color="auto" w:fill="CCEDFF"/>
          </w:tcPr>
          <w:p>
            <w:pPr>
              <w:spacing w:after="0"/>
              <w:rPr>
                <w:sz w:val="24"/>
                <w:szCs w:val="24"/>
                <w:color w:val="auto"/>
              </w:rPr>
            </w:pPr>
          </w:p>
        </w:tc>
        <w:tc>
          <w:tcPr>
            <w:tcW w:w="180" w:type="dxa"/>
            <w:vAlign w:val="bottom"/>
            <w:shd w:val="clear" w:color="auto" w:fill="CCEDFF"/>
          </w:tcPr>
          <w:p>
            <w:pPr>
              <w:spacing w:after="0"/>
              <w:rPr>
                <w:sz w:val="24"/>
                <w:szCs w:val="24"/>
                <w:color w:val="auto"/>
              </w:rPr>
            </w:pPr>
          </w:p>
        </w:tc>
        <w:tc>
          <w:tcPr>
            <w:tcW w:w="380" w:type="dxa"/>
            <w:vAlign w:val="bottom"/>
            <w:shd w:val="clear" w:color="auto" w:fill="CCEDFF"/>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shd w:val="clear" w:color="auto" w:fill="CCEDFF"/>
          </w:tcPr>
          <w:p>
            <w:pPr>
              <w:spacing w:after="0"/>
              <w:rPr>
                <w:sz w:val="24"/>
                <w:szCs w:val="24"/>
                <w:color w:val="auto"/>
              </w:rPr>
            </w:pPr>
          </w:p>
        </w:tc>
        <w:tc>
          <w:tcPr>
            <w:tcW w:w="820" w:type="dxa"/>
            <w:vAlign w:val="bottom"/>
            <w:gridSpan w:val="3"/>
            <w:shd w:val="clear" w:color="auto" w:fill="CCEDFF"/>
          </w:tcPr>
          <w:p>
            <w:pPr>
              <w:ind w:left="20"/>
              <w:spacing w:after="0"/>
              <w:rPr>
                <w:sz w:val="20"/>
                <w:szCs w:val="20"/>
                <w:color w:val="auto"/>
              </w:rPr>
            </w:pPr>
            <w:r>
              <w:rPr>
                <w:rFonts w:ascii="Arial" w:cs="Arial" w:eastAsia="Arial" w:hAnsi="Arial"/>
                <w:sz w:val="18"/>
                <w:szCs w:val="18"/>
                <w:color w:val="auto"/>
                <w:w w:val="90"/>
              </w:rPr>
              <w:t>313,542</w:t>
            </w:r>
            <w:r>
              <w:rPr>
                <w:rFonts w:ascii="Arial" w:cs="Arial" w:eastAsia="Arial" w:hAnsi="Arial"/>
                <w:sz w:val="26"/>
                <w:szCs w:val="26"/>
                <w:color w:val="auto"/>
                <w:w w:val="90"/>
                <w:vertAlign w:val="superscript"/>
              </w:rPr>
              <w:t>(3)</w:t>
            </w:r>
          </w:p>
        </w:tc>
        <w:tc>
          <w:tcPr>
            <w:tcW w:w="720" w:type="dxa"/>
            <w:vAlign w:val="bottom"/>
            <w:gridSpan w:val="2"/>
            <w:shd w:val="clear" w:color="auto" w:fill="CCEDFF"/>
          </w:tcPr>
          <w:p>
            <w:pPr>
              <w:jc w:val="right"/>
              <w:ind w:right="60"/>
              <w:spacing w:after="0"/>
              <w:rPr>
                <w:sz w:val="20"/>
                <w:szCs w:val="20"/>
                <w:color w:val="auto"/>
              </w:rPr>
            </w:pPr>
            <w:r>
              <w:rPr>
                <w:rFonts w:ascii="Arial" w:cs="Arial" w:eastAsia="Arial" w:hAnsi="Arial"/>
                <w:sz w:val="18"/>
                <w:szCs w:val="18"/>
                <w:color w:val="auto"/>
                <w:w w:val="83"/>
              </w:rPr>
              <w:t>50,000</w:t>
            </w:r>
            <w:r>
              <w:rPr>
                <w:rFonts w:ascii="Arial" w:cs="Arial" w:eastAsia="Arial" w:hAnsi="Arial"/>
                <w:sz w:val="26"/>
                <w:szCs w:val="26"/>
                <w:color w:val="auto"/>
                <w:w w:val="83"/>
                <w:vertAlign w:val="superscript"/>
              </w:rPr>
              <w:t>(4)</w:t>
            </w: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w w:val="89"/>
              </w:rPr>
              <w:t>1,438,656</w:t>
            </w:r>
          </w:p>
        </w:tc>
        <w:tc>
          <w:tcPr>
            <w:tcW w:w="220" w:type="dxa"/>
            <w:vAlign w:val="bottom"/>
            <w:shd w:val="clear" w:color="auto" w:fill="CCEDFF"/>
          </w:tcPr>
          <w:p>
            <w:pPr>
              <w:spacing w:after="0"/>
              <w:rPr>
                <w:sz w:val="24"/>
                <w:szCs w:val="24"/>
                <w:color w:val="auto"/>
              </w:rPr>
            </w:pPr>
          </w:p>
        </w:tc>
        <w:tc>
          <w:tcPr>
            <w:tcW w:w="108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41,565</w:t>
            </w:r>
            <w:r>
              <w:rPr>
                <w:rFonts w:ascii="Arial" w:cs="Arial" w:eastAsia="Arial" w:hAnsi="Arial"/>
                <w:sz w:val="26"/>
                <w:szCs w:val="26"/>
                <w:color w:val="auto"/>
                <w:vertAlign w:val="superscript"/>
              </w:rPr>
              <w:t>(5)</w:t>
            </w:r>
          </w:p>
        </w:tc>
        <w:tc>
          <w:tcPr>
            <w:tcW w:w="220" w:type="dxa"/>
            <w:vAlign w:val="bottom"/>
            <w:shd w:val="clear" w:color="auto" w:fill="CCEDFF"/>
          </w:tcPr>
          <w:p>
            <w:pPr>
              <w:spacing w:after="0"/>
              <w:rPr>
                <w:sz w:val="24"/>
                <w:szCs w:val="24"/>
                <w:color w:val="auto"/>
              </w:rPr>
            </w:pPr>
          </w:p>
        </w:tc>
        <w:tc>
          <w:tcPr>
            <w:tcW w:w="740" w:type="dxa"/>
            <w:vAlign w:val="bottom"/>
            <w:shd w:val="clear" w:color="auto" w:fill="CCEDFF"/>
          </w:tcPr>
          <w:p>
            <w:pPr>
              <w:jc w:val="right"/>
              <w:spacing w:after="0"/>
              <w:rPr>
                <w:sz w:val="20"/>
                <w:szCs w:val="20"/>
                <w:color w:val="auto"/>
              </w:rPr>
            </w:pPr>
            <w:r>
              <w:rPr>
                <w:rFonts w:ascii="Arial" w:cs="Arial" w:eastAsia="Arial" w:hAnsi="Arial"/>
                <w:sz w:val="18"/>
                <w:szCs w:val="18"/>
                <w:color w:val="auto"/>
                <w:w w:val="89"/>
              </w:rPr>
              <w:t>1,843,763</w:t>
            </w:r>
          </w:p>
        </w:tc>
      </w:tr>
      <w:tr>
        <w:trPr>
          <w:trHeight w:val="230"/>
        </w:trPr>
        <w:tc>
          <w:tcPr>
            <w:tcW w:w="360" w:type="dxa"/>
            <w:vAlign w:val="bottom"/>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-1568450</wp:posOffset>
            </wp:positionV>
            <wp:extent cx="137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-1568450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-1568450</wp:posOffset>
            </wp:positionV>
            <wp:extent cx="137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-1568450</wp:posOffset>
            </wp:positionV>
            <wp:extent cx="128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-1568450</wp:posOffset>
            </wp:positionV>
            <wp:extent cx="120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-1568450</wp:posOffset>
            </wp:positionV>
            <wp:extent cx="120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0" w:lineRule="exact"/>
        <w:rPr>
          <w:sz w:val="20"/>
          <w:szCs w:val="20"/>
          <w:color w:val="auto"/>
        </w:rPr>
      </w:pPr>
    </w:p>
    <w:p>
      <w:pPr>
        <w:jc w:val="both"/>
        <w:ind w:left="1480" w:right="419" w:hanging="360"/>
        <w:spacing w:after="0" w:line="269"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amounts reported do not reflect the amounts actually received by our named executive officers. Instead, in accordance with SEC rules, these amounts reflect the grant date fair value of each stock option granted to our named executive officers during the fiscal year ended December 31, 2020, as computed in accordance with Financial Accounting Standard Board Accounting Standards Codification Topic 718 for stock-based compensation transactions (“FASB ASC 718”). Assumptions used in the calculation of these amounts are included in Note 11 to our audited financial statements included in our Annual Report on Form 10-K. As required by SEC rules, the amounts shown exclude the impact of estimated forfeitures related to service-based vesting conditions. Our named executive officers who have received options will only realize compensation with regard to these options to the extent the trading price of our common stock is greater than the exercise price of such options.</w:t>
      </w:r>
    </w:p>
    <w:p>
      <w:pPr>
        <w:spacing w:after="0" w:line="6" w:lineRule="exact"/>
        <w:rPr>
          <w:rFonts w:ascii="Arial" w:cs="Arial" w:eastAsia="Arial" w:hAnsi="Arial"/>
          <w:sz w:val="17"/>
          <w:szCs w:val="17"/>
          <w:color w:val="auto"/>
        </w:rPr>
      </w:pPr>
    </w:p>
    <w:p>
      <w:pPr>
        <w:ind w:left="1480" w:right="419" w:hanging="360"/>
        <w:spacing w:after="0" w:line="266"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Hoang did not earn compensation during 2019 or 2020 for his service on the Board of Directors.</w:t>
      </w:r>
    </w:p>
    <w:p>
      <w:pPr>
        <w:jc w:val="both"/>
        <w:ind w:left="1480" w:right="419" w:hanging="360"/>
        <w:spacing w:after="0" w:line="256"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Koneru’s employment with us commenced in February 2019. Dr. Koneru ceased serving as our Senior Vice President of Clinical Development and was appointed as our Chief Medical Officer in December 2019. The 2019 salary reported reflects the pro rata portion of Dr. Koneru’s annual salary of $350,000 earned during 2019 from commencement of her employment through December 31, 2019.</w:t>
      </w:r>
    </w:p>
    <w:p>
      <w:pPr>
        <w:spacing w:after="0" w:line="3" w:lineRule="exact"/>
        <w:rPr>
          <w:rFonts w:ascii="Arial" w:cs="Arial" w:eastAsia="Arial" w:hAnsi="Arial"/>
          <w:sz w:val="18"/>
          <w:szCs w:val="18"/>
          <w:color w:val="auto"/>
        </w:rPr>
      </w:pPr>
    </w:p>
    <w:p>
      <w:pPr>
        <w:ind w:left="1480" w:right="419" w:hanging="360"/>
        <w:spacing w:after="0" w:line="273"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 one-time cash sign-on bonus of $50,000 pursuant to Dr. Koneru’s employment agreement.</w:t>
      </w:r>
    </w:p>
    <w:p>
      <w:pPr>
        <w:spacing w:after="0" w:line="1" w:lineRule="exact"/>
        <w:rPr>
          <w:rFonts w:ascii="Arial" w:cs="Arial" w:eastAsia="Arial" w:hAnsi="Arial"/>
          <w:sz w:val="18"/>
          <w:szCs w:val="18"/>
          <w:color w:val="auto"/>
        </w:rPr>
      </w:pPr>
    </w:p>
    <w:p>
      <w:pPr>
        <w:jc w:val="both"/>
        <w:ind w:left="1480" w:right="419" w:hanging="360"/>
        <w:spacing w:after="0" w:line="253"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determined to pay the 2019 annual incentives in the form of stock options that vest monthly over a four-year period, subject to the named executive officer’s continued service with us through each applicable vesting date, as described below in “− Narrative to Summary Compensation Table – Executive Compensation Program – Annual Incentive Compensation.” Pursuant to SEC rules, the amount of the annual incentives awarded to each named executive officer has been reported in the Summary Compensation Table under the “Non-Equity Incentive Plan Compensation” column for fiscal year 2019. Because the stock options were granted to our named executive officers in March 2020, the same awards are also reported under the “Option Awards” column of the Summary Compensation Table for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582295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019"/>
      </w:cols>
      <w:pgMar w:left="1440" w:top="11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2021-05-05T15:39:07Z</dcterms:created>
  <dcterms:modified xsi:type="dcterms:W3CDTF">2021-05-05T15:39:07Z</dcterms:modified>
</cp:coreProperties>
</file>