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August 6,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60" w:hanging="115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60" w:hanging="115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60" w:hanging="115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60" w:hanging="115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gridSpan w:val="2"/>
          </w:tcPr>
          <w:p>
            <w:pPr>
              <w:jc w:val="center"/>
              <w:ind w:right="1100"/>
              <w:spacing w:after="0"/>
              <w:rPr>
                <w:sz w:val="20"/>
                <w:szCs w:val="20"/>
                <w:color w:val="auto"/>
              </w:rPr>
            </w:pPr>
            <w:r>
              <w:rPr>
                <w:rFonts w:ascii="Arial" w:cs="Arial" w:eastAsia="Arial" w:hAnsi="Arial"/>
                <w:sz w:val="18"/>
                <w:szCs w:val="18"/>
                <w:color w:val="auto"/>
                <w:w w:val="91"/>
              </w:rPr>
              <w:t>Trading</w:t>
            </w:r>
          </w:p>
        </w:tc>
        <w:tc>
          <w:tcPr>
            <w:tcW w:w="36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740" w:type="dxa"/>
            <w:vAlign w:val="bottom"/>
            <w:gridSpan w:val="3"/>
          </w:tcPr>
          <w:p>
            <w:pPr>
              <w:jc w:val="center"/>
              <w:ind w:right="1120"/>
              <w:spacing w:after="0"/>
              <w:rPr>
                <w:sz w:val="20"/>
                <w:szCs w:val="20"/>
                <w:color w:val="auto"/>
              </w:rPr>
            </w:pPr>
            <w:r>
              <w:rPr>
                <w:rFonts w:ascii="Arial" w:cs="Arial" w:eastAsia="Arial" w:hAnsi="Arial"/>
                <w:sz w:val="18"/>
                <w:szCs w:val="18"/>
                <w:color w:val="auto"/>
                <w:w w:val="90"/>
              </w:rPr>
              <w:t>Title of each class</w:t>
            </w:r>
          </w:p>
        </w:tc>
        <w:tc>
          <w:tcPr>
            <w:tcW w:w="3020" w:type="dxa"/>
            <w:vAlign w:val="bottom"/>
            <w:gridSpan w:val="2"/>
          </w:tcPr>
          <w:p>
            <w:pPr>
              <w:jc w:val="center"/>
              <w:ind w:right="1080"/>
              <w:spacing w:after="0"/>
              <w:rPr>
                <w:sz w:val="20"/>
                <w:szCs w:val="20"/>
                <w:color w:val="auto"/>
              </w:rPr>
            </w:pPr>
            <w:r>
              <w:rPr>
                <w:rFonts w:ascii="Arial" w:cs="Arial" w:eastAsia="Arial" w:hAnsi="Arial"/>
                <w:sz w:val="18"/>
                <w:szCs w:val="18"/>
                <w:color w:val="auto"/>
                <w:w w:val="91"/>
              </w:rPr>
              <w:t>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rPr>
              <w:t>MRKR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ind w:left="104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Steve Elms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Effective August 6, 2019, the board of directors (the “Board”) of Marker Therapeutics, Inc. (the “Company”) appointed Steve Elms to serve as a director of the Company. Mr. Elms’ term will expire at the 2020 annual meeting of stockholders, and he will serve as a member of the audit committee and nominating and governance committees of the Board.</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There is no arrangement or understanding between Mr. Elms and any other person pursuant to which he was selected as a director of the Company, and there is no family relationship between Mr. Elms and any of the Company’s other directors or executive officers. The Company is not aware of any transaction involving Mr. Elms requiring disclosure under Item 404(a) of Regulation S-K. Additional information about Mr. Elms is set forth below:</w:t>
      </w:r>
    </w:p>
    <w:p>
      <w:pPr>
        <w:spacing w:after="0" w:line="16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i w:val="1"/>
          <w:iCs w:val="1"/>
          <w:color w:val="auto"/>
        </w:rPr>
        <w:t>Steve Elms</w:t>
      </w:r>
      <w:r>
        <w:rPr>
          <w:rFonts w:ascii="Arial" w:cs="Arial" w:eastAsia="Arial" w:hAnsi="Arial"/>
          <w:sz w:val="16"/>
          <w:szCs w:val="16"/>
          <w:color w:val="auto"/>
        </w:rPr>
        <w:t>, age 55, is Managing Partner of Aisling Capital LLC, a private equity firm. He joined Aisling Capital LLC in 2000 from the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banking group of Chase H&amp;Q (formerly Hambrecht and Quist Group Inc.) where he was a principal. Mr. Elms has served as chairman of the board of directors of ADMA Biologics, Inc. since 2007 and as a member of the board of directors of Zosano Pharma Corp. since May 2018. He previously served as a member of the boards of directors of Ambit Biosciences Corp. from 2001 to 2014 and LOXO Oncology from July 2013 to February 2019.</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Elms received his B.A. in Human Biology from Stanford University and his M.B.A. from the Kellogg Graduate School of Management at Northwestern University. The Board believes that Mr. Elms’ background in financial services and extensive experience in the pharmaceutical and healthcare industries qualify him to serve on the Board.</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accordance with the Company’s non-employee director compensation policy, upon commencement of his service as a director, Mr. Elms was granted an initial option grant to purchase 12,500 shares of the Company’s common stock, which will vest in equal monthly installments over a two-year period such that the option is fully vested on the second anniversary of the date of grant, subject to Mr. Elms’ continuous service through such vesting date. Additionally, Mr. Elms will be entitled to receive an $80,000 annual retainer, $40,000 of which will be payable quarterly and $40,000 of which will be payable in restricted stock at the next annual meeting of stockholders, all subject to Mr. Elms’ continuous service through such payment dates, for his service on the Board. Mr. Elms has also entered into the Company’s standard form of indemnification agreement.</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August 6, 2019, the Company issued a press release announcing the appointment of Mr. Elms to the Board.</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information in this Item 7.01 of this Current Report on 8-K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392"/>
        </w:trPr>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gridSpan w:val="4"/>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40" w:type="dxa"/>
            <w:vAlign w:val="bottom"/>
          </w:tcPr>
          <w:p>
            <w:pPr>
              <w:spacing w:after="0"/>
              <w:rPr>
                <w:sz w:val="17"/>
                <w:szCs w:val="17"/>
                <w:color w:val="auto"/>
              </w:rPr>
            </w:pPr>
          </w:p>
        </w:tc>
        <w:tc>
          <w:tcPr>
            <w:tcW w:w="10400" w:type="dxa"/>
            <w:vAlign w:val="bottom"/>
            <w:gridSpan w:val="4"/>
          </w:tcPr>
          <w:p>
            <w:pPr>
              <w:ind w:left="480"/>
              <w:spacing w:after="0" w:line="196" w:lineRule="exact"/>
              <w:rPr>
                <w:sz w:val="20"/>
                <w:szCs w:val="20"/>
                <w:color w:val="auto"/>
              </w:rPr>
            </w:pPr>
            <w:r>
              <w:rPr>
                <w:rFonts w:ascii="Arial" w:cs="Arial" w:eastAsia="Arial" w:hAnsi="Arial"/>
                <w:sz w:val="18"/>
                <w:szCs w:val="18"/>
                <w:color w:val="0000EE"/>
              </w:rPr>
              <w:t>Press release issued on August 6, 2019.</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960" w:type="dxa"/>
            <w:vAlign w:val="bottom"/>
            <w:tcBorders>
              <w:top w:val="single" w:sz="8" w:color="0000EE"/>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Dated: August 6, 2019</w:t>
            </w:r>
          </w:p>
        </w:tc>
        <w:tc>
          <w:tcPr>
            <w:tcW w:w="2500" w:type="dxa"/>
            <w:vAlign w:val="bottom"/>
          </w:tcPr>
          <w:p>
            <w:pPr>
              <w:ind w:left="20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Anthony Kim</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38020"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Appoints Steve Elms to its Board of Directors</w:t>
      </w:r>
    </w:p>
    <w:p>
      <w:pPr>
        <w:spacing w:after="0" w:line="200" w:lineRule="exact"/>
        <w:rPr>
          <w:sz w:val="20"/>
          <w:szCs w:val="20"/>
          <w:color w:val="auto"/>
        </w:rPr>
      </w:pPr>
    </w:p>
    <w:p>
      <w:pPr>
        <w:spacing w:after="0" w:line="24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Houston, TX – August 6,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announced the appointment of Steve Elms to its Board of Directors, effective August 6.</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pleased to welcome Steve to our Board of Directors,” said Peter L. Hoang, President &amp; CEO of Marker. “Steve has built an impressive career, holding numerous leadership positions in the healthcare sector and we look forward to his many contributions as we continue to advance our pipeline of next-generation T cell-based immunotherapies.”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Throughout his career, Mr. Elms has held numerous leadership roles in the healthcare sector. Mr. Elms currently serves as Managing Partner at Aisling Capital, a leading life sciences invetment firm. Prior to joining Aisling, he was a Principal in the Life Sciences Investment Banking Group of Chase H&amp;Q (formerly Hambrecht &amp; Quist), where he was involved in over 60 financing and M&amp;A transactions, helping clients raise in excess of $3.3 billion in capital. Prior to H&amp;Q, Mr. Elms traded mortgage-backed securities at Donaldson, Lufkin &amp; Jenrette. His previous healthcare sector experience includes over two years as a pharmaceutical sales representative for Marion Laboratories and two years as a consultant for The Wilkerson Group. Mr. Elms currently serves as a director of ADMA Biologics, Ajax Health II and Zosano Pharma and and was previously chairman of the board of LOXO Oncology. He also serves on the INVO Board at Northwestern University. Mr. Elms received his M.B.A. from the Kellogg Graduate School of Management at Northwestern University and his B.A. in Human Biology from Stanford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cells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140"/>
        <w:spacing w:after="0" w:line="264" w:lineRule="auto"/>
        <w:rPr>
          <w:sz w:val="20"/>
          <w:szCs w:val="20"/>
          <w:color w:val="auto"/>
        </w:rPr>
      </w:pPr>
      <w:r>
        <w:rPr>
          <w:rFonts w:ascii="Arial" w:cs="Arial" w:eastAsia="Arial" w:hAnsi="Arial"/>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2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https://markertherapeutics.com/email-alerts/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non-engineered multi-tumor antigen specific T cell therapies;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48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221-9197 </w:t>
      </w:r>
      <w:r>
        <w:rPr>
          <w:rFonts w:ascii="Arial" w:cs="Arial" w:eastAsia="Arial" w:hAnsi="Arial"/>
          <w:sz w:val="16"/>
          <w:szCs w:val="16"/>
          <w:u w:val="single" w:color="auto"/>
          <w:color w:val="0000FF"/>
        </w:rPr>
        <w:t>crusso@soleburytrout.com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2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450-0349 </w:t>
      </w:r>
      <w:r>
        <w:rPr>
          <w:rFonts w:ascii="Arial" w:cs="Arial" w:eastAsia="Arial" w:hAnsi="Arial"/>
          <w:sz w:val="16"/>
          <w:szCs w:val="16"/>
          <w:u w:val="single" w:color="auto"/>
          <w:color w:val="0000FF"/>
        </w:rPr>
        <w:t>abonanno@soleburytrout.com</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17"/>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2019-11-30T09:19:28Z</dcterms:created>
  <dcterms:modified xsi:type="dcterms:W3CDTF">2019-11-30T09:19:28Z</dcterms:modified>
</cp:coreProperties>
</file>