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30322d1_8k.htm"/>
      <w:bookmarkStart w:id="1" w:name="kstm233032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w:t>
      </w:r>
      <w:bookmarkStart w:id="2" w:name="xdx_903_edei--DocumentType_c20231109__20"/>
      <w:bookmarkEnd w:id="2"/>
      <w:r>
        <w:rPr>
          <w:rFonts w:ascii="Times New Roman;Times;Serif" w:hAnsi="Times New Roman;Times;Serif"/>
          <w:b/>
          <w:i w:val="false"/>
          <w:caps w:val="false"/>
          <w:smallCaps w:val="false"/>
          <w:sz w:val="20"/>
          <w:u w:val="single"/>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xdx_905_edei--DocumentPeriodEndDate_c202"/>
      <w:bookmarkEnd w:id="3"/>
      <w:r>
        <w:rPr>
          <w:rFonts w:ascii="Times New Roman;Times;Serif" w:hAnsi="Times New Roman;Times;Serif"/>
          <w:b/>
          <w:i w:val="false"/>
          <w:caps w:val="false"/>
          <w:smallCaps w:val="false"/>
          <w:sz w:val="20"/>
          <w:u w:val="single"/>
        </w:rPr>
        <w:t>November 9, 2023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B_edei--EntityRegistrantName_c2023"/>
      <w:bookmarkEnd w:id="4"/>
      <w:r>
        <w:rPr>
          <w:rFonts w:ascii="Times New Roman;Times;Serif" w:hAnsi="Times New Roman;Times;Serif"/>
          <w:b/>
          <w:i w:val="false"/>
          <w:caps w:val="false"/>
          <w:smallCaps w:val="false"/>
          <w:sz w:val="28"/>
          <w:u w:val="single"/>
        </w:rPr>
        <w:t>MARKER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5" w:name="xdx_900_edei--EntityIncorporationStateCo"/>
            <w:bookmarkEnd w:id="5"/>
            <w:r>
              <w:rPr>
                <w:rFonts w:ascii="Times New Roman;Times;Serif" w:hAnsi="Times New Roman;Times;Serif"/>
                <w:b/>
                <w:i w:val="false"/>
                <w:caps w:val="false"/>
                <w:smallCaps w:val="false"/>
                <w:sz w:val="20"/>
                <w:u w:val="single"/>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6" w:name="xdx_903_edei--EntityFileNumber_c20231109"/>
            <w:bookmarkEnd w:id="6"/>
            <w:r>
              <w:rPr>
                <w:rFonts w:ascii="Times New Roman;Times;Serif" w:hAnsi="Times New Roman;Times;Serif"/>
                <w:b/>
                <w:i w:val="false"/>
                <w:caps w:val="false"/>
                <w:smallCaps w:val="false"/>
                <w:sz w:val="20"/>
                <w:u w:val="single"/>
              </w:rPr>
              <w:t>001-37939</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7" w:name="xdx_908_edei--EntityTaxIdentificationNum"/>
            <w:bookmarkEnd w:id="7"/>
            <w:r>
              <w:rPr>
                <w:rFonts w:ascii="Times New Roman;Times;Serif" w:hAnsi="Times New Roman;Times;Serif"/>
                <w:b/>
                <w:i w:val="false"/>
                <w:caps w:val="false"/>
                <w:smallCaps w:val="false"/>
                <w:sz w:val="20"/>
                <w:u w:val="single"/>
              </w:rPr>
              <w:t>45-4497941</w:t>
            </w:r>
          </w:p>
        </w:tc>
      </w:tr>
      <w:tr>
        <w:trPr/>
        <w:tc>
          <w:tcPr>
            <w:tcW w:w="3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9350 Kirby Drive, Suite 300</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bookmarkStart w:id="9" w:name="xdx_903_edei--EntityAddressCityOrTown_c2"/>
            <w:bookmarkEnd w:id="9"/>
            <w:r>
              <w:rPr>
                <w:rFonts w:ascii="Times New Roman;Times;Serif" w:hAnsi="Times New Roman;Times;Serif"/>
                <w:b/>
                <w:i w:val="false"/>
                <w:caps w:val="false"/>
                <w:smallCaps w:val="false"/>
                <w:sz w:val="20"/>
                <w:u w:val="single"/>
              </w:rPr>
              <w:t xml:space="preserve">Houston, </w:t>
            </w:r>
            <w:bookmarkStart w:id="10" w:name="xdx_90F_edei--EntityAddressStateOrProvin"/>
            <w:bookmarkEnd w:id="10"/>
            <w:r>
              <w:rPr>
                <w:rFonts w:ascii="Times New Roman;Times;Serif" w:hAnsi="Times New Roman;Times;Serif"/>
                <w:b/>
                <w:i w:val="false"/>
                <w:caps w:val="false"/>
                <w:smallCaps w:val="false"/>
                <w:sz w:val="20"/>
                <w:u w:val="single"/>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11" w:name="xdx_90C_edei--EntityAddressPostalZipCode"/>
            <w:bookmarkEnd w:id="11"/>
            <w:r>
              <w:rPr>
                <w:rFonts w:ascii="Times New Roman;Times;Serif" w:hAnsi="Times New Roman;Times;Serif"/>
                <w:b/>
                <w:i w:val="false"/>
                <w:caps w:val="false"/>
                <w:smallCaps w:val="false"/>
                <w:sz w:val="20"/>
                <w:u w:val="single"/>
              </w:rPr>
              <w:t>77054</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E_edei--CityAreaCode_c20231109__20"/>
      <w:bookmarkEnd w:id="12"/>
      <w:r>
        <w:rPr>
          <w:rFonts w:ascii="Times New Roman;Times;Serif" w:hAnsi="Times New Roman;Times;Serif"/>
          <w:b/>
          <w:i w:val="false"/>
          <w:caps w:val="false"/>
          <w:smallCaps w:val="false"/>
          <w:sz w:val="20"/>
        </w:rPr>
        <w:t>713) </w:t>
      </w:r>
      <w:bookmarkStart w:id="13" w:name="xdx_906_edei--LocalPhoneNumber_c20231109"/>
      <w:bookmarkEnd w:id="13"/>
      <w:r>
        <w:rPr>
          <w:rFonts w:ascii="Times New Roman;Times;Serif" w:hAnsi="Times New Roman;Times;Serif"/>
          <w:b/>
          <w:i w:val="false"/>
          <w:caps w:val="false"/>
          <w:smallCaps w:val="false"/>
          <w:sz w:val="20"/>
        </w:rPr>
        <w:t>400-6400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6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5" w:name="xdx_905_edei--SolicitingMaterial_c202311"/>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6" w:name="xdx_904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7" w:name="xdx_90F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3515"/>
        <w:gridCol w:w="60"/>
        <w:gridCol w:w="84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0_edei--Security12bTitle_c20231109"/>
            <w:bookmarkEnd w:id="18"/>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TradingSymbol_c20231109__2"/>
            <w:bookmarkEnd w:id="19"/>
            <w:r>
              <w:rPr>
                <w:rFonts w:ascii="Times New Roman;Times;Serif" w:hAnsi="Times New Roman;Times;Serif"/>
                <w:b w:val="false"/>
                <w:i w:val="false"/>
                <w:caps w:val="false"/>
                <w:smallCaps w:val="false"/>
                <w:sz w:val="20"/>
              </w:rPr>
              <w:t>MRKR</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SecurityExchangeName_c2023"/>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68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9, 2023, Marker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reported financial results for the quarter ended September 30, 2023 and other recent corporate updates. A copy of the press release is furnished as Exhibit 99.1 to this report and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995"/>
        <w:gridCol w:w="5465"/>
      </w:tblGrid>
      <w:tr>
        <w:trPr/>
        <w:tc>
          <w:tcPr>
            <w:tcW w:w="99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 No.</w:t>
            </w:r>
          </w:p>
        </w:tc>
        <w:tc>
          <w:tcPr>
            <w:tcW w:w="546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995" w:type="dxa"/>
            <w:tcBorders/>
            <w:vAlign w:val="center"/>
          </w:tcPr>
          <w:p>
            <w:pPr>
              <w:pStyle w:val="TableContents"/>
              <w:bidi w:val="0"/>
              <w:spacing w:before="0" w:after="283"/>
              <w:jc w:val="left"/>
              <w:rPr/>
            </w:pPr>
            <w:hyperlink w:anchor="tm2330322d1_ex99-1.htm">
              <w:r>
                <w:rPr>
                  <w:rStyle w:val="InternetLink"/>
                  <w:rFonts w:ascii="Times New Roman;Times;Serif" w:hAnsi="Times New Roman;Times;Serif"/>
                  <w:sz w:val="20"/>
                </w:rPr>
                <w:t>99.1</w:t>
              </w:r>
            </w:hyperlink>
          </w:p>
        </w:tc>
        <w:tc>
          <w:tcPr>
            <w:tcW w:w="5465" w:type="dxa"/>
            <w:tcBorders/>
            <w:vAlign w:val="center"/>
          </w:tcPr>
          <w:p>
            <w:pPr>
              <w:pStyle w:val="TableContents"/>
              <w:bidi w:val="0"/>
              <w:spacing w:before="0" w:after="283"/>
              <w:jc w:val="left"/>
              <w:rPr/>
            </w:pPr>
            <w:hyperlink w:anchor="tm2330322d1_ex99-1.htm">
              <w:r>
                <w:rPr>
                  <w:rStyle w:val="InternetLink"/>
                  <w:rFonts w:ascii="Times New Roman;Times;Serif" w:hAnsi="Times New Roman;Times;Serif"/>
                  <w:sz w:val="20"/>
                </w:rPr>
                <w:t>Press release, dated November 9, 2023</w:t>
              </w:r>
            </w:hyperlink>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for the cover page of this Current Report on Form 8-K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565" w:type="dxa"/>
        <w:jc w:val="left"/>
        <w:tblInd w:w="0" w:type="dxa"/>
        <w:tblLayout w:type="fixed"/>
        <w:tblCellMar>
          <w:top w:w="0" w:type="dxa"/>
          <w:left w:w="0" w:type="dxa"/>
          <w:bottom w:w="0" w:type="dxa"/>
          <w:right w:w="0" w:type="dxa"/>
        </w:tblCellMar>
      </w:tblPr>
      <w:tblGrid>
        <w:gridCol w:w="2120"/>
        <w:gridCol w:w="320"/>
        <w:gridCol w:w="3125"/>
      </w:tblGrid>
      <w:tr>
        <w:trPr/>
        <w:tc>
          <w:tcPr>
            <w:tcW w:w="212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b/>
                <w:sz w:val="20"/>
              </w:rPr>
            </w:pPr>
            <w:r>
              <w:rPr>
                <w:b/>
                <w:sz w:val="20"/>
              </w:rPr>
              <w:t>Marker Therapeutics, Inc.</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20"/>
              </w:rPr>
            </w:pPr>
            <w:r>
              <w:rPr>
                <w:sz w:val="20"/>
              </w:rPr>
              <w:t>Dated: November 9, 2023</w:t>
            </w:r>
          </w:p>
        </w:tc>
        <w:tc>
          <w:tcPr>
            <w:tcW w:w="320" w:type="dxa"/>
            <w:tcBorders/>
            <w:vAlign w:val="center"/>
          </w:tcPr>
          <w:p>
            <w:pPr>
              <w:pStyle w:val="TableContents"/>
              <w:bidi w:val="0"/>
              <w:spacing w:before="0" w:after="283"/>
              <w:jc w:val="left"/>
              <w:rPr>
                <w:sz w:val="20"/>
              </w:rPr>
            </w:pPr>
            <w:r>
              <w:rPr>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Juan Vera</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sz w:val="20"/>
              </w:rPr>
            </w:pPr>
            <w:r>
              <w:rPr>
                <w:sz w:val="20"/>
              </w:rPr>
              <w:t>Juan Vera</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i/>
                <w:sz w:val="20"/>
              </w:rPr>
            </w:pPr>
            <w:r>
              <w:rPr>
                <w:i/>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330322d1_ex99-1.htm"/>
      <w:bookmarkStart w:id="23" w:name="kstm2330322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9621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6191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Reports Third Quarter 2023 Financial Results and Provides Business Updates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Announced complete response in first patient with lymphoma treated with MT-601 in Phase 1 APOLLO trial following CAR T relapse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Received Orphan Drug Designation (ODD) from European Medicines Agency (EMA) for multiTAA-specific T cell product candidate MT-401 (zedenoleucel) for the treatment of patients with Acute Myeloid Leukemia (AML)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Demonstrated enhanced anti-tumor activity in an aggressive, treatment-resistant AML cell line and provided an update on clinical readiness of the MT-401 Off-the-Shelf (OTS) program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HOUSTON, November 9, 2023</w:t>
      </w:r>
      <w:r>
        <w:rPr>
          <w:rFonts w:ascii="Times New Roman;Times;Serif" w:hAnsi="Times New Roman;Times;Serif"/>
          <w:b w:val="false"/>
          <w:i w:val="false"/>
          <w:caps w:val="false"/>
          <w:smallCaps w:val="false"/>
          <w:sz w:val="20"/>
        </w:rPr>
        <w:t> (GLOBE NEWSWIRE) -- Marker Therapeutics, Inc. (Nasdaq: MRKR), a clinical-stage immuno-oncology company focusing on developing next-generation T cell-based immunotherapies for the treatment of hematological malignancies and solid tumor indications, today reported corporate updates and financial results for the third quarter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third quarter of 2023, we continued to diligently advance and execute our clinical objectives across our novel multiTAA-specific T cell pipeline,” commented Juan F. Vera, M.D., President and Chief Executive Officer of Marker Therapeutics. “Among the many highlights, we announced in September that we observed a complete response in the first patient with lymphoma treated with MT-601, our multiTAA-specific T cell product candidate targeting six antigens. This study participant was enrolled in our Phase 1 APOLLO trial after failing anti-CD19 CAR T cell therapy. The positive clinical outcome in this CAR T relapsed participant is supported by non-clinical proof-of-concept data and highlights the potential of MT-601 in patients who have relapsed after CAR T cell therapy. Together with the favorable clinical safety and tolerability profile, MT-601 may represent a suitable alternative for the treatment of patients with lymphoma.”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 July, our MT-401 program was granted Orphan Drug Designation by the EMA for the treatment of patients with AML,” continued Dr. Vera. “We also reported non-clinical proof-of-concept data from our MT-401-OTS program, which indicated the potential anti-tumor activity of the product in a partially human leukocyte antigen (HLA) matched setting. With the clearance of our clinical protocol for MT-401-OTS from the U.S. FDA and the added validation from our non-clinical work, we anticipate initiating a clinical trial in 2024 to evaluate the potential of this novel therapy in patients with relapsed/refractory AML.”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To maximize shareholder value and accelerate our patient-centric mission, we continue to engage in internal and external conversations with pertinent stakeholders to optimize our clinical development plan, which we expect to announce in the first quarter of 2024. With our healthy balance sheet and clinical progress shown to date, we believe we are well poised to achieve our near-and long-term growth objectives,” concluded Dr. Vera.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62150"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6215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Program Updates and Expected Milestones: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MT-401 (Acute Myeloid Leukemia)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Marker was granted ODD from the Committee for Orphan Medicinal Products of the EMA for the treatment of patients with AML. This follows the ODD from U.S. FDA in 2020.</w:t>
            </w:r>
          </w:p>
        </w:tc>
      </w:tr>
    </w:tbl>
    <w:p>
      <w:pPr>
        <w:pStyle w:val="TextBody"/>
        <w:bidi w:val="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Marker reported non-clinical proof-of-concept data of MT-401 in an OTS setting and provided updates on clinical readiness for the MT-401-OTS program, which will investigate the treatment of patients with relapsed/refractory AML. Marker has established an inventory for MT-401-OTS and anticipates initial patient treatment in 2024.</w:t>
            </w:r>
          </w:p>
        </w:tc>
      </w:tr>
    </w:tbl>
    <w:p>
      <w:pPr>
        <w:pStyle w:val="TextBody"/>
        <w:bidi w:val="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Marker reported non-clinical data to bolster the clinical investigation of MT-401 after hypomethylating agent (HMA) administration and received a $2 million grant from the NIH Small Business Innovation Research (SBIR) program in support of the clinical study.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MT-601 (Lymphoma)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Complete response in the first patient with lymphoma treated with MT-601 in the Phase 1 multicenter APOLLO trial (clinicaltrials.gov identifier: </w:t>
            </w:r>
            <w:r>
              <w:rPr>
                <w:color w:val="212121"/>
              </w:rPr>
              <w:t>NCT05798897</w:t>
            </w:r>
            <w:r>
              <w:rPr/>
              <w:t>) following participant’s failure to respond to four prior lines of therapy including anti-CD19 CAR T cell therapy. The study participant was treated with 2 doses of MT-601 at a 200 million cell dose level without prior lymphodepletion and showed no clinically significant treatment-related adverse events. At the first assessment, eight weeks after the second infusion of MT-601, the participant demonstrated a complete metabolic response based on PET-CT scans. MT-601 treatment was well tolerated with no treatment-related adverse events.</w:t>
            </w:r>
          </w:p>
        </w:tc>
      </w:tr>
    </w:tbl>
    <w:p>
      <w:pPr>
        <w:pStyle w:val="TextBody"/>
        <w:bidi w:val="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This clinical observation is supported by </w:t>
            </w:r>
            <w:r>
              <w:rPr>
                <w:i/>
              </w:rPr>
              <w:t>in vitro</w:t>
            </w:r>
            <w:r>
              <w:rPr/>
              <w:t xml:space="preserve"> data demonstrating the anti-tumor activity of MT-601 in anti-CD19 CAR T resistant lymphoma cells, highlighting the therapeutic potential of MT-601.</w:t>
            </w:r>
          </w:p>
        </w:tc>
      </w:tr>
    </w:tbl>
    <w:p>
      <w:pPr>
        <w:pStyle w:val="TextBody"/>
        <w:bidi w:val="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Marker is treating and evaluating additional patients in the Phase 1 APOLLO trial and anticipates reporting additional data in the first half of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MT-601 (Pancreatic)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Investigational New Drug (IND) application cleared by U.S. FDA for multicenter Phase 1 trial of MT-601 in patients with metastatic pancreatic cancer in combination with first-line chemotherapy.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133"/>
        <w:gridCol w:w="10032"/>
      </w:tblGrid>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both"/>
              <w:rPr/>
            </w:pPr>
            <w:r>
              <w:rPr/>
              <w:t>Clinical advancement will be pending additional financial support from non-dilutive grant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62150"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6215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Third Quarter 2023 Financial Highlights: </w:t>
      </w:r>
    </w:p>
    <w:p>
      <w:pPr>
        <w:pStyle w:val="TextBody"/>
        <w:bidi w:val="0"/>
        <w:spacing w:before="0" w:after="0"/>
        <w:ind w:left="0" w:right="0" w:hanging="0"/>
        <w:jc w:val="left"/>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125"/>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865" w:type="dxa"/>
            <w:tcBorders/>
            <w:vAlign w:val="center"/>
          </w:tcPr>
          <w:p>
            <w:pPr>
              <w:pStyle w:val="TableContents"/>
              <w:bidi w:val="0"/>
              <w:spacing w:before="0" w:after="283"/>
              <w:jc w:val="left"/>
              <w:rPr/>
            </w:pPr>
            <w:r>
              <w:rPr>
                <w:b/>
              </w:rPr>
              <w:t>Cash Position</w:t>
            </w:r>
            <w:r>
              <w:rPr/>
              <w:t>: Cash and cash equivalents of $17.5 million at September 30, 2023.</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 xml:space="preserve">R&amp;D Expenses: </w:t>
            </w:r>
            <w:r>
              <w:rPr/>
              <w:t>Research and development expenses were $2.0 million for the quarter ended September 30, 2023, compared to $3.6 million for the quarter ended September 30, 2022. The decrease in R&amp;D expenses was primarily attributable to lower expenses from the sale of Marker’s cell processing facility to Cell Ready, which was completed in June 2023.</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 xml:space="preserve">G&amp;A Expenses: </w:t>
            </w:r>
            <w:r>
              <w:rPr/>
              <w:t>General and administrative expenses were $1.4 million for the quarter ended September 30, 2023, compared to $3.2 million for the quarter ended September 30, 2022. The decrease in G&amp;A expenses was also primarily attributable to the sale of Marker’s cell processing facility to Cell Ready.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 xml:space="preserve">Net Loss: </w:t>
            </w:r>
            <w:r>
              <w:rPr/>
              <w:t>Marker reported a net loss of ($3.0) million for the quarter ended September 30, 2023, compared to a net loss of ($6.9) million, inclusive of the $(1.2) million loss from discontinued operations, reflected in the quarter ended September 30,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Marker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Marker Therapeutics, Inc. is a clinical-stage immuno-oncology company specializing in the development of next-generation T cell-based immunotherapies for the treatment of hematological malignancies and solid tumor indications. The T cell therapy technology developed by Marker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the T cells, Marker believes that its product candidates will be easier and less expensive to manufacture, with reduced toxicities, compared to current engineered CAR T and TCR-based approaches, and may provide patients with meaningful clinical benefit. As a result, Marker believes its portfolio of T cell therapies has a compelling product profile, as compared to current gene-modified CAR T and TCR-based therapies.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receive future press releases via email, please visit: </w:t>
      </w:r>
      <w:r>
        <w:rPr>
          <w:rFonts w:ascii="Times New Roman;Times;Serif" w:hAnsi="Times New Roman;Times;Serif"/>
          <w:b w:val="false"/>
          <w:i w:val="false"/>
          <w:caps w:val="false"/>
          <w:smallCaps w:val="false"/>
          <w:sz w:val="20"/>
          <w:u w:val="single"/>
        </w:rPr>
        <w:t>HTTPS://WWW.MARKERTHERAPEUTICS.COM/EMAIL-ALERTS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62150" cy="619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6215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for purposes of the safe harbor provisions of the Private Securities Litigation Reform Act of 1995. Statements in this news release concerning Marker’s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of our product candidates, including MT-601 for the treatment of patients with lymphoma and MT-401 for the treatment of patients with AML; the potential benefits of orphan drug designation to MT401; and our future operating expenses and capital expenditure requirements, including our anticipated cash runway. Forward-looking statements are by their nature subject to risks, uncertainties and other factors which could cause actual results to differ materially from those stated in such statements. Such risks, uncertainties and factors include, but are not limited to the risks set forth in Marker’s most recent Form 10-K, 10-Q and other SEC filings which are available through EDGAR at WWW.SEC.GOV. Marker assumes no obligation to update its forward-looking statements whether as a result of new information, future events or otherwise, after the date of this press release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62150" cy="619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6215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0"/>
        <w:gridCol w:w="60"/>
        <w:gridCol w:w="125"/>
        <w:gridCol w:w="1115"/>
        <w:gridCol w:w="80"/>
        <w:gridCol w:w="60"/>
        <w:gridCol w:w="125"/>
        <w:gridCol w:w="1115"/>
        <w:gridCol w:w="95"/>
      </w:tblGrid>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sz w:val="20"/>
              </w:rPr>
            </w:pPr>
            <w:r>
              <w:rPr>
                <w:b/>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sz w:val="20"/>
              </w:rPr>
            </w:pPr>
            <w:r>
              <w:rPr>
                <w:b/>
                <w:sz w:val="20"/>
              </w:rPr>
              <w:t>December 31,</w:t>
            </w:r>
          </w:p>
        </w:tc>
        <w:tc>
          <w:tcPr>
            <w:tcW w:w="95" w:type="dxa"/>
            <w:tcBorders/>
            <w:vAlign w:val="center"/>
          </w:tcPr>
          <w:p>
            <w:pPr>
              <w:pStyle w:val="TableContents"/>
              <w:bidi w:val="0"/>
              <w:spacing w:before="0" w:after="283"/>
              <w:jc w:val="left"/>
              <w:rPr/>
            </w:pPr>
            <w:r>
              <w:rPr/>
              <w:t> </w:t>
            </w:r>
          </w:p>
        </w:tc>
      </w:tr>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95" w:type="dxa"/>
            <w:tcBorders/>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color w:val="FF0000"/>
              </w:rPr>
            </w:pPr>
            <w:r>
              <w:rPr>
                <w:color w:val="FF0000"/>
              </w:rPr>
              <w:t> </w:t>
            </w:r>
          </w:p>
        </w:tc>
        <w:tc>
          <w:tcPr>
            <w:tcW w:w="125" w:type="dxa"/>
            <w:tcBorders/>
            <w:shd w:fill="CCEEFF" w:val="clear"/>
            <w:vAlign w:val="center"/>
          </w:tcPr>
          <w:p>
            <w:pPr>
              <w:pStyle w:val="TableContents"/>
              <w:bidi w:val="0"/>
              <w:spacing w:before="0" w:after="283"/>
              <w:jc w:val="left"/>
              <w:rPr>
                <w:color w:val="FF0000"/>
              </w:rPr>
            </w:pPr>
            <w:r>
              <w:rPr>
                <w:color w:val="FF0000"/>
              </w:rPr>
              <w:t> </w:t>
            </w:r>
          </w:p>
        </w:tc>
        <w:tc>
          <w:tcPr>
            <w:tcW w:w="1115" w:type="dxa"/>
            <w:tcBorders/>
            <w:shd w:fill="CCEEFF" w:val="clear"/>
            <w:vAlign w:val="center"/>
          </w:tcPr>
          <w:p>
            <w:pPr>
              <w:pStyle w:val="TableContents"/>
              <w:bidi w:val="0"/>
              <w:spacing w:before="0" w:after="283"/>
              <w:jc w:val="right"/>
              <w:rPr>
                <w:color w:val="FF0000"/>
              </w:rPr>
            </w:pPr>
            <w:r>
              <w:rPr>
                <w:color w:val="FF0000"/>
              </w:rPr>
              <w:t> </w:t>
            </w:r>
          </w:p>
        </w:tc>
        <w:tc>
          <w:tcPr>
            <w:tcW w:w="80" w:type="dxa"/>
            <w:tcBorders/>
            <w:shd w:fill="CCEEFF" w:val="clear"/>
            <w:vAlign w:val="center"/>
          </w:tcPr>
          <w:p>
            <w:pPr>
              <w:pStyle w:val="TableContents"/>
              <w:bidi w:val="0"/>
              <w:spacing w:before="0" w:after="283"/>
              <w:jc w:val="left"/>
              <w:rPr>
                <w:color w:val="FF0000"/>
              </w:rPr>
            </w:pPr>
            <w:r>
              <w:rPr>
                <w:color w:val="FF0000"/>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115" w:type="dxa"/>
            <w:tcBorders/>
            <w:shd w:fill="CCEEFF" w:val="clear"/>
            <w:vAlign w:val="center"/>
          </w:tcPr>
          <w:p>
            <w:pPr>
              <w:pStyle w:val="TableContents"/>
              <w:bidi w:val="0"/>
              <w:spacing w:before="0" w:after="283"/>
              <w:jc w:val="right"/>
              <w:rPr>
                <w:sz w:val="20"/>
              </w:rPr>
            </w:pPr>
            <w:r>
              <w:rPr>
                <w:sz w:val="20"/>
              </w:rPr>
              <w:t>17,473,899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115" w:type="dxa"/>
            <w:tcBorders/>
            <w:shd w:fill="CCEEFF" w:val="clear"/>
            <w:vAlign w:val="center"/>
          </w:tcPr>
          <w:p>
            <w:pPr>
              <w:pStyle w:val="TableContents"/>
              <w:bidi w:val="0"/>
              <w:spacing w:before="0" w:after="283"/>
              <w:jc w:val="right"/>
              <w:rPr>
                <w:sz w:val="20"/>
              </w:rPr>
            </w:pPr>
            <w:r>
              <w:rPr>
                <w:sz w:val="20"/>
              </w:rPr>
              <w:t>11,782,172</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sz w:val="20"/>
              </w:rPr>
            </w:pPr>
            <w:r>
              <w:rPr>
                <w:sz w:val="20"/>
              </w:rPr>
              <w:t>Prepaid expenses and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sz w:val="20"/>
              </w:rPr>
            </w:pPr>
            <w:r>
              <w:rPr>
                <w:sz w:val="20"/>
              </w:rPr>
              <w:t>1,929,355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sz w:val="20"/>
              </w:rPr>
            </w:pPr>
            <w:r>
              <w:rPr>
                <w:sz w:val="20"/>
              </w:rPr>
              <w:t>1,849,239</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sz w:val="20"/>
              </w:rPr>
            </w:pPr>
            <w:r>
              <w:rPr>
                <w:sz w:val="20"/>
              </w:rPr>
              <w:t>Other 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83,313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2,402,004</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sz w:val="20"/>
              </w:rPr>
            </w:pPr>
            <w:r>
              <w:rPr>
                <w:sz w:val="20"/>
              </w:rPr>
              <w:t>Current assets of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585,840</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sz w:val="20"/>
              </w:rPr>
            </w:pPr>
            <w:r>
              <w:rPr>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19,486,567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16,619,255</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sz w:val="20"/>
              </w:rPr>
            </w:pPr>
            <w:r>
              <w:rPr>
                <w:sz w:val="20"/>
              </w:rPr>
              <w:t>Non-current assets of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17,802,929</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19,486,567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34,422,184</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b/>
                <w:sz w:val="20"/>
              </w:rPr>
            </w:pPr>
            <w:r>
              <w:rPr>
                <w:b/>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sz w:val="20"/>
              </w:rPr>
            </w:pPr>
            <w:r>
              <w:rPr>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sz w:val="20"/>
              </w:rPr>
            </w:pPr>
            <w:r>
              <w:rPr>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115" w:type="dxa"/>
            <w:tcBorders/>
            <w:shd w:fill="CCEEFF" w:val="clear"/>
            <w:vAlign w:val="center"/>
          </w:tcPr>
          <w:p>
            <w:pPr>
              <w:pStyle w:val="TableContents"/>
              <w:bidi w:val="0"/>
              <w:spacing w:before="0" w:after="283"/>
              <w:jc w:val="right"/>
              <w:rPr>
                <w:sz w:val="20"/>
              </w:rPr>
            </w:pPr>
            <w:r>
              <w:rPr>
                <w:sz w:val="20"/>
              </w:rPr>
              <w:t>2,304,019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115" w:type="dxa"/>
            <w:tcBorders/>
            <w:shd w:fill="CCEEFF" w:val="clear"/>
            <w:vAlign w:val="center"/>
          </w:tcPr>
          <w:p>
            <w:pPr>
              <w:pStyle w:val="TableContents"/>
              <w:bidi w:val="0"/>
              <w:spacing w:before="0" w:after="283"/>
              <w:jc w:val="right"/>
              <w:rPr>
                <w:sz w:val="20"/>
              </w:rPr>
            </w:pPr>
            <w:r>
              <w:rPr>
                <w:sz w:val="20"/>
              </w:rPr>
              <w:t>2,521,193</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sz w:val="20"/>
              </w:rPr>
            </w:pPr>
            <w:r>
              <w:rPr>
                <w:sz w:val="20"/>
              </w:rPr>
              <w:t>Related party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sz w:val="20"/>
              </w:rPr>
            </w:pPr>
            <w:r>
              <w:rPr>
                <w:sz w:val="20"/>
              </w:rPr>
              <w:t>367,915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sz w:val="20"/>
              </w:rPr>
            </w:pPr>
            <w:r>
              <w:rPr>
                <w:sz w:val="20"/>
              </w:rPr>
              <w:t>Deferred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107,530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sz w:val="20"/>
              </w:rPr>
            </w:pPr>
            <w:r>
              <w:rPr>
                <w:sz w:val="20"/>
              </w:rPr>
              <w:t>Current liabilities of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5,260,616</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sz w:val="20"/>
              </w:rPr>
            </w:pPr>
            <w:r>
              <w:rPr>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2,779,464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7,781,809</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sz w:val="20"/>
              </w:rPr>
            </w:pPr>
            <w:r>
              <w:rPr>
                <w:sz w:val="20"/>
              </w:rPr>
              <w:t>Non-current liabilities of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7,039,338</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sz w:val="20"/>
              </w:rPr>
            </w:pPr>
            <w:r>
              <w:rPr>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2,779,464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14,821,147</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sz w:val="20"/>
              </w:rPr>
            </w:pPr>
            <w:r>
              <w:rPr>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sz w:val="20"/>
              </w:rPr>
            </w:pPr>
            <w:r>
              <w:rPr>
                <w:sz w:val="20"/>
              </w:rPr>
              <w:t>Preferred stock, $0.001 par value, 5 million shares authorized, 0 shares issued and outstanding at September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sz w:val="20"/>
              </w:rPr>
            </w:pPr>
            <w:r>
              <w:rPr>
                <w:sz w:val="20"/>
              </w:rPr>
              <w:t>Common stock, $0.001 par value, 30 million shares authorized, 8.8 million and 8.4 million shares issued and outstanding as of September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8,888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8,406</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sz w:val="20"/>
              </w:rPr>
            </w:pPr>
            <w:r>
              <w:rPr>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sz w:val="20"/>
              </w:rPr>
            </w:pPr>
            <w:r>
              <w:rPr>
                <w:sz w:val="20"/>
              </w:rPr>
              <w:t>450,181,012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sz w:val="20"/>
              </w:rPr>
            </w:pPr>
            <w:r>
              <w:rPr>
                <w:sz w:val="20"/>
              </w:rPr>
              <w:t>447,641,680</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sz w:val="20"/>
              </w:rPr>
            </w:pPr>
            <w:r>
              <w:rPr>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(433,482,797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(428,049,049</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430" w:type="dxa"/>
            <w:tcBorders/>
            <w:shd w:fill="FFFFFF" w:val="clear"/>
            <w:vAlign w:val="center"/>
          </w:tcPr>
          <w:p>
            <w:pPr>
              <w:pStyle w:val="TableContents"/>
              <w:bidi w:val="0"/>
              <w:spacing w:before="0" w:after="283"/>
              <w:jc w:val="left"/>
              <w:rPr>
                <w:sz w:val="20"/>
              </w:rPr>
            </w:pPr>
            <w:r>
              <w:rPr>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16,707,103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19,601,037</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b/>
                <w:sz w:val="20"/>
              </w:rPr>
            </w:pPr>
            <w:r>
              <w:rPr>
                <w:b/>
                <w:sz w:val="20"/>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19,486,567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34,422,184</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62150" cy="619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6215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897" w:type="dxa"/>
        <w:jc w:val="left"/>
        <w:tblInd w:w="0" w:type="dxa"/>
        <w:tblLayout w:type="fixed"/>
        <w:tblCellMar>
          <w:top w:w="0" w:type="dxa"/>
          <w:left w:w="0" w:type="dxa"/>
          <w:bottom w:w="0" w:type="dxa"/>
          <w:right w:w="0" w:type="dxa"/>
        </w:tblCellMar>
      </w:tblPr>
      <w:tblGrid>
        <w:gridCol w:w="4745"/>
        <w:gridCol w:w="60"/>
        <w:gridCol w:w="139"/>
        <w:gridCol w:w="1007"/>
        <w:gridCol w:w="89"/>
        <w:gridCol w:w="66"/>
        <w:gridCol w:w="139"/>
        <w:gridCol w:w="1007"/>
        <w:gridCol w:w="80"/>
        <w:gridCol w:w="60"/>
        <w:gridCol w:w="125"/>
        <w:gridCol w:w="1010"/>
        <w:gridCol w:w="80"/>
        <w:gridCol w:w="60"/>
        <w:gridCol w:w="125"/>
        <w:gridCol w:w="1010"/>
        <w:gridCol w:w="95"/>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7" w:type="dxa"/>
            <w:gridSpan w:val="6"/>
            <w:tcBorders/>
            <w:vAlign w:val="center"/>
          </w:tcPr>
          <w:p>
            <w:pPr>
              <w:pStyle w:val="TableContents"/>
              <w:bidi w:val="0"/>
              <w:spacing w:before="0" w:after="283"/>
              <w:jc w:val="center"/>
              <w:rPr>
                <w:b/>
                <w:sz w:val="20"/>
              </w:rPr>
            </w:pPr>
            <w:r>
              <w:rPr>
                <w:b/>
                <w:sz w:val="20"/>
              </w:rPr>
              <w:t>For the 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vAlign w:val="center"/>
          </w:tcPr>
          <w:p>
            <w:pPr>
              <w:pStyle w:val="TableContents"/>
              <w:bidi w:val="0"/>
              <w:spacing w:before="0" w:after="283"/>
              <w:jc w:val="center"/>
              <w:rPr>
                <w:b/>
                <w:sz w:val="20"/>
              </w:rPr>
            </w:pPr>
            <w:r>
              <w:rPr>
                <w:b/>
                <w:sz w:val="20"/>
              </w:rPr>
              <w:t>For the Nine Months Ended</w:t>
            </w:r>
          </w:p>
        </w:tc>
        <w:tc>
          <w:tcPr>
            <w:tcW w:w="9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September 30,</w:t>
            </w:r>
          </w:p>
        </w:tc>
        <w:tc>
          <w:tcPr>
            <w:tcW w:w="9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9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b/>
                <w:sz w:val="20"/>
              </w:rPr>
            </w:pPr>
            <w:r>
              <w:rPr>
                <w:b/>
                <w:sz w:val="20"/>
              </w:rPr>
              <w:t>Revenues:</w:t>
            </w:r>
          </w:p>
        </w:tc>
        <w:tc>
          <w:tcPr>
            <w:tcW w:w="60" w:type="dxa"/>
            <w:tcBorders/>
            <w:shd w:fill="CCEEFF" w:val="clear"/>
            <w:vAlign w:val="center"/>
          </w:tcPr>
          <w:p>
            <w:pPr>
              <w:pStyle w:val="TableContents"/>
              <w:bidi w:val="0"/>
              <w:spacing w:before="0" w:after="283"/>
              <w:jc w:val="left"/>
              <w:rPr/>
            </w:pPr>
            <w:r>
              <w:rPr/>
              <w:t> </w:t>
            </w:r>
          </w:p>
        </w:tc>
        <w:tc>
          <w:tcPr>
            <w:tcW w:w="1146" w:type="dxa"/>
            <w:gridSpan w:val="2"/>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46"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Grant income</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257,606</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999,571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2,254,601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2,754,401</w:t>
            </w:r>
          </w:p>
        </w:tc>
        <w:tc>
          <w:tcPr>
            <w:tcW w:w="95"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sz w:val="20"/>
              </w:rPr>
            </w:pPr>
            <w:r>
              <w:rPr>
                <w:sz w:val="20"/>
              </w:rPr>
              <w:t>Total revenues</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257,606</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999,571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2,254,601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2,754,401</w:t>
            </w:r>
          </w:p>
        </w:tc>
        <w:tc>
          <w:tcPr>
            <w:tcW w:w="9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b/>
                <w:sz w:val="20"/>
              </w:rPr>
            </w:pPr>
            <w:r>
              <w:rPr>
                <w:b/>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sz w:val="20"/>
              </w:rPr>
            </w:pPr>
            <w:r>
              <w:rPr>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sz w:val="20"/>
              </w:rPr>
            </w:pPr>
            <w:r>
              <w:rPr>
                <w:sz w:val="20"/>
              </w:rPr>
              <w:t>2,044,980</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sz w:val="20"/>
              </w:rPr>
            </w:pPr>
            <w:r>
              <w:rPr>
                <w:sz w:val="20"/>
              </w:rPr>
              <w:t>3,591,897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7,799,472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9,786,138</w:t>
            </w:r>
          </w:p>
        </w:tc>
        <w:tc>
          <w:tcPr>
            <w:tcW w:w="9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1,412,672</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3,234,133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6,098,716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9,720,598</w:t>
            </w:r>
          </w:p>
        </w:tc>
        <w:tc>
          <w:tcPr>
            <w:tcW w:w="95"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sz w:val="20"/>
              </w:rPr>
            </w:pPr>
            <w:r>
              <w:rPr>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3,457,652</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6,826,030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13,898,188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19,506,736</w:t>
            </w:r>
          </w:p>
        </w:tc>
        <w:tc>
          <w:tcPr>
            <w:tcW w:w="9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sz w:val="20"/>
              </w:rPr>
            </w:pPr>
            <w:r>
              <w:rPr>
                <w:sz w:val="20"/>
              </w:rPr>
              <w:t>(3,200,046</w:t>
            </w:r>
          </w:p>
        </w:tc>
        <w:tc>
          <w:tcPr>
            <w:tcW w:w="89"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sz w:val="20"/>
              </w:rPr>
            </w:pPr>
            <w:r>
              <w:rPr>
                <w:sz w:val="20"/>
              </w:rPr>
              <w:t>(5,826,459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(11,643,587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(16,752,335</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745" w:type="dxa"/>
            <w:tcBorders/>
            <w:shd w:fill="CCEEFF" w:val="clear"/>
            <w:vAlign w:val="center"/>
          </w:tcPr>
          <w:p>
            <w:pPr>
              <w:pStyle w:val="TableContents"/>
              <w:bidi w:val="0"/>
              <w:spacing w:before="0" w:after="283"/>
              <w:jc w:val="left"/>
              <w:rPr>
                <w:b/>
                <w:sz w:val="20"/>
              </w:rPr>
            </w:pPr>
            <w:r>
              <w:rPr>
                <w:b/>
                <w:sz w:val="20"/>
              </w:rPr>
              <w:t>Other income (expenses):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Arbitration settlement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sz w:val="20"/>
              </w:rPr>
            </w:pPr>
            <w:r>
              <w:rPr>
                <w:sz w:val="20"/>
              </w:rPr>
              <w:t>-</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(118,880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745" w:type="dxa"/>
            <w:tcBorders/>
            <w:shd w:fill="CCEEFF" w:val="clear"/>
            <w:vAlign w:val="center"/>
          </w:tcPr>
          <w:p>
            <w:pPr>
              <w:pStyle w:val="TableContents"/>
              <w:bidi w:val="0"/>
              <w:spacing w:before="0" w:after="283"/>
              <w:jc w:val="left"/>
              <w:rPr>
                <w:sz w:val="20"/>
              </w:rPr>
            </w:pPr>
            <w:r>
              <w:rPr>
                <w:sz w:val="20"/>
              </w:rPr>
              <w:t>Interest income</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218,085</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99,750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337,819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138,653</w:t>
            </w:r>
          </w:p>
        </w:tc>
        <w:tc>
          <w:tcPr>
            <w:tcW w:w="9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Loss from continuing operations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(2,981,961</w:t>
            </w:r>
          </w:p>
        </w:tc>
        <w:tc>
          <w:tcPr>
            <w:tcW w:w="89"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(5,726,709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(11,305,768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(16,732,562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745" w:type="dxa"/>
            <w:tcBorders/>
            <w:shd w:fill="CCEEFF" w:val="clear"/>
            <w:vAlign w:val="center"/>
          </w:tcPr>
          <w:p>
            <w:pPr>
              <w:pStyle w:val="TableContents"/>
              <w:bidi w:val="0"/>
              <w:spacing w:before="0" w:after="283"/>
              <w:jc w:val="left"/>
              <w:rPr>
                <w:b/>
                <w:sz w:val="20"/>
              </w:rPr>
            </w:pPr>
            <w:r>
              <w:rPr>
                <w:b/>
                <w:sz w:val="20"/>
              </w:rPr>
              <w:t>Discontinued operations: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Loss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sz w:val="20"/>
              </w:rPr>
            </w:pPr>
            <w:r>
              <w:rPr>
                <w:sz w:val="20"/>
              </w:rPr>
              <w:t>-</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sz w:val="20"/>
              </w:rPr>
            </w:pPr>
            <w:r>
              <w:rPr>
                <w:sz w:val="20"/>
              </w:rPr>
              <w:t>(1,192,874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(2,922,406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(9,341,717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745" w:type="dxa"/>
            <w:tcBorders/>
            <w:shd w:fill="CCEEFF" w:val="clear"/>
            <w:vAlign w:val="center"/>
          </w:tcPr>
          <w:p>
            <w:pPr>
              <w:pStyle w:val="TableContents"/>
              <w:bidi w:val="0"/>
              <w:spacing w:before="0" w:after="283"/>
              <w:jc w:val="left"/>
              <w:rPr>
                <w:sz w:val="20"/>
              </w:rPr>
            </w:pPr>
            <w:r>
              <w:rPr>
                <w:sz w:val="20"/>
              </w:rPr>
              <w:t>Gain on disposal of discontinued operations</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8,794,426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Income (loss) from discontinued operations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(1,192,874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5,872,020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(9,341,717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745" w:type="dxa"/>
            <w:tcBorders/>
            <w:shd w:fill="CCEEFF" w:val="clear"/>
            <w:vAlign w:val="center"/>
          </w:tcPr>
          <w:p>
            <w:pPr>
              <w:pStyle w:val="TableContents"/>
              <w:bidi w:val="0"/>
              <w:spacing w:before="0" w:after="283"/>
              <w:jc w:val="left"/>
              <w:rPr>
                <w:b/>
                <w:sz w:val="20"/>
              </w:rPr>
            </w:pPr>
            <w:r>
              <w:rPr>
                <w:b/>
                <w:sz w:val="20"/>
              </w:rPr>
              <w:t>Net loss</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(2,981,961</w:t>
            </w:r>
          </w:p>
        </w:tc>
        <w:tc>
          <w:tcPr>
            <w:tcW w:w="89" w:type="dxa"/>
            <w:tcBorders/>
            <w:shd w:fill="CCEEFF" w:val="clear"/>
            <w:vAlign w:val="center"/>
          </w:tcPr>
          <w:p>
            <w:pPr>
              <w:pStyle w:val="TableContents"/>
              <w:bidi w:val="0"/>
              <w:spacing w:before="0" w:after="283"/>
              <w:jc w:val="left"/>
              <w:rPr>
                <w:b/>
                <w:sz w:val="20"/>
              </w:rPr>
            </w:pPr>
            <w:r>
              <w:rPr>
                <w:b/>
                <w:sz w:val="20"/>
              </w:rPr>
              <w:t>)</w:t>
            </w:r>
          </w:p>
        </w:tc>
        <w:tc>
          <w:tcPr>
            <w:tcW w:w="66"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(6,919,583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(5,433,748</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(26,074,279</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olor w:val="FF0000"/>
              </w:rPr>
            </w:pPr>
            <w:r>
              <w:rPr>
                <w:color w:val="FF0000"/>
              </w:rPr>
              <w:t> </w:t>
            </w:r>
          </w:p>
        </w:tc>
        <w:tc>
          <w:tcPr>
            <w:tcW w:w="139" w:type="dxa"/>
            <w:tcBorders/>
            <w:shd w:fill="FFFFFF" w:val="clear"/>
            <w:vAlign w:val="center"/>
          </w:tcPr>
          <w:p>
            <w:pPr>
              <w:pStyle w:val="TableContents"/>
              <w:bidi w:val="0"/>
              <w:spacing w:before="0" w:after="283"/>
              <w:jc w:val="left"/>
              <w:rPr>
                <w:color w:val="FF0000"/>
              </w:rPr>
            </w:pPr>
            <w:r>
              <w:rPr>
                <w:color w:val="FF0000"/>
              </w:rPr>
              <w:t> </w:t>
            </w:r>
          </w:p>
        </w:tc>
        <w:tc>
          <w:tcPr>
            <w:tcW w:w="1007" w:type="dxa"/>
            <w:tcBorders/>
            <w:shd w:fill="FFFFFF" w:val="clear"/>
            <w:vAlign w:val="center"/>
          </w:tcPr>
          <w:p>
            <w:pPr>
              <w:pStyle w:val="TableContents"/>
              <w:bidi w:val="0"/>
              <w:spacing w:before="0" w:after="283"/>
              <w:jc w:val="right"/>
              <w:rPr>
                <w:color w:val="FF0000"/>
              </w:rPr>
            </w:pPr>
            <w:r>
              <w:rPr>
                <w:color w:val="FF0000"/>
              </w:rPr>
              <w:t> </w:t>
            </w:r>
          </w:p>
        </w:tc>
        <w:tc>
          <w:tcPr>
            <w:tcW w:w="89" w:type="dxa"/>
            <w:tcBorders/>
            <w:shd w:fill="FFFFFF" w:val="clear"/>
            <w:vAlign w:val="center"/>
          </w:tcPr>
          <w:p>
            <w:pPr>
              <w:pStyle w:val="TableContents"/>
              <w:bidi w:val="0"/>
              <w:spacing w:before="0" w:after="283"/>
              <w:jc w:val="left"/>
              <w:rPr>
                <w:color w:val="FF0000"/>
              </w:rPr>
            </w:pPr>
            <w:r>
              <w:rPr>
                <w:color w:val="FF0000"/>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olor w:val="FF0000"/>
              </w:rPr>
            </w:pPr>
            <w:r>
              <w:rPr>
                <w:color w:val="FF0000"/>
              </w:rPr>
              <w:t> </w:t>
            </w:r>
          </w:p>
        </w:tc>
        <w:tc>
          <w:tcPr>
            <w:tcW w:w="125" w:type="dxa"/>
            <w:tcBorders/>
            <w:shd w:fill="FFFFFF" w:val="clear"/>
            <w:vAlign w:val="center"/>
          </w:tcPr>
          <w:p>
            <w:pPr>
              <w:pStyle w:val="TableContents"/>
              <w:bidi w:val="0"/>
              <w:spacing w:before="0" w:after="283"/>
              <w:jc w:val="left"/>
              <w:rPr>
                <w:color w:val="FF0000"/>
              </w:rPr>
            </w:pPr>
            <w:r>
              <w:rPr>
                <w:color w:val="FF0000"/>
              </w:rPr>
              <w:t> </w:t>
            </w:r>
          </w:p>
        </w:tc>
        <w:tc>
          <w:tcPr>
            <w:tcW w:w="1010" w:type="dxa"/>
            <w:tcBorders/>
            <w:shd w:fill="FFFFFF" w:val="clear"/>
            <w:vAlign w:val="center"/>
          </w:tcPr>
          <w:p>
            <w:pPr>
              <w:pStyle w:val="TableContents"/>
              <w:bidi w:val="0"/>
              <w:spacing w:before="0" w:after="283"/>
              <w:jc w:val="right"/>
              <w:rPr>
                <w:color w:val="FF0000"/>
              </w:rPr>
            </w:pPr>
            <w:r>
              <w:rPr>
                <w:color w:val="FF0000"/>
              </w:rPr>
              <w:t> </w:t>
            </w:r>
          </w:p>
        </w:tc>
        <w:tc>
          <w:tcPr>
            <w:tcW w:w="80" w:type="dxa"/>
            <w:tcBorders/>
            <w:shd w:fill="FFFFFF" w:val="clear"/>
            <w:vAlign w:val="center"/>
          </w:tcPr>
          <w:p>
            <w:pPr>
              <w:pStyle w:val="TableContents"/>
              <w:bidi w:val="0"/>
              <w:spacing w:before="0" w:after="283"/>
              <w:jc w:val="left"/>
              <w:rPr>
                <w:color w:val="FF0000"/>
              </w:rPr>
            </w:pPr>
            <w:r>
              <w:rPr>
                <w:color w:val="FF0000"/>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sz w:val="20"/>
              </w:rPr>
            </w:pPr>
            <w:r>
              <w:rPr>
                <w:sz w:val="20"/>
              </w:rPr>
              <w:t>Net earnings (loss) per share:</w:t>
            </w:r>
          </w:p>
        </w:tc>
        <w:tc>
          <w:tcPr>
            <w:tcW w:w="60" w:type="dxa"/>
            <w:tcBorders/>
            <w:shd w:fill="CCEEFF" w:val="clear"/>
            <w:vAlign w:val="center"/>
          </w:tcPr>
          <w:p>
            <w:pPr>
              <w:pStyle w:val="TableContents"/>
              <w:bidi w:val="0"/>
              <w:spacing w:before="0" w:after="283"/>
              <w:jc w:val="left"/>
              <w:rPr>
                <w:color w:val="FF0000"/>
              </w:rPr>
            </w:pPr>
            <w:r>
              <w:rPr>
                <w:color w:val="FF0000"/>
              </w:rPr>
              <w:t> </w:t>
            </w:r>
          </w:p>
        </w:tc>
        <w:tc>
          <w:tcPr>
            <w:tcW w:w="139" w:type="dxa"/>
            <w:tcBorders/>
            <w:shd w:fill="CCEEFF" w:val="clear"/>
            <w:vAlign w:val="center"/>
          </w:tcPr>
          <w:p>
            <w:pPr>
              <w:pStyle w:val="TableContents"/>
              <w:bidi w:val="0"/>
              <w:spacing w:before="0" w:after="283"/>
              <w:jc w:val="left"/>
              <w:rPr>
                <w:color w:val="FF0000"/>
              </w:rPr>
            </w:pPr>
            <w:r>
              <w:rPr>
                <w:color w:val="FF0000"/>
              </w:rPr>
              <w:t> </w:t>
            </w:r>
          </w:p>
        </w:tc>
        <w:tc>
          <w:tcPr>
            <w:tcW w:w="1007" w:type="dxa"/>
            <w:tcBorders/>
            <w:shd w:fill="CCEEFF" w:val="clear"/>
            <w:vAlign w:val="center"/>
          </w:tcPr>
          <w:p>
            <w:pPr>
              <w:pStyle w:val="TableContents"/>
              <w:bidi w:val="0"/>
              <w:spacing w:before="0" w:after="283"/>
              <w:jc w:val="right"/>
              <w:rPr>
                <w:color w:val="FF0000"/>
              </w:rPr>
            </w:pPr>
            <w:r>
              <w:rPr>
                <w:color w:val="FF0000"/>
              </w:rPr>
              <w:t> </w:t>
            </w:r>
          </w:p>
        </w:tc>
        <w:tc>
          <w:tcPr>
            <w:tcW w:w="89" w:type="dxa"/>
            <w:tcBorders/>
            <w:shd w:fill="CCEEFF" w:val="clear"/>
            <w:vAlign w:val="center"/>
          </w:tcPr>
          <w:p>
            <w:pPr>
              <w:pStyle w:val="TableContents"/>
              <w:bidi w:val="0"/>
              <w:spacing w:before="0" w:after="283"/>
              <w:jc w:val="left"/>
              <w:rPr>
                <w:color w:val="FF0000"/>
              </w:rPr>
            </w:pPr>
            <w:r>
              <w:rPr>
                <w:color w:val="FF0000"/>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olor w:val="FF0000"/>
              </w:rPr>
            </w:pPr>
            <w:r>
              <w:rPr>
                <w:color w:val="FF0000"/>
              </w:rPr>
              <w:t> </w:t>
            </w:r>
          </w:p>
        </w:tc>
        <w:tc>
          <w:tcPr>
            <w:tcW w:w="125" w:type="dxa"/>
            <w:tcBorders/>
            <w:shd w:fill="CCEEFF" w:val="clear"/>
            <w:vAlign w:val="center"/>
          </w:tcPr>
          <w:p>
            <w:pPr>
              <w:pStyle w:val="TableContents"/>
              <w:bidi w:val="0"/>
              <w:spacing w:before="0" w:after="283"/>
              <w:jc w:val="left"/>
              <w:rPr>
                <w:color w:val="FF0000"/>
              </w:rPr>
            </w:pPr>
            <w:r>
              <w:rPr>
                <w:color w:val="FF0000"/>
              </w:rPr>
              <w:t> </w:t>
            </w:r>
          </w:p>
        </w:tc>
        <w:tc>
          <w:tcPr>
            <w:tcW w:w="1010" w:type="dxa"/>
            <w:tcBorders/>
            <w:shd w:fill="CCEEFF" w:val="clear"/>
            <w:vAlign w:val="center"/>
          </w:tcPr>
          <w:p>
            <w:pPr>
              <w:pStyle w:val="TableContents"/>
              <w:bidi w:val="0"/>
              <w:spacing w:before="0" w:after="283"/>
              <w:jc w:val="right"/>
              <w:rPr>
                <w:color w:val="FF0000"/>
              </w:rPr>
            </w:pPr>
            <w:r>
              <w:rPr>
                <w:color w:val="FF0000"/>
              </w:rPr>
              <w:t> </w:t>
            </w:r>
          </w:p>
        </w:tc>
        <w:tc>
          <w:tcPr>
            <w:tcW w:w="80" w:type="dxa"/>
            <w:tcBorders/>
            <w:shd w:fill="CCEEFF" w:val="clear"/>
            <w:vAlign w:val="center"/>
          </w:tcPr>
          <w:p>
            <w:pPr>
              <w:pStyle w:val="TableContents"/>
              <w:bidi w:val="0"/>
              <w:spacing w:before="0" w:after="283"/>
              <w:jc w:val="left"/>
              <w:rPr>
                <w:color w:val="FF0000"/>
              </w:rPr>
            </w:pPr>
            <w:r>
              <w:rPr>
                <w:color w:val="FF0000"/>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Loss from continuing operations, basic and diluted</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(0.34</w:t>
            </w:r>
          </w:p>
        </w:tc>
        <w:tc>
          <w:tcPr>
            <w:tcW w:w="89"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(0.69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(2.01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745" w:type="dxa"/>
            <w:tcBorders/>
            <w:shd w:fill="CCEEFF" w:val="clear"/>
            <w:vAlign w:val="center"/>
          </w:tcPr>
          <w:p>
            <w:pPr>
              <w:pStyle w:val="TableContents"/>
              <w:bidi w:val="0"/>
              <w:spacing w:before="0" w:after="283"/>
              <w:jc w:val="left"/>
              <w:rPr>
                <w:sz w:val="20"/>
              </w:rPr>
            </w:pPr>
            <w:r>
              <w:rPr>
                <w:sz w:val="20"/>
              </w:rPr>
              <w:t>Income (loss) from discontinued operations, basic</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(0.14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745" w:type="dxa"/>
            <w:tcBorders/>
            <w:shd w:fill="FFFFFF" w:val="clear"/>
            <w:vAlign w:val="center"/>
          </w:tcPr>
          <w:p>
            <w:pPr>
              <w:pStyle w:val="TableContents"/>
              <w:bidi w:val="0"/>
              <w:spacing w:before="0" w:after="283"/>
              <w:jc w:val="left"/>
              <w:rPr>
                <w:sz w:val="20"/>
              </w:rPr>
            </w:pPr>
            <w:r>
              <w:rPr>
                <w:sz w:val="20"/>
              </w:rPr>
              <w:t>Income (loss) from discontinued operations, diluted</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(0.14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745" w:type="dxa"/>
            <w:tcBorders/>
            <w:shd w:fill="CCEEFF" w:val="clear"/>
            <w:vAlign w:val="center"/>
          </w:tcPr>
          <w:p>
            <w:pPr>
              <w:pStyle w:val="TableContents"/>
              <w:bidi w:val="0"/>
              <w:spacing w:before="0" w:after="283"/>
              <w:jc w:val="left"/>
              <w:rPr>
                <w:sz w:val="20"/>
              </w:rPr>
            </w:pPr>
            <w:r>
              <w:rPr>
                <w:sz w:val="20"/>
              </w:rPr>
              <w:t>Net loss per share</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(0.34</w:t>
            </w:r>
          </w:p>
        </w:tc>
        <w:tc>
          <w:tcPr>
            <w:tcW w:w="89"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(0.83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(0.62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(3.13</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olor w:val="FF0000"/>
              </w:rPr>
            </w:pPr>
            <w:r>
              <w:rPr>
                <w:color w:val="FF0000"/>
              </w:rPr>
              <w:t> </w:t>
            </w:r>
          </w:p>
        </w:tc>
        <w:tc>
          <w:tcPr>
            <w:tcW w:w="139" w:type="dxa"/>
            <w:tcBorders/>
            <w:shd w:fill="FFFFFF" w:val="clear"/>
            <w:vAlign w:val="center"/>
          </w:tcPr>
          <w:p>
            <w:pPr>
              <w:pStyle w:val="TableContents"/>
              <w:bidi w:val="0"/>
              <w:spacing w:before="0" w:after="283"/>
              <w:jc w:val="left"/>
              <w:rPr>
                <w:color w:val="FF0000"/>
              </w:rPr>
            </w:pPr>
            <w:r>
              <w:rPr>
                <w:color w:val="FF0000"/>
              </w:rPr>
              <w:t> </w:t>
            </w:r>
          </w:p>
        </w:tc>
        <w:tc>
          <w:tcPr>
            <w:tcW w:w="1007" w:type="dxa"/>
            <w:tcBorders/>
            <w:shd w:fill="FFFFFF" w:val="clear"/>
            <w:vAlign w:val="center"/>
          </w:tcPr>
          <w:p>
            <w:pPr>
              <w:pStyle w:val="TableContents"/>
              <w:bidi w:val="0"/>
              <w:spacing w:before="0" w:after="283"/>
              <w:jc w:val="right"/>
              <w:rPr>
                <w:color w:val="FF0000"/>
              </w:rPr>
            </w:pPr>
            <w:r>
              <w:rPr>
                <w:color w:val="FF0000"/>
              </w:rPr>
              <w:t> </w:t>
            </w:r>
          </w:p>
        </w:tc>
        <w:tc>
          <w:tcPr>
            <w:tcW w:w="89" w:type="dxa"/>
            <w:tcBorders/>
            <w:shd w:fill="FFFFFF" w:val="clear"/>
            <w:vAlign w:val="center"/>
          </w:tcPr>
          <w:p>
            <w:pPr>
              <w:pStyle w:val="TableContents"/>
              <w:bidi w:val="0"/>
              <w:spacing w:before="0" w:after="283"/>
              <w:jc w:val="left"/>
              <w:rPr>
                <w:color w:val="FF0000"/>
              </w:rPr>
            </w:pPr>
            <w:r>
              <w:rPr>
                <w:color w:val="FF0000"/>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olor w:val="FF0000"/>
              </w:rPr>
            </w:pPr>
            <w:r>
              <w:rPr>
                <w:color w:val="FF0000"/>
              </w:rPr>
              <w:t> </w:t>
            </w:r>
          </w:p>
        </w:tc>
        <w:tc>
          <w:tcPr>
            <w:tcW w:w="125" w:type="dxa"/>
            <w:tcBorders/>
            <w:shd w:fill="FFFFFF" w:val="clear"/>
            <w:vAlign w:val="center"/>
          </w:tcPr>
          <w:p>
            <w:pPr>
              <w:pStyle w:val="TableContents"/>
              <w:bidi w:val="0"/>
              <w:spacing w:before="0" w:after="283"/>
              <w:jc w:val="left"/>
              <w:rPr>
                <w:color w:val="FF0000"/>
              </w:rPr>
            </w:pPr>
            <w:r>
              <w:rPr>
                <w:color w:val="FF0000"/>
              </w:rPr>
              <w:t> </w:t>
            </w:r>
          </w:p>
        </w:tc>
        <w:tc>
          <w:tcPr>
            <w:tcW w:w="1010" w:type="dxa"/>
            <w:tcBorders/>
            <w:shd w:fill="FFFFFF" w:val="clear"/>
            <w:vAlign w:val="center"/>
          </w:tcPr>
          <w:p>
            <w:pPr>
              <w:pStyle w:val="TableContents"/>
              <w:bidi w:val="0"/>
              <w:spacing w:before="0" w:after="283"/>
              <w:jc w:val="right"/>
              <w:rPr>
                <w:color w:val="FF0000"/>
              </w:rPr>
            </w:pPr>
            <w:r>
              <w:rPr>
                <w:color w:val="FF0000"/>
              </w:rPr>
              <w:t> </w:t>
            </w:r>
          </w:p>
        </w:tc>
        <w:tc>
          <w:tcPr>
            <w:tcW w:w="80" w:type="dxa"/>
            <w:tcBorders/>
            <w:shd w:fill="FFFFFF" w:val="clear"/>
            <w:vAlign w:val="center"/>
          </w:tcPr>
          <w:p>
            <w:pPr>
              <w:pStyle w:val="TableContents"/>
              <w:bidi w:val="0"/>
              <w:spacing w:before="0" w:after="283"/>
              <w:jc w:val="left"/>
              <w:rPr>
                <w:color w:val="FF0000"/>
              </w:rPr>
            </w:pPr>
            <w:r>
              <w:rPr>
                <w:color w:val="FF0000"/>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sz w:val="20"/>
              </w:rPr>
            </w:pPr>
            <w:r>
              <w:rPr>
                <w:sz w:val="20"/>
              </w:rPr>
              <w:t>Weighted 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Basic</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8,825,881</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8,359,920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8,782,340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8,343,477</w:t>
            </w:r>
          </w:p>
        </w:tc>
        <w:tc>
          <w:tcPr>
            <w:tcW w:w="95"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sz w:val="20"/>
              </w:rPr>
            </w:pPr>
            <w:r>
              <w:rPr>
                <w:sz w:val="20"/>
              </w:rPr>
              <w:t>Diluted</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8,825,881</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8,359,920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8,834,512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8,343,477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62150" cy="619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62150"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795" w:type="dxa"/>
        <w:jc w:val="left"/>
        <w:tblInd w:w="0" w:type="dxa"/>
        <w:tblLayout w:type="fixed"/>
        <w:tblCellMar>
          <w:top w:w="0" w:type="dxa"/>
          <w:left w:w="0" w:type="dxa"/>
          <w:bottom w:w="0" w:type="dxa"/>
          <w:right w:w="0" w:type="dxa"/>
        </w:tblCellMar>
      </w:tblPr>
      <w:tblGrid>
        <w:gridCol w:w="6230"/>
        <w:gridCol w:w="60"/>
        <w:gridCol w:w="125"/>
        <w:gridCol w:w="1010"/>
        <w:gridCol w:w="80"/>
        <w:gridCol w:w="60"/>
        <w:gridCol w:w="125"/>
        <w:gridCol w:w="1010"/>
        <w:gridCol w:w="95"/>
      </w:tblGrid>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vAlign w:val="center"/>
          </w:tcPr>
          <w:p>
            <w:pPr>
              <w:pStyle w:val="TableContents"/>
              <w:bidi w:val="0"/>
              <w:spacing w:before="0" w:after="283"/>
              <w:jc w:val="center"/>
              <w:rPr>
                <w:b/>
                <w:sz w:val="20"/>
              </w:rPr>
            </w:pPr>
            <w:r>
              <w:rPr>
                <w:b/>
                <w:sz w:val="20"/>
              </w:rPr>
              <w:t>For the Nine Months Ended</w:t>
            </w:r>
          </w:p>
        </w:tc>
        <w:tc>
          <w:tcPr>
            <w:tcW w:w="95"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September 30, 2023</w:t>
            </w:r>
          </w:p>
        </w:tc>
        <w:tc>
          <w:tcPr>
            <w:tcW w:w="95"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95"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b/>
                <w:sz w:val="20"/>
              </w:rPr>
            </w:pPr>
            <w:r>
              <w:rPr>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sz w:val="20"/>
              </w:rPr>
            </w:pPr>
            <w:r>
              <w:rPr>
                <w:sz w:val="20"/>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010" w:type="dxa"/>
            <w:tcBorders/>
            <w:shd w:fill="FFFFFF" w:val="clear"/>
            <w:vAlign w:val="center"/>
          </w:tcPr>
          <w:p>
            <w:pPr>
              <w:pStyle w:val="TableContents"/>
              <w:bidi w:val="0"/>
              <w:spacing w:before="0" w:after="283"/>
              <w:jc w:val="right"/>
              <w:rPr>
                <w:sz w:val="20"/>
              </w:rPr>
            </w:pPr>
            <w:r>
              <w:rPr>
                <w:sz w:val="20"/>
              </w:rPr>
              <w:t>(5,433,748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010" w:type="dxa"/>
            <w:tcBorders/>
            <w:shd w:fill="FFFFFF" w:val="clear"/>
            <w:vAlign w:val="center"/>
          </w:tcPr>
          <w:p>
            <w:pPr>
              <w:pStyle w:val="TableContents"/>
              <w:bidi w:val="0"/>
              <w:spacing w:before="0" w:after="283"/>
              <w:jc w:val="right"/>
              <w:rPr>
                <w:sz w:val="20"/>
              </w:rPr>
            </w:pPr>
            <w:r>
              <w:rPr>
                <w:sz w:val="20"/>
              </w:rPr>
              <w:t>(26,074,279</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30" w:type="dxa"/>
            <w:tcBorders/>
            <w:shd w:fill="CCEEFF" w:val="clear"/>
            <w:vAlign w:val="center"/>
          </w:tcPr>
          <w:p>
            <w:pPr>
              <w:pStyle w:val="TableContents"/>
              <w:bidi w:val="0"/>
              <w:spacing w:before="0" w:after="283"/>
              <w:jc w:val="left"/>
              <w:rPr>
                <w:sz w:val="20"/>
              </w:rPr>
            </w:pPr>
            <w:r>
              <w:rPr>
                <w:sz w:val="20"/>
              </w:rPr>
              <w:t>Less: gain (loss) from discontinued operations, net of tax</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5,872,020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(9,341,717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30" w:type="dxa"/>
            <w:tcBorders/>
            <w:shd w:fill="FFFFFF" w:val="clear"/>
            <w:vAlign w:val="center"/>
          </w:tcPr>
          <w:p>
            <w:pPr>
              <w:pStyle w:val="TableContents"/>
              <w:bidi w:val="0"/>
              <w:spacing w:before="0" w:after="283"/>
              <w:jc w:val="left"/>
              <w:rPr>
                <w:sz w:val="20"/>
              </w:rPr>
            </w:pPr>
            <w:r>
              <w:rPr>
                <w:sz w:val="20"/>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(11,305,768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(16,732,562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30" w:type="dxa"/>
            <w:tcBorders/>
            <w:shd w:fill="CCEEFF" w:val="clear"/>
            <w:vAlign w:val="center"/>
          </w:tcPr>
          <w:p>
            <w:pPr>
              <w:pStyle w:val="TableContents"/>
              <w:bidi w:val="0"/>
              <w:spacing w:before="0" w:after="283"/>
              <w:jc w:val="left"/>
              <w:rPr>
                <w:b/>
                <w:sz w:val="20"/>
              </w:rPr>
            </w:pPr>
            <w:r>
              <w:rPr>
                <w:b/>
                <w:sz w:val="20"/>
              </w:rPr>
              <w:t>Reconciliation of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sz w:val="20"/>
              </w:rPr>
            </w:pPr>
            <w:r>
              <w:rPr>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714,899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2,921,765</w:t>
            </w:r>
          </w:p>
        </w:tc>
        <w:tc>
          <w:tcPr>
            <w:tcW w:w="9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sz w:val="20"/>
              </w:rPr>
            </w:pPr>
            <w:r>
              <w:rPr>
                <w:sz w:val="20"/>
              </w:rPr>
              <w:t>Gain on lease termination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(278,681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30" w:type="dxa"/>
            <w:tcBorders/>
            <w:shd w:fill="FFFFFF" w:val="clear"/>
            <w:vAlign w:val="center"/>
          </w:tcPr>
          <w:p>
            <w:pPr>
              <w:pStyle w:val="TableContents"/>
              <w:bidi w:val="0"/>
              <w:spacing w:before="0" w:after="283"/>
              <w:jc w:val="left"/>
              <w:rPr>
                <w:b/>
                <w:sz w:val="20"/>
              </w:rPr>
            </w:pPr>
            <w:r>
              <w:rPr>
                <w:b/>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sz w:val="20"/>
              </w:rPr>
            </w:pPr>
            <w:r>
              <w:rPr>
                <w:sz w:val="20"/>
              </w:rPr>
              <w:t>Prepaid expenses and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(80,116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(204,222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30" w:type="dxa"/>
            <w:tcBorders/>
            <w:shd w:fill="FFFFFF" w:val="clear"/>
            <w:vAlign w:val="center"/>
          </w:tcPr>
          <w:p>
            <w:pPr>
              <w:pStyle w:val="TableContents"/>
              <w:bidi w:val="0"/>
              <w:spacing w:before="0" w:after="283"/>
              <w:jc w:val="left"/>
              <w:rPr>
                <w:sz w:val="20"/>
              </w:rPr>
            </w:pPr>
            <w:r>
              <w:rPr>
                <w:sz w:val="20"/>
              </w:rPr>
              <w:t>Other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2,318,691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(1,680,782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30" w:type="dxa"/>
            <w:tcBorders/>
            <w:shd w:fill="CCEEFF" w:val="clear"/>
            <w:vAlign w:val="center"/>
          </w:tcPr>
          <w:p>
            <w:pPr>
              <w:pStyle w:val="TableContents"/>
              <w:bidi w:val="0"/>
              <w:spacing w:before="0" w:after="283"/>
              <w:jc w:val="left"/>
              <w:rPr>
                <w:sz w:val="20"/>
              </w:rPr>
            </w:pPr>
            <w:r>
              <w:rPr>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208,348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(289,148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30" w:type="dxa"/>
            <w:tcBorders/>
            <w:shd w:fill="FFFFFF" w:val="clear"/>
            <w:vAlign w:val="center"/>
          </w:tcPr>
          <w:p>
            <w:pPr>
              <w:pStyle w:val="TableContents"/>
              <w:bidi w:val="0"/>
              <w:spacing w:before="0" w:after="283"/>
              <w:jc w:val="left"/>
              <w:rPr>
                <w:sz w:val="20"/>
              </w:rPr>
            </w:pPr>
            <w:r>
              <w:rPr>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107,530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(1,146,186</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30" w:type="dxa"/>
            <w:tcBorders/>
            <w:shd w:fill="CCEEFF" w:val="clear"/>
            <w:vAlign w:val="center"/>
          </w:tcPr>
          <w:p>
            <w:pPr>
              <w:pStyle w:val="TableContents"/>
              <w:bidi w:val="0"/>
              <w:spacing w:before="0" w:after="283"/>
              <w:jc w:val="left"/>
              <w:rPr>
                <w:sz w:val="20"/>
              </w:rPr>
            </w:pPr>
            <w:r>
              <w:rPr>
                <w:sz w:val="20"/>
              </w:rPr>
              <w:t>Net cash used in operating activities - continuing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(8,036,416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(17,409,816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30" w:type="dxa"/>
            <w:tcBorders/>
            <w:shd w:fill="FFFFFF" w:val="clear"/>
            <w:vAlign w:val="center"/>
          </w:tcPr>
          <w:p>
            <w:pPr>
              <w:pStyle w:val="TableContents"/>
              <w:bidi w:val="0"/>
              <w:spacing w:before="0" w:after="283"/>
              <w:jc w:val="left"/>
              <w:rPr>
                <w:sz w:val="20"/>
              </w:rPr>
            </w:pPr>
            <w:r>
              <w:rPr>
                <w:sz w:val="20"/>
              </w:rPr>
              <w:t>Net cash used in operating activities -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(6,035,961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(3,256,915</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30" w:type="dxa"/>
            <w:tcBorders/>
            <w:shd w:fill="CCEEFF" w:val="clear"/>
            <w:vAlign w:val="center"/>
          </w:tcPr>
          <w:p>
            <w:pPr>
              <w:pStyle w:val="TableContents"/>
              <w:bidi w:val="0"/>
              <w:spacing w:before="0" w:after="283"/>
              <w:jc w:val="left"/>
              <w:rPr>
                <w:sz w:val="20"/>
              </w:rPr>
            </w:pPr>
            <w:r>
              <w:rPr>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(14,072,377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(20,666,731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30" w:type="dxa"/>
            <w:tcBorders/>
            <w:shd w:fill="FFFFFF" w:val="clear"/>
            <w:vAlign w:val="center"/>
          </w:tcPr>
          <w:p>
            <w:pPr>
              <w:pStyle w:val="TableContents"/>
              <w:bidi w:val="0"/>
              <w:spacing w:before="0" w:after="283"/>
              <w:jc w:val="left"/>
              <w:rPr>
                <w:b/>
                <w:sz w:val="20"/>
              </w:rPr>
            </w:pPr>
            <w:r>
              <w:rPr>
                <w:b/>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sz w:val="20"/>
              </w:rPr>
            </w:pPr>
            <w:r>
              <w:rPr>
                <w:sz w:val="20"/>
              </w:rPr>
              <w:t>Net cash provided by (used in) investing activities - 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18,664,122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(4,817,794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30" w:type="dxa"/>
            <w:tcBorders/>
            <w:shd w:fill="FFFFFF" w:val="clear"/>
            <w:vAlign w:val="center"/>
          </w:tcPr>
          <w:p>
            <w:pPr>
              <w:pStyle w:val="TableContents"/>
              <w:bidi w:val="0"/>
              <w:spacing w:before="0" w:after="283"/>
              <w:jc w:val="left"/>
              <w:rPr>
                <w:sz w:val="20"/>
              </w:rPr>
            </w:pPr>
            <w:r>
              <w:rPr>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18,664,122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(4,817,794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30" w:type="dxa"/>
            <w:tcBorders/>
            <w:shd w:fill="CCEEFF" w:val="clear"/>
            <w:vAlign w:val="center"/>
          </w:tcPr>
          <w:p>
            <w:pPr>
              <w:pStyle w:val="TableContents"/>
              <w:bidi w:val="0"/>
              <w:spacing w:before="0" w:after="283"/>
              <w:jc w:val="left"/>
              <w:rPr>
                <w:b/>
                <w:sz w:val="20"/>
              </w:rPr>
            </w:pPr>
            <w:r>
              <w:rPr>
                <w:b/>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sz w:val="20"/>
              </w:rPr>
            </w:pPr>
            <w:r>
              <w:rPr>
                <w:sz w:val="20"/>
              </w:rPr>
              <w:t>Proceeds from issuance of common stock,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1,014,640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63,573</w:t>
            </w:r>
          </w:p>
        </w:tc>
        <w:tc>
          <w:tcPr>
            <w:tcW w:w="9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sz w:val="20"/>
              </w:rPr>
            </w:pPr>
            <w:r>
              <w:rPr>
                <w:sz w:val="20"/>
              </w:rPr>
              <w:t>Proceeds from stock options exercise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85,342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sz w:val="20"/>
              </w:rPr>
            </w:pPr>
            <w:r>
              <w:rPr>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1,099,982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63,573</w:t>
            </w:r>
          </w:p>
        </w:tc>
        <w:tc>
          <w:tcPr>
            <w:tcW w:w="9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sz w:val="20"/>
              </w:rPr>
            </w:pPr>
            <w:r>
              <w:rPr>
                <w:sz w:val="20"/>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5,691,727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(25,420,952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30" w:type="dxa"/>
            <w:tcBorders/>
            <w:shd w:fill="FFFFFF" w:val="clear"/>
            <w:vAlign w:val="center"/>
          </w:tcPr>
          <w:p>
            <w:pPr>
              <w:pStyle w:val="TableContents"/>
              <w:bidi w:val="0"/>
              <w:spacing w:before="0" w:after="283"/>
              <w:jc w:val="left"/>
              <w:rPr>
                <w:sz w:val="20"/>
              </w:rPr>
            </w:pPr>
            <w:r>
              <w:rPr>
                <w:sz w:val="20"/>
              </w:rPr>
              <w:t>Cash, cash equivalents and restricted cash at beginning of the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11,782,172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43,497,331</w:t>
            </w:r>
          </w:p>
        </w:tc>
        <w:tc>
          <w:tcPr>
            <w:tcW w:w="9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b/>
                <w:sz w:val="20"/>
              </w:rPr>
            </w:pPr>
            <w:r>
              <w:rPr>
                <w:b/>
                <w:sz w:val="20"/>
              </w:rPr>
              <w:t>Cash, cash equivalents and restricted cash at end of the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17,473,899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18,076,379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TIBEREND STRATEGIC ADVISORS,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Kontoh-Boateng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 213-1398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DBOATENG@TIBEREND.COM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Casey McDonald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 577-8520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CMCDONALD@TIBEREND.COM</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2600</Words>
  <Characters>15217</Characters>
  <CharactersWithSpaces>18130</CharactersWithSpaces>
  <Paragraphs>1232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