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10qa.htm"/>
      <w:bookmarkStart w:id="1" w:name="ksform10qa"/>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UNITED STATES SECURITIES AND EXCHANGE COMMISSION</w:t>
      </w:r>
    </w:p>
    <w:p>
      <w:pPr>
        <w:pStyle w:val="TextBody"/>
        <w:spacing w:before="0" w:after="0"/>
        <w:ind w:left="0" w:right="0" w:firstLine="720"/>
        <w:jc w:val="left"/>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FORM 10-Q/A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(Amendment No. 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2;serif" w:hAnsi="Wingdings 2;serif"/>
          <w:b/>
          <w:sz w:val="20"/>
        </w:rPr>
        <w:t>S</w:t>
      </w:r>
      <w:r>
        <w:rPr>
          <w:rFonts w:ascii="Times New Roman" w:hAnsi="Times New Roman"/>
          <w:sz w:val="20"/>
        </w:rPr>
        <w:t xml:space="preserve">           Quarterly Report Under Section 13 or 15(d) of the Securities Exchange Act of 1934 for the quarterly period ended </w:t>
      </w:r>
      <w:r>
        <w:rPr>
          <w:rFonts w:ascii="Times New Roman" w:hAnsi="Times New Roman"/>
          <w:b/>
          <w:sz w:val="20"/>
          <w:u w:val="single"/>
        </w:rPr>
        <w:t>March 31,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Transition Report Under Section 13 or 15(d) of the Securities Exchange Act of 1934 for the transition period from _____ to 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u w:val="single"/>
        </w:rPr>
        <w:t>000-27239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in its charter)</w:t>
      </w:r>
    </w:p>
    <w:tbl>
      <w:tblPr>
        <w:tblW w:w="5000" w:type="pct"/>
        <w:jc w:val="left"/>
        <w:tblInd w:w="0" w:type="dxa"/>
        <w:tblCellMar>
          <w:top w:w="0" w:type="dxa"/>
          <w:left w:w="0" w:type="dxa"/>
          <w:bottom w:w="28" w:type="dxa"/>
          <w:right w:w="0" w:type="dxa"/>
        </w:tblCellMar>
      </w:tblPr>
      <w:tblGrid>
        <w:gridCol w:w="6197"/>
        <w:gridCol w:w="363"/>
        <w:gridCol w:w="3645"/>
      </w:tblGrid>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363" w:type="dxa"/>
            <w:tcBorders/>
            <w:shd w:fill="auto" w:val="clear"/>
            <w:tcMar>
              <w:bottom w:w="0" w:type="dxa"/>
            </w:tcMar>
          </w:tcPr>
          <w:p>
            <w:pPr>
              <w:pStyle w:val="TableContents"/>
              <w:spacing w:before="0" w:after="283"/>
              <w:rPr/>
            </w:pPr>
            <w:r>
              <w:rPr/>
              <w:t xml:space="preserve">  </w:t>
            </w:r>
          </w:p>
        </w:tc>
        <w:tc>
          <w:tcPr>
            <w:tcW w:w="364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6197" w:type="dxa"/>
            <w:tcBorders/>
            <w:shd w:fill="auto" w:val="clear"/>
            <w:tcMar>
              <w:bottom w:w="0" w:type="dxa"/>
            </w:tcMar>
          </w:tcPr>
          <w:p>
            <w:pPr>
              <w:pStyle w:val="TableContents"/>
              <w:spacing w:before="0" w:after="283"/>
              <w:rPr/>
            </w:pPr>
            <w:r>
              <w:rPr/>
              <w:t xml:space="preserve">  </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1551 Eastlake Avenue East, Suite 100</w:t>
            </w:r>
          </w:p>
          <w:p>
            <w:pPr>
              <w:pStyle w:val="TableContents"/>
              <w:spacing w:before="0" w:after="0"/>
              <w:ind w:left="0" w:right="0" w:hanging="0"/>
              <w:jc w:val="center"/>
              <w:rPr>
                <w:rFonts w:ascii="Times New Roman" w:hAnsi="Times New Roman"/>
                <w:sz w:val="20"/>
              </w:rPr>
            </w:pPr>
            <w:r>
              <w:rPr>
                <w:rFonts w:ascii="Times New Roman" w:hAnsi="Times New Roman"/>
                <w:sz w:val="20"/>
              </w:rPr>
              <w:t>Seattle, Washington</w:t>
            </w:r>
          </w:p>
        </w:tc>
        <w:tc>
          <w:tcPr>
            <w:tcW w:w="363" w:type="dxa"/>
            <w:tcBorders/>
            <w:shd w:fill="auto" w:val="clear"/>
            <w:tcMar>
              <w:bottom w:w="0" w:type="dxa"/>
            </w:tcMar>
          </w:tcPr>
          <w:p>
            <w:pPr>
              <w:pStyle w:val="TableContents"/>
              <w:spacing w:before="0" w:after="283"/>
              <w:rPr/>
            </w:pPr>
            <w:r>
              <w:rPr/>
              <w:t xml:space="preserve">  </w:t>
            </w:r>
          </w:p>
        </w:tc>
        <w:tc>
          <w:tcPr>
            <w:tcW w:w="3645"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6197" w:type="dxa"/>
            <w:tcBorders/>
            <w:shd w:fill="auto" w:val="clear"/>
            <w:tcMar>
              <w:bottom w:w="0" w:type="dxa"/>
            </w:tcMar>
          </w:tcPr>
          <w:p>
            <w:pPr>
              <w:pStyle w:val="TableContents"/>
              <w:spacing w:before="0" w:after="283"/>
              <w:rPr/>
            </w:pPr>
            <w:r>
              <w:rPr/>
              <w:t xml:space="preserve">  </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(206) 504 7278</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(Issuer's telephone number)</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r>
        <w:trPr/>
        <w:tc>
          <w:tcPr>
            <w:tcW w:w="6197" w:type="dxa"/>
            <w:tcBorders/>
            <w:shd w:fill="auto" w:val="clear"/>
            <w:tcMar>
              <w:bottom w:w="0" w:type="dxa"/>
            </w:tcMar>
          </w:tcPr>
          <w:p>
            <w:pPr>
              <w:pStyle w:val="TableContents"/>
              <w:spacing w:before="0" w:after="283"/>
              <w:rPr/>
            </w:pPr>
            <w:r>
              <w:rPr/>
              <w:t xml:space="preserve">  </w:t>
            </w:r>
          </w:p>
        </w:tc>
        <w:tc>
          <w:tcPr>
            <w:tcW w:w="363" w:type="dxa"/>
            <w:tcBorders/>
            <w:shd w:fill="auto" w:val="clear"/>
            <w:tcMar>
              <w:bottom w:w="0" w:type="dxa"/>
            </w:tcMar>
          </w:tcPr>
          <w:p>
            <w:pPr>
              <w:pStyle w:val="TableContents"/>
              <w:spacing w:before="0" w:after="283"/>
              <w:rPr/>
            </w:pPr>
            <w:r>
              <w:rPr/>
              <w:t xml:space="preserve">  </w:t>
            </w:r>
          </w:p>
        </w:tc>
        <w:tc>
          <w:tcPr>
            <w:tcW w:w="3645" w:type="dxa"/>
            <w:tcBorders/>
            <w:shd w:fill="auto" w:val="clear"/>
            <w:tcMar>
              <w:bottom w:w="0" w:type="dxa"/>
            </w:tcMar>
          </w:tcPr>
          <w:p>
            <w:pPr>
              <w:pStyle w:val="TableContents"/>
              <w:spacing w:before="0" w:after="283"/>
              <w:rPr/>
            </w:pPr>
            <w:r>
              <w:rPr/>
              <w:t xml:space="preserve">  </w:t>
            </w:r>
          </w:p>
        </w:tc>
      </w:tr>
    </w:tbl>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2;serif" w:hAnsi="Wingdings 2;serif"/>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Large accelerated filer                                                                                     </w:t>
      </w:r>
      <w:r>
        <w:rPr>
          <w:rFonts w:ascii="Wingdings 2;serif" w:hAnsi="Wingdings 2;serif"/>
          <w:sz w:val="20"/>
        </w:rPr>
        <w:t>£</w:t>
      </w:r>
      <w:r>
        <w:rPr>
          <w:rFonts w:ascii="Times New Roman" w:hAnsi="Times New Roman"/>
          <w:sz w:val="20"/>
        </w:rPr>
        <w:t>  Accelerated filer</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Non-accelerated filer (Do not check                                                             </w:t>
      </w:r>
      <w:r>
        <w:rPr>
          <w:rFonts w:ascii="Wingdings 2;serif" w:hAnsi="Wingdings 2;serif"/>
          <w:b/>
          <w:sz w:val="20"/>
        </w:rPr>
        <w:t>S</w:t>
      </w:r>
      <w:r>
        <w:rPr>
          <w:rFonts w:ascii="Times New Roman" w:hAnsi="Times New Roman"/>
          <w:sz w:val="20"/>
        </w:rPr>
        <w:t>  Smaller reporting company</w:t>
      </w:r>
    </w:p>
    <w:p>
      <w:pPr>
        <w:pStyle w:val="TextBody"/>
        <w:spacing w:before="0" w:after="0"/>
        <w:ind w:left="0" w:right="0" w:hanging="0"/>
        <w:jc w:val="both"/>
        <w:rPr/>
      </w:pPr>
      <w:r>
        <w:rPr/>
        <w:t>      </w:t>
      </w:r>
      <w:r>
        <w:rPr>
          <w:rFonts w:ascii="Times New Roman" w:hAnsi="Times New Roman"/>
          <w:sz w:val="20"/>
        </w:rPr>
        <w:t>if smaller reporting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May 9, 2013, the Company had 92,728,474 shares of common stock issued and outstanding.</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EXPLANATORY NOTE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Amendment No. 1 on Form 10-Q/A (the “Form 10-Q/A”) to the Quarterly Report on Form 10-Q for TapImmune Inc. (“we” or the “Company”) for the quarterly period ended March 31, 2013, initially filed with the Securities and Exchange Commission (the “SEC”) on May 21, 2013 (the “Original Filing”), is being filed to report restated:</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1004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Cash, (b) Accounts payable, (c) Derivative liability – conversion option, (d) Derivative liability – warrants, (e) Due to related parties, (f)Common stock, (g) Additional paid-in capital, (h) Deficit accumulated during development stage relating to revaluation of derivative liabilities and (i) other adjustments in fiscal year ended December 2012 and</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4" w:name="hangingindent1"/>
      <w:bookmarkStart w:id="5" w:name="hangingindent1"/>
      <w:bookmarkEnd w:id="5"/>
    </w:p>
    <w:tbl>
      <w:tblPr>
        <w:tblW w:w="5000" w:type="pct"/>
        <w:jc w:val="center"/>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9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Accounts payable, (b) Derivative liability – conversion option, (c) Derivative liability – warrants, (d) Promissory notes, (e) Due to related parties, (f) Common stock, (g) Additional paid-in capital, (h) Deficit accumulated during development stage relating to revaluation of derivative liabilities and (i) other adjustments in the current period.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restatement of the Company’s adjustments to derivative liabilities and other adjustments arose in connection with management’s review of the Company’s periodic SEC filings.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on May 21, 2013, the Board of Directors of the Company, determined that the Company’s previously issued consolidated unaudited financial statements and reports filed with the SEC for the quarterly period ended March 31, 2013 should not be relied upon. For a more detailed description of the effects of the restatement, see further discussion in Note 1A, “Restatement of Consolidated Financial Statements” to our consolidated financial statements included in Part I, Item 1 of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convenience of the reader, this Form 10-Q/A sets forth the Original Filing in their entirety. However, this Form 10-Q/A only amends and restates Items 1 and 2 of Part I of the Original Filing, in each case, solely as a result of, and to reflect, the restatement,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6 of Part II of the Original Filing has been amended to contain currently dated certifications from the Company’s Chief Executive Officer and Chief Financial Officer, as required by Sections 302 and 906 of the Sarbanes-Oxley Act of 2002, and they are attached as Exhibits 31.1 and 32.1 to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for the foregoing amended information, this Form 10-Q/A continues to speak as of the dates of the Original Filing, and the Company has not updated the disclosures contained herein to reflect events that occurred at a later date. Other events occurring after the filing of the Original Filing or other disclosures necessary to reflect subsequent events will be addressed in any reports filed with the SEC subsequent to the date of this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 w:name="PN"/>
      <w:bookmarkEnd w:id="1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PART I – FINANCIAL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09"/>
        <w:gridCol w:w="1596"/>
      </w:tblGrid>
      <w:tr>
        <w:trPr/>
        <w:tc>
          <w:tcPr>
            <w:tcW w:w="860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59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March 31, 2013 (Unaudited) and December 31, 2012 (Restated)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Interim Consolidated Statements of Operations for the Three Months Ended March 31, 2013 and 2012 and for the Period from July 27, 1999 (Date of Inception) to March 31, 2013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Interim Consolidated Statements of Cash Flows for the Three Months Ended March 31 2013 and 2012 and for the Period from July 27, 1999 (Date of Inception) to March 31, 2013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Interim Consolidated Financial Statements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r>
      <w:tr>
        <w:trPr/>
        <w:tc>
          <w:tcPr>
            <w:tcW w:w="8609" w:type="dxa"/>
            <w:tcBorders>
              <w:bottom w:val="single" w:sz="12" w:space="0" w:color="000000"/>
            </w:tcBorders>
            <w:shd w:fill="auto" w:val="clear"/>
          </w:tcPr>
          <w:p>
            <w:pPr>
              <w:pStyle w:val="TableContents"/>
              <w:spacing w:before="0" w:after="283"/>
              <w:rPr/>
            </w:pPr>
            <w:r>
              <w:rPr/>
              <w:t xml:space="preserve">  </w:t>
            </w:r>
          </w:p>
        </w:tc>
        <w:tc>
          <w:tcPr>
            <w:tcW w:w="1596" w:type="dxa"/>
            <w:tcBorders>
              <w:bottom w:val="single" w:sz="12" w:space="0" w:color="000000"/>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7285"/>
        <w:gridCol w:w="107"/>
        <w:gridCol w:w="126"/>
        <w:gridCol w:w="1109"/>
        <w:gridCol w:w="113"/>
        <w:gridCol w:w="107"/>
        <w:gridCol w:w="126"/>
        <w:gridCol w:w="1109"/>
        <w:gridCol w:w="123"/>
      </w:tblGrid>
      <w:tr>
        <w:trPr/>
        <w:tc>
          <w:tcPr>
            <w:tcW w:w="728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pPr>
            <w:r>
              <w:rPr/>
              <w:t> </w:t>
            </w:r>
            <w:r>
              <w:rPr>
                <w:rFonts w:ascii="times new roman" w:hAnsi="times new roman"/>
                <w:sz w:val="20"/>
              </w:rPr>
              <w:t>2013</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35"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(Unaudited)</w:t>
            </w:r>
          </w:p>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33,839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118,954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Deferred financing costs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26,867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37,452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151,356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151,356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 (Note 12)</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1,898,463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1,941,716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443,534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415,998</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conversion option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329,900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warrants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462,293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notes payable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2,064,171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1,476,230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Loans payable (Note 6)</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Promissory notes (Note 7)</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277,942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67,942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8)</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153,846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373,346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5,640,149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6,129,893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9)</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87,571,984 shares issued and outstanding (2012 – 76,402,958)</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85,674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76,404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44,456,733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43,483,947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 (Note 9)</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367,405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352,859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(50,335,515</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(49,894,083</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(63,090</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(61,648</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(5,488,793</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(6,042,521</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151,356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RESTATEMENT (Note 1(A))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CONTINGENCIES AND COMMITMENTS</w:t>
      </w:r>
      <w:r>
        <w:rPr>
          <w:rFonts w:ascii="Times New Roman" w:hAnsi="Times New Roman"/>
          <w:sz w:val="20"/>
        </w:rPr>
        <w:t xml:space="preserve"> (Notes 1, 3, 5 and 11)</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interim consolidated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INTERIM CONSOLIDATED STATEMENTS OF OPERATIONS</w:t>
      </w:r>
    </w:p>
    <w:p>
      <w:pPr>
        <w:pStyle w:val="TextBody"/>
        <w:spacing w:before="0" w:after="0"/>
        <w:ind w:left="0" w:right="0" w:hanging="0"/>
        <w:jc w:val="center"/>
        <w:rPr>
          <w:rFonts w:ascii="Times New Roman" w:hAnsi="Times New Roman"/>
          <w:b/>
          <w:i/>
          <w:sz w:val="20"/>
        </w:rPr>
      </w:pPr>
      <w:r>
        <w:rPr>
          <w:rFonts w:ascii="Times New Roman" w:hAnsi="Times New Roman"/>
          <w:b/>
          <w:i/>
          <w:sz w:val="20"/>
        </w:rPr>
        <w:t>(UNAUDITED)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5934"/>
        <w:gridCol w:w="103"/>
        <w:gridCol w:w="125"/>
        <w:gridCol w:w="1075"/>
        <w:gridCol w:w="110"/>
        <w:gridCol w:w="103"/>
        <w:gridCol w:w="125"/>
        <w:gridCol w:w="1075"/>
        <w:gridCol w:w="110"/>
        <w:gridCol w:w="103"/>
        <w:gridCol w:w="125"/>
        <w:gridCol w:w="1094"/>
        <w:gridCol w:w="123"/>
      </w:tblGrid>
      <w:tr>
        <w:trPr/>
        <w:tc>
          <w:tcPr>
            <w:tcW w:w="5934"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20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2013</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20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21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2013</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0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0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19"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3" w:type="dxa"/>
            <w:tcBorders/>
            <w:shd w:fill="auto" w:val="clear"/>
            <w:tcMar>
              <w:top w:w="0" w:type="dxa"/>
              <w:bottom w:w="0" w:type="dxa"/>
            </w:tcMar>
            <w:vAlign w:val="bottom"/>
          </w:tcPr>
          <w:p>
            <w:pPr>
              <w:pStyle w:val="TableContents"/>
              <w:spacing w:before="0" w:after="283"/>
              <w:rPr/>
            </w:pPr>
            <w:r>
              <w:rPr/>
              <w:t> </w:t>
            </w:r>
          </w:p>
        </w:tc>
        <w:tc>
          <w:tcPr>
            <w:tcW w:w="120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0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19"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2,251,500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 stock-based (Note 9)</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67,812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133,908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8,106,184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207,318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141,890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4,136,670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financing charges (Note 4)</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334,888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96,726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6,910,975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(Note 8)</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58,500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80,100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3,132,803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 stock-based (Notes 8 and 9)</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15,563</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29,563</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4,464,561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266,630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74,129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5,682,739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(Note 8)</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134,380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115,465</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7,102,975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 stock-based</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1,115,091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671,781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42,613,634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(1,115,091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(671,781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(42,613,634</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 (loss) gain</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12,533</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(7,783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58,220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 (Note 4)</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1,097,168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71,062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5,401,560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 (Note 5)</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(1,373,263</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 (Note 8)</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(436,042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9,930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(12,126,843</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extinguishment of derivative  liabilities -  warrants (Note 5)</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290,500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(441,432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(598,572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(50,335,515</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4"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7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80,694,680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7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52,470,198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4"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interim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i/>
          <w:sz w:val="20"/>
        </w:rPr>
      </w:pPr>
      <w:r>
        <w:rPr>
          <w:rFonts w:ascii="Times New Roman" w:hAnsi="Times New Roman"/>
          <w:b/>
          <w:i/>
          <w:sz w:val="20"/>
        </w:rPr>
        <w:t>INTERIM CONSOLIDATED STATEMENTS OF CASH FLOWS</w:t>
      </w:r>
    </w:p>
    <w:p>
      <w:pPr>
        <w:pStyle w:val="TextBody"/>
        <w:spacing w:before="0" w:after="0"/>
        <w:ind w:left="0" w:right="0" w:hanging="0"/>
        <w:jc w:val="center"/>
        <w:rPr>
          <w:rFonts w:ascii="Times New Roman" w:hAnsi="Times New Roman"/>
          <w:b/>
          <w:i/>
          <w:sz w:val="20"/>
        </w:rPr>
      </w:pPr>
      <w:r>
        <w:rPr>
          <w:rFonts w:ascii="Times New Roman" w:hAnsi="Times New Roman"/>
          <w:b/>
          <w:i/>
          <w:sz w:val="20"/>
        </w:rPr>
        <w:t>(UNAUDITED)</w:t>
      </w:r>
    </w:p>
    <w:p>
      <w:pPr>
        <w:pStyle w:val="TextBody"/>
        <w:ind w:left="0" w:right="0" w:hanging="0"/>
        <w:rPr/>
      </w:pPr>
      <w:r>
        <w:rPr/>
      </w:r>
    </w:p>
    <w:tbl>
      <w:tblPr>
        <w:tblW w:w="5000" w:type="pct"/>
        <w:jc w:val="left"/>
        <w:tblInd w:w="0" w:type="dxa"/>
        <w:tblCellMar>
          <w:top w:w="28" w:type="dxa"/>
          <w:left w:w="0" w:type="dxa"/>
          <w:bottom w:w="28" w:type="dxa"/>
          <w:right w:w="0" w:type="dxa"/>
        </w:tblCellMar>
      </w:tblPr>
      <w:tblGrid>
        <w:gridCol w:w="6030"/>
        <w:gridCol w:w="103"/>
        <w:gridCol w:w="125"/>
        <w:gridCol w:w="1055"/>
        <w:gridCol w:w="110"/>
        <w:gridCol w:w="103"/>
        <w:gridCol w:w="125"/>
        <w:gridCol w:w="1006"/>
        <w:gridCol w:w="110"/>
        <w:gridCol w:w="103"/>
        <w:gridCol w:w="125"/>
        <w:gridCol w:w="1089"/>
        <w:gridCol w:w="121"/>
      </w:tblGrid>
      <w:tr>
        <w:trPr/>
        <w:tc>
          <w:tcPr>
            <w:tcW w:w="603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18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2013</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13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21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2013</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18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13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14" w:type="dxa"/>
            <w:gridSpan w:val="2"/>
            <w:tcBorders/>
            <w:shd w:fill="auto" w:val="clear"/>
            <w:tcMar>
              <w:top w:w="0" w:type="dxa"/>
              <w:bottom w:w="0" w:type="dxa"/>
            </w:tcMar>
            <w:vAlign w:val="bottom"/>
          </w:tcPr>
          <w:p>
            <w:pPr>
              <w:pStyle w:val="TableContents"/>
              <w:spacing w:before="0" w:after="283"/>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10084"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(441,432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(598,572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(50,335,515</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213,228</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loss on debt financing</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1,373,263</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Changes in fair value of derivative liabilities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(1,097,168</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(71,062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(5,401,560</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(gain) on settlement of debt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436,042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(9,930</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12,126,843</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Gain on extinguishment of derivative liabilities      -  warrants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(290,500</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financing charges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96,726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5,468,499</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Stock based compensation</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83,375</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163,471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13,198,995</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(103,950</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15,152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(142,954</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Deferred financing costs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10,585</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3,827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(1,618</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630,558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24,268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6,227,839</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27,536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43,761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661,665</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w:t>
            </w:r>
          </w:p>
          <w:p>
            <w:pPr>
              <w:pStyle w:val="TableContents"/>
              <w:spacing w:before="0" w:after="0"/>
              <w:ind w:left="0" w:right="0" w:hanging="0"/>
              <w:jc w:val="left"/>
              <w:rPr>
                <w:rFonts w:ascii="times new roman" w:hAnsi="times new roman"/>
                <w:b/>
                <w:sz w:val="20"/>
              </w:rPr>
            </w:pPr>
            <w:r>
              <w:rPr>
                <w:rFonts w:ascii="times new roman" w:hAnsi="times new roman"/>
                <w:b/>
                <w:sz w:val="20"/>
              </w:rPr>
              <w:t>OPERATING ACTIVITIES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(454,454</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(332,383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(16,897,471</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10084"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shares, net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235,951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11,096,526</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net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2,123,906</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loans payable</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428,000</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and loans payable</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related parties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80,500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1,880,283</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exercise of warrants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108,600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108,600</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subscriptions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rFonts w:ascii="times new roman" w:hAnsi="times new roman"/>
                <w:b/>
                <w:sz w:val="20"/>
              </w:rPr>
            </w:pPr>
            <w:r>
              <w:rPr>
                <w:rFonts w:ascii="times new roman" w:hAnsi="times new roman"/>
                <w:b/>
                <w:sz w:val="20"/>
              </w:rPr>
              <w:t>FINANCING ACTIVITIES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425,051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105,900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16,697,160</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10084"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furniture and equipment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acquired on reverse acquisition</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rFonts w:ascii="times new roman" w:hAnsi="times new roman"/>
                <w:b/>
                <w:sz w:val="20"/>
              </w:rPr>
            </w:pPr>
            <w:r>
              <w:rPr>
                <w:rFonts w:ascii="times new roman" w:hAnsi="times new roman"/>
                <w:b/>
                <w:sz w:val="20"/>
              </w:rPr>
              <w:t>INVESTING ACTIVITIES</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283"/>
              <w:rPr/>
            </w:pPr>
            <w:r>
              <w:rPr/>
              <w:t xml:space="preserve">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(29,403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0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(226,483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4,436</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33,839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0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250,234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left"/>
              <w:rPr/>
            </w:pPr>
            <w:r>
              <w:rPr/>
              <w:t> </w:t>
            </w:r>
          </w:p>
        </w:tc>
      </w:tr>
      <w:tr>
        <w:trPr/>
        <w:tc>
          <w:tcPr>
            <w:tcW w:w="603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PERIODPERIOD</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23,751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4,436</w:t>
            </w:r>
          </w:p>
        </w:tc>
        <w:tc>
          <w:tcPr>
            <w:tcW w:w="12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Supplemental cash flow information and non-cash investing and financing activities: (Note 10)</w:t>
      </w:r>
    </w:p>
    <w:tbl>
      <w:tblPr>
        <w:tblW w:w="597" w:type="dxa"/>
        <w:jc w:val="left"/>
        <w:tblInd w:w="0" w:type="dxa"/>
        <w:tblCellMar>
          <w:top w:w="28" w:type="dxa"/>
          <w:left w:w="28" w:type="dxa"/>
          <w:bottom w:w="28" w:type="dxa"/>
          <w:right w:w="28" w:type="dxa"/>
        </w:tblCellMar>
      </w:tblPr>
      <w:tblGrid>
        <w:gridCol w:w="199"/>
        <w:gridCol w:w="199"/>
        <w:gridCol w:w="199"/>
      </w:tblGrid>
      <w:tr>
        <w:trPr/>
        <w:tc>
          <w:tcPr>
            <w:tcW w:w="1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r>
    </w:tbl>
    <w:p>
      <w:pPr>
        <w:pStyle w:val="TextBody"/>
        <w:spacing w:before="0" w:after="0"/>
        <w:jc w:val="center"/>
        <w:rPr>
          <w:rFonts w:ascii="Times New Roman" w:hAnsi="Times New Roman"/>
          <w:sz w:val="20"/>
        </w:rPr>
      </w:pPr>
      <w:r>
        <w:rPr>
          <w:rFonts w:ascii="Times New Roman" w:hAnsi="Times New Roman"/>
          <w:sz w:val="20"/>
        </w:rPr>
        <w:t>The accompanying notes are an integral part of these interim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4"/>
      <w:bookmarkStart w:id="43" w:name="PGBRK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4"/>
      <w:bookmarkStart w:id="45" w:name="FT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 w:name="GLFTR4"/>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 w:name="PN4"/>
      <w:bookmarkEnd w:id="47"/>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HDR4"/>
      <w:bookmarkStart w:id="49" w:name="HDR4"/>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 w:name="GLHDR4"/>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INTERIM CONSOLIDATED FINANCIAL STATEMENTS</w:t>
      </w:r>
    </w:p>
    <w:p>
      <w:pPr>
        <w:pStyle w:val="TextBody"/>
        <w:spacing w:before="0" w:after="0"/>
        <w:ind w:left="0" w:right="0" w:hanging="0"/>
        <w:jc w:val="center"/>
        <w:rPr>
          <w:rFonts w:ascii="Times New Roman" w:hAnsi="Times New Roman"/>
          <w:b/>
          <w:i/>
          <w:sz w:val="20"/>
        </w:rPr>
      </w:pPr>
      <w:r>
        <w:rPr>
          <w:rFonts w:ascii="Times New Roman" w:hAnsi="Times New Roman"/>
          <w:b/>
          <w:i/>
          <w:sz w:val="20"/>
        </w:rPr>
        <w:t>MARCH 31, 2013 (UNAUDITED)</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1A:  RESTATEMENT OF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restated our consolidated financial statements as of and for the year ended December 31, 2012 and the consolidated financial statements as of and for the three months ended March 31, 2013 relating to the Company’s accounting for derivative liabilities and other accounts. We had recorded the derivative liabilities without accurately reflecting the effect of conversion of certain convertible notes and proper classification of some of the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impact of the restatement on the consolidated financial statements as of and for the year ended December 31, 2012, is shown in the following table: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79"/>
        <w:gridCol w:w="105"/>
        <w:gridCol w:w="133"/>
        <w:gridCol w:w="1153"/>
        <w:gridCol w:w="114"/>
        <w:gridCol w:w="105"/>
        <w:gridCol w:w="138"/>
        <w:gridCol w:w="1077"/>
        <w:gridCol w:w="114"/>
        <w:gridCol w:w="105"/>
        <w:gridCol w:w="133"/>
        <w:gridCol w:w="1153"/>
        <w:gridCol w:w="114"/>
        <w:gridCol w:w="82"/>
      </w:tblGrid>
      <w:tr>
        <w:trPr/>
        <w:tc>
          <w:tcPr>
            <w:tcW w:w="7070"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482"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sheet data — December 31, 2012</w:t>
            </w:r>
          </w:p>
        </w:tc>
      </w:tr>
      <w:tr>
        <w:trPr/>
        <w:tc>
          <w:tcPr>
            <w:tcW w:w="56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86"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2720" w:type="dxa"/>
            <w:gridSpan w:val="6"/>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xml:space="preserve">  </w:t>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50,679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33,839</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104,212</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87,372</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2,058,556</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(116,840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1,941,716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798,300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69,275</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677,086</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payable</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1,376,230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1,476,230</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related parties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366,697</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373,346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5,770,809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359,084</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6,129,893</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43,545,947</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(62,000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43,483,947</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(49,580,159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(313,924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(49,894,083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deficiency</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(5,666,597</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(375,924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(6,042,521</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928"/>
        <w:gridCol w:w="106"/>
        <w:gridCol w:w="127"/>
        <w:gridCol w:w="1078"/>
        <w:gridCol w:w="113"/>
        <w:gridCol w:w="106"/>
        <w:gridCol w:w="128"/>
        <w:gridCol w:w="1036"/>
        <w:gridCol w:w="113"/>
        <w:gridCol w:w="106"/>
        <w:gridCol w:w="126"/>
        <w:gridCol w:w="1078"/>
        <w:gridCol w:w="113"/>
        <w:gridCol w:w="47"/>
      </w:tblGrid>
      <w:tr>
        <w:trPr/>
        <w:tc>
          <w:tcPr>
            <w:tcW w:w="7239"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3" w:type="dxa"/>
            <w:tcBorders/>
            <w:shd w:fill="auto" w:val="clear"/>
            <w:vAlign w:val="bottom"/>
          </w:tcPr>
          <w:p>
            <w:pPr>
              <w:pStyle w:val="TableContents"/>
              <w:spacing w:before="0" w:after="283"/>
              <w:jc w:val="left"/>
              <w:rPr/>
            </w:pPr>
            <w:r>
              <w:rPr/>
              <w:t> </w:t>
            </w:r>
          </w:p>
        </w:tc>
        <w:tc>
          <w:tcPr>
            <w:tcW w:w="1270" w:type="dxa"/>
            <w:gridSpan w:val="3"/>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3" w:type="dxa"/>
            <w:tcBorders/>
            <w:shd w:fill="auto" w:val="clear"/>
            <w:vAlign w:val="bottom"/>
          </w:tcPr>
          <w:p>
            <w:pPr>
              <w:pStyle w:val="TableContents"/>
              <w:spacing w:before="0" w:after="283"/>
              <w:jc w:val="left"/>
              <w:rPr/>
            </w:pPr>
            <w:r>
              <w:rPr/>
              <w:t> </w:t>
            </w:r>
          </w:p>
        </w:tc>
        <w:tc>
          <w:tcPr>
            <w:tcW w:w="1470" w:type="dxa"/>
            <w:gridSpan w:val="5"/>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year ended December 31, 2012</w:t>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295,600</w:t>
            </w:r>
          </w:p>
        </w:tc>
        <w:tc>
          <w:tcPr>
            <w:tcW w:w="113"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3"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302,249</w:t>
            </w:r>
          </w:p>
        </w:tc>
        <w:tc>
          <w:tcPr>
            <w:tcW w:w="113"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(6,222,798</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(6,229,447</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r>
        <w:trPr/>
        <w:tc>
          <w:tcPr>
            <w:tcW w:w="5928"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6"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536,527</w:t>
            </w:r>
          </w:p>
        </w:tc>
        <w:tc>
          <w:tcPr>
            <w:tcW w:w="113"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(307,375</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229,252</w:t>
            </w:r>
          </w:p>
        </w:tc>
        <w:tc>
          <w:tcPr>
            <w:tcW w:w="113"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92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6"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(5,857,943</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(313,924</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6"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(6,171,867</w:t>
            </w:r>
          </w:p>
        </w:tc>
        <w:tc>
          <w:tcPr>
            <w:tcW w:w="1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r>
        <w:trPr/>
        <w:tc>
          <w:tcPr>
            <w:tcW w:w="10205" w:type="dxa"/>
            <w:gridSpan w:val="14"/>
            <w:tcBorders/>
            <w:shd w:fill="auto" w:val="clear"/>
            <w:vAlign w:val="bottom"/>
          </w:tcPr>
          <w:p>
            <w:pPr>
              <w:pStyle w:val="TableContents"/>
              <w:spacing w:before="0" w:after="283"/>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93"/>
        <w:gridCol w:w="106"/>
        <w:gridCol w:w="133"/>
        <w:gridCol w:w="1159"/>
        <w:gridCol w:w="114"/>
        <w:gridCol w:w="106"/>
        <w:gridCol w:w="138"/>
        <w:gridCol w:w="1083"/>
        <w:gridCol w:w="114"/>
        <w:gridCol w:w="106"/>
        <w:gridCol w:w="133"/>
        <w:gridCol w:w="1159"/>
        <w:gridCol w:w="114"/>
        <w:gridCol w:w="47"/>
      </w:tblGrid>
      <w:tr>
        <w:trPr/>
        <w:tc>
          <w:tcPr>
            <w:tcW w:w="7091"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53"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From July 27, 1999 (inception) to December 31, 2012</w:t>
            </w:r>
          </w:p>
        </w:tc>
      </w:tr>
      <w:tr>
        <w:trPr/>
        <w:tc>
          <w:tcPr>
            <w:tcW w:w="569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3,067,654</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3,074,303</w:t>
            </w:r>
          </w:p>
        </w:tc>
        <w:tc>
          <w:tcPr>
            <w:tcW w:w="114"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69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(41,491,894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(41,498,543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r>
        <w:trPr/>
        <w:tc>
          <w:tcPr>
            <w:tcW w:w="569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4,611,667</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(307,375</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4,304,392</w:t>
            </w:r>
          </w:p>
        </w:tc>
        <w:tc>
          <w:tcPr>
            <w:tcW w:w="114" w:type="dxa"/>
            <w:tcBorders/>
            <w:shd w:fill="auto" w:val="clear"/>
            <w:vAlign w:val="bottom"/>
          </w:tcPr>
          <w:p>
            <w:pPr>
              <w:pStyle w:val="TableContents"/>
              <w:spacing w:before="0" w:after="283"/>
              <w:jc w:val="left"/>
              <w:rPr/>
            </w:pPr>
            <w:r>
              <w:rPr/>
              <w:t> </w:t>
            </w:r>
          </w:p>
        </w:tc>
        <w:tc>
          <w:tcPr>
            <w:tcW w:w="47" w:type="dxa"/>
            <w:tcBorders/>
            <w:shd w:fill="auto" w:val="clear"/>
          </w:tcPr>
          <w:p>
            <w:pPr>
              <w:pStyle w:val="TableContents"/>
              <w:spacing w:before="0" w:after="283"/>
              <w:rPr>
                <w:sz w:val="4"/>
                <w:szCs w:val="4"/>
              </w:rPr>
            </w:pPr>
            <w:r>
              <w:rPr>
                <w:sz w:val="4"/>
                <w:szCs w:val="4"/>
              </w:rPr>
            </w:r>
          </w:p>
        </w:tc>
      </w:tr>
      <w:tr>
        <w:trPr/>
        <w:tc>
          <w:tcPr>
            <w:tcW w:w="569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6" w:type="dxa"/>
            <w:tcBorders/>
            <w:shd w:fill="auto" w:val="clear"/>
            <w:vAlign w:val="bottom"/>
          </w:tcPr>
          <w:p>
            <w:pPr>
              <w:pStyle w:val="TableContents"/>
              <w:spacing w:before="0" w:after="283"/>
              <w:jc w:val="right"/>
              <w:rPr/>
            </w:pPr>
            <w:r>
              <w:rPr/>
              <w:t> </w:t>
            </w:r>
          </w:p>
        </w:tc>
        <w:tc>
          <w:tcPr>
            <w:tcW w:w="13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(49,580,159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(313,924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(49,894,083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5"/>
      <w:bookmarkStart w:id="52" w:name="PGBRK5"/>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5"/>
      <w:bookmarkStart w:id="54" w:name="FTR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 w:name="GLFTR5"/>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5"/>
      <w:bookmarkEnd w:id="56"/>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5"/>
      <w:bookmarkStart w:id="58" w:name="HDR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 w:name="GLHDR5"/>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impact of the restatement on the consolidated financial statements as of and for the three months ended March 31, 2013, and from July 27, 1999 (inception) to March 31, 2013 is shown in the following tables: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79"/>
        <w:gridCol w:w="105"/>
        <w:gridCol w:w="133"/>
        <w:gridCol w:w="1153"/>
        <w:gridCol w:w="114"/>
        <w:gridCol w:w="105"/>
        <w:gridCol w:w="138"/>
        <w:gridCol w:w="1077"/>
        <w:gridCol w:w="114"/>
        <w:gridCol w:w="105"/>
        <w:gridCol w:w="133"/>
        <w:gridCol w:w="1153"/>
        <w:gridCol w:w="114"/>
        <w:gridCol w:w="82"/>
      </w:tblGrid>
      <w:tr>
        <w:trPr/>
        <w:tc>
          <w:tcPr>
            <w:tcW w:w="7070"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482"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sheet data — March 31, 2013</w:t>
            </w:r>
          </w:p>
        </w:tc>
      </w:tr>
      <w:tr>
        <w:trPr/>
        <w:tc>
          <w:tcPr>
            <w:tcW w:w="56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86"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2720" w:type="dxa"/>
            <w:gridSpan w:val="6"/>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xml:space="preserve">  </w:t>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2,055,493</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(157,030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1,898,463</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531,600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(201,700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329,900</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notes</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67,942</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277,942</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payable</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1,964,171</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2,064,171</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related parties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117,197</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36,649</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153,846</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5,652,230</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(12,081</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5,640,149</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87,573</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85,674</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44,763,651</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jc w:val="left"/>
              <w:rPr/>
            </w:pPr>
            <w:r>
              <w:rPr/>
              <w:t> </w:t>
            </w:r>
          </w:p>
        </w:tc>
        <w:tc>
          <w:tcPr>
            <w:tcW w:w="10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(306,918</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3" w:type="dxa"/>
            <w:tcBorders/>
            <w:shd w:fill="auto" w:val="clear"/>
            <w:vAlign w:val="bottom"/>
          </w:tcPr>
          <w:p>
            <w:pPr>
              <w:pStyle w:val="TableContents"/>
              <w:spacing w:before="0" w:after="283"/>
              <w:jc w:val="left"/>
              <w:rPr/>
            </w:pPr>
            <w:r>
              <w:rPr/>
              <w:t> </w:t>
            </w:r>
          </w:p>
        </w:tc>
        <w:tc>
          <w:tcPr>
            <w:tcW w:w="11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44,456,733</w:t>
            </w:r>
          </w:p>
        </w:tc>
        <w:tc>
          <w:tcPr>
            <w:tcW w:w="114" w:type="dxa"/>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(50,656,413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320,898</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(50,335,515</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tcPr>
          <w:p>
            <w:pPr>
              <w:pStyle w:val="TableContents"/>
              <w:spacing w:before="0" w:after="283"/>
              <w:rPr>
                <w:sz w:val="4"/>
                <w:szCs w:val="4"/>
              </w:rPr>
            </w:pPr>
            <w:r>
              <w:rPr>
                <w:sz w:val="4"/>
                <w:szCs w:val="4"/>
              </w:rPr>
            </w:r>
          </w:p>
        </w:tc>
      </w:tr>
      <w:tr>
        <w:trPr/>
        <w:tc>
          <w:tcPr>
            <w:tcW w:w="567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deficiency</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(5,500,874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3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12,081</w:t>
            </w:r>
          </w:p>
        </w:tc>
        <w:tc>
          <w:tcPr>
            <w:tcW w:w="11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3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(5,488,793</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12" w:space="0" w:color="000000"/>
            </w:tcBorders>
            <w:shd w:fill="auto" w:val="clear"/>
          </w:tcPr>
          <w:p>
            <w:pPr>
              <w:pStyle w:val="TableContents"/>
              <w:spacing w:before="0" w:after="283"/>
              <w:rPr/>
            </w:pPr>
            <w:r>
              <w:rPr/>
              <w:t xml:space="preserve">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90"/>
        <w:gridCol w:w="106"/>
        <w:gridCol w:w="132"/>
        <w:gridCol w:w="1112"/>
        <w:gridCol w:w="114"/>
        <w:gridCol w:w="106"/>
        <w:gridCol w:w="137"/>
        <w:gridCol w:w="1081"/>
        <w:gridCol w:w="114"/>
        <w:gridCol w:w="106"/>
        <w:gridCol w:w="132"/>
        <w:gridCol w:w="1112"/>
        <w:gridCol w:w="114"/>
        <w:gridCol w:w="49"/>
      </w:tblGrid>
      <w:tr>
        <w:trPr/>
        <w:tc>
          <w:tcPr>
            <w:tcW w:w="7140"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07"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three months ended March 31, 2013</w:t>
            </w:r>
          </w:p>
        </w:tc>
      </w:tr>
      <w:tr>
        <w:trPr/>
        <w:tc>
          <w:tcPr>
            <w:tcW w:w="57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6"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83,660</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182,970</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266,630</w:t>
            </w:r>
          </w:p>
        </w:tc>
        <w:tc>
          <w:tcPr>
            <w:tcW w:w="114" w:type="dxa"/>
            <w:tcBorders/>
            <w:shd w:fill="auto" w:val="clear"/>
            <w:vAlign w:val="bottom"/>
          </w:tcPr>
          <w:p>
            <w:pPr>
              <w:pStyle w:val="TableContents"/>
              <w:spacing w:before="0" w:after="283"/>
              <w:jc w:val="left"/>
              <w:rPr/>
            </w:pPr>
            <w:r>
              <w:rPr/>
              <w:t> </w:t>
            </w:r>
          </w:p>
        </w:tc>
        <w:tc>
          <w:tcPr>
            <w:tcW w:w="49" w:type="dxa"/>
            <w:tcBorders/>
            <w:shd w:fill="auto" w:val="clear"/>
          </w:tcPr>
          <w:p>
            <w:pPr>
              <w:pStyle w:val="TableContents"/>
              <w:spacing w:before="0" w:after="283"/>
              <w:rPr>
                <w:sz w:val="4"/>
                <w:szCs w:val="4"/>
              </w:rPr>
            </w:pPr>
            <w:r>
              <w:rPr>
                <w:sz w:val="4"/>
                <w:szCs w:val="4"/>
              </w:rPr>
            </w:r>
          </w:p>
        </w:tc>
      </w:tr>
      <w:tr>
        <w:trPr/>
        <w:tc>
          <w:tcPr>
            <w:tcW w:w="5790"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242,980</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(108,600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134,380</w:t>
            </w:r>
          </w:p>
        </w:tc>
        <w:tc>
          <w:tcPr>
            <w:tcW w:w="114" w:type="dxa"/>
            <w:tcBorders/>
            <w:shd w:fill="auto" w:val="clear"/>
            <w:vAlign w:val="bottom"/>
          </w:tcPr>
          <w:p>
            <w:pPr>
              <w:pStyle w:val="TableContents"/>
              <w:spacing w:before="0" w:after="283"/>
              <w:jc w:val="left"/>
              <w:rPr/>
            </w:pPr>
            <w:r>
              <w:rPr/>
              <w:t> </w:t>
            </w:r>
          </w:p>
        </w:tc>
        <w:tc>
          <w:tcPr>
            <w:tcW w:w="49" w:type="dxa"/>
            <w:tcBorders/>
            <w:shd w:fill="auto" w:val="clear"/>
          </w:tcPr>
          <w:p>
            <w:pPr>
              <w:pStyle w:val="TableContents"/>
              <w:spacing w:before="0" w:after="283"/>
              <w:rPr>
                <w:sz w:val="4"/>
                <w:szCs w:val="4"/>
              </w:rPr>
            </w:pPr>
            <w:r>
              <w:rPr>
                <w:sz w:val="4"/>
                <w:szCs w:val="4"/>
              </w:rPr>
            </w:r>
          </w:p>
        </w:tc>
      </w:tr>
      <w:tr>
        <w:trPr/>
        <w:tc>
          <w:tcPr>
            <w:tcW w:w="5790"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(1,040,721</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(74,370</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(1,115,091</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9" w:type="dxa"/>
            <w:tcBorders/>
            <w:shd w:fill="auto" w:val="clear"/>
          </w:tcPr>
          <w:p>
            <w:pPr>
              <w:pStyle w:val="TableContents"/>
              <w:spacing w:before="0" w:after="283"/>
              <w:rPr>
                <w:sz w:val="4"/>
                <w:szCs w:val="4"/>
              </w:rPr>
            </w:pPr>
            <w:r>
              <w:rPr>
                <w:sz w:val="4"/>
                <w:szCs w:val="4"/>
              </w:rPr>
            </w:r>
          </w:p>
        </w:tc>
      </w:tr>
      <w:tr>
        <w:trPr/>
        <w:tc>
          <w:tcPr>
            <w:tcW w:w="579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6"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11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526,193</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283"/>
              <w:jc w:val="left"/>
              <w:rPr/>
            </w:pPr>
            <w:r>
              <w:rPr/>
              <w:t> </w:t>
            </w:r>
          </w:p>
        </w:tc>
        <w:tc>
          <w:tcPr>
            <w:tcW w:w="10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570,975</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2" w:type="dxa"/>
            <w:tcBorders/>
            <w:shd w:fill="auto" w:val="clear"/>
            <w:vAlign w:val="bottom"/>
          </w:tcPr>
          <w:p>
            <w:pPr>
              <w:pStyle w:val="TableContents"/>
              <w:spacing w:before="0" w:after="283"/>
              <w:jc w:val="left"/>
              <w:rPr/>
            </w:pPr>
            <w:r>
              <w:rPr/>
              <w:t> </w:t>
            </w:r>
          </w:p>
        </w:tc>
        <w:tc>
          <w:tcPr>
            <w:tcW w:w="11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1,097,168</w:t>
            </w:r>
          </w:p>
        </w:tc>
        <w:tc>
          <w:tcPr>
            <w:tcW w:w="114" w:type="dxa"/>
            <w:tcBorders/>
            <w:shd w:fill="auto" w:val="clear"/>
            <w:vAlign w:val="bottom"/>
          </w:tcPr>
          <w:p>
            <w:pPr>
              <w:pStyle w:val="TableContents"/>
              <w:spacing w:before="0" w:after="283"/>
              <w:jc w:val="left"/>
              <w:rPr/>
            </w:pPr>
            <w:r>
              <w:rPr/>
              <w:t> </w:t>
            </w:r>
          </w:p>
        </w:tc>
        <w:tc>
          <w:tcPr>
            <w:tcW w:w="49" w:type="dxa"/>
            <w:tcBorders/>
            <w:shd w:fill="auto" w:val="clear"/>
          </w:tcPr>
          <w:p>
            <w:pPr>
              <w:pStyle w:val="TableContents"/>
              <w:spacing w:before="0" w:after="283"/>
              <w:rPr>
                <w:sz w:val="4"/>
                <w:szCs w:val="4"/>
              </w:rPr>
            </w:pPr>
            <w:r>
              <w:rPr>
                <w:sz w:val="4"/>
                <w:szCs w:val="4"/>
              </w:rPr>
            </w:r>
          </w:p>
        </w:tc>
      </w:tr>
      <w:tr>
        <w:trPr/>
        <w:tc>
          <w:tcPr>
            <w:tcW w:w="5790"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settlement on debt</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(574,259</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 xml:space="preserve">138,217 </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(436,042</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9" w:type="dxa"/>
            <w:tcBorders/>
            <w:shd w:fill="auto" w:val="clear"/>
          </w:tcPr>
          <w:p>
            <w:pPr>
              <w:pStyle w:val="TableContents"/>
              <w:spacing w:before="0" w:after="283"/>
              <w:rPr>
                <w:sz w:val="4"/>
                <w:szCs w:val="4"/>
              </w:rPr>
            </w:pPr>
            <w:r>
              <w:rPr>
                <w:sz w:val="4"/>
                <w:szCs w:val="4"/>
              </w:rPr>
            </w:r>
          </w:p>
        </w:tc>
      </w:tr>
      <w:tr>
        <w:trPr/>
        <w:tc>
          <w:tcPr>
            <w:tcW w:w="5790"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(1,076,254</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37"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634,822</w:t>
            </w:r>
          </w:p>
        </w:tc>
        <w:tc>
          <w:tcPr>
            <w:tcW w:w="114"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32"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(441,432</w:t>
            </w:r>
          </w:p>
        </w:tc>
        <w:tc>
          <w:tcPr>
            <w:tcW w:w="1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9" w:type="dxa"/>
            <w:tcBorders/>
            <w:shd w:fill="auto" w:val="clear"/>
          </w:tcPr>
          <w:p>
            <w:pPr>
              <w:pStyle w:val="TableContents"/>
              <w:spacing w:before="0" w:after="283"/>
              <w:rPr>
                <w:sz w:val="4"/>
                <w:szCs w:val="4"/>
              </w:rPr>
            </w:pPr>
            <w:r>
              <w:rPr>
                <w:sz w:val="4"/>
                <w:szCs w:val="4"/>
              </w:rPr>
            </w:r>
          </w:p>
        </w:tc>
      </w:tr>
      <w:tr>
        <w:trPr/>
        <w:tc>
          <w:tcPr>
            <w:tcW w:w="10205" w:type="dxa"/>
            <w:gridSpan w:val="14"/>
            <w:tcBorders/>
            <w:shd w:fill="auto" w:val="clear"/>
            <w:vAlign w:val="bottom"/>
          </w:tcPr>
          <w:p>
            <w:pPr>
              <w:pStyle w:val="TableContents"/>
              <w:spacing w:before="0" w:after="283"/>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6"/>
      <w:bookmarkStart w:id="61" w:name="PGBRK6"/>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6"/>
      <w:bookmarkStart w:id="63" w:name="FTR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6"/>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 w:name="PN6"/>
      <w:bookmarkEnd w:id="6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6"/>
      <w:bookmarkStart w:id="67" w:name="HDR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6"/>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85"/>
        <w:gridCol w:w="105"/>
        <w:gridCol w:w="127"/>
        <w:gridCol w:w="1106"/>
        <w:gridCol w:w="112"/>
        <w:gridCol w:w="106"/>
        <w:gridCol w:w="128"/>
        <w:gridCol w:w="1030"/>
        <w:gridCol w:w="112"/>
        <w:gridCol w:w="105"/>
        <w:gridCol w:w="127"/>
        <w:gridCol w:w="1106"/>
        <w:gridCol w:w="112"/>
        <w:gridCol w:w="44"/>
      </w:tblGrid>
      <w:tr>
        <w:trPr/>
        <w:tc>
          <w:tcPr>
            <w:tcW w:w="7223"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2" w:type="dxa"/>
            <w:tcBorders/>
            <w:shd w:fill="auto" w:val="clear"/>
            <w:vAlign w:val="bottom"/>
          </w:tcPr>
          <w:p>
            <w:pPr>
              <w:pStyle w:val="TableContents"/>
              <w:spacing w:before="0" w:after="283"/>
              <w:jc w:val="left"/>
              <w:rPr/>
            </w:pPr>
            <w:r>
              <w:rPr/>
              <w:t> </w:t>
            </w:r>
          </w:p>
        </w:tc>
        <w:tc>
          <w:tcPr>
            <w:tcW w:w="1264" w:type="dxa"/>
            <w:gridSpan w:val="3"/>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2" w:type="dxa"/>
            <w:tcBorders/>
            <w:shd w:fill="auto" w:val="clear"/>
            <w:vAlign w:val="bottom"/>
          </w:tcPr>
          <w:p>
            <w:pPr>
              <w:pStyle w:val="TableContents"/>
              <w:spacing w:before="0" w:after="283"/>
              <w:jc w:val="left"/>
              <w:rPr/>
            </w:pPr>
            <w:r>
              <w:rPr/>
              <w:t> </w:t>
            </w:r>
          </w:p>
        </w:tc>
        <w:tc>
          <w:tcPr>
            <w:tcW w:w="1494" w:type="dxa"/>
            <w:gridSpan w:val="5"/>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 From July 27, 1999 (inception) to March 31, 2013</w:t>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3,126,154</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3,132,803</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5,499,769</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182,970</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5,682,739</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5"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7,211,575</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(108,600</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7,102,975</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105"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(42,532,615</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(81,019</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(42,613,634</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5,137,860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264,500</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5,401,560</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settlement on debt</w:t>
            </w:r>
          </w:p>
        </w:tc>
        <w:tc>
          <w:tcPr>
            <w:tcW w:w="105"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(12,265,060</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138,217</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(12,126,843</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(50,656,413</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320,898</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(50,335,515</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10205" w:type="dxa"/>
            <w:gridSpan w:val="14"/>
            <w:tcBorders/>
            <w:shd w:fill="auto" w:val="clear"/>
            <w:vAlign w:val="bottom"/>
          </w:tcPr>
          <w:p>
            <w:pPr>
              <w:pStyle w:val="TableContents"/>
              <w:spacing w:before="0" w:after="283"/>
              <w:rPr/>
            </w:pPr>
            <w:r>
              <w:rPr/>
              <w:t> </w:t>
            </w:r>
          </w:p>
        </w:tc>
      </w:tr>
      <w:tr>
        <w:trPr/>
        <w:tc>
          <w:tcPr>
            <w:tcW w:w="7223"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2" w:type="dxa"/>
            <w:tcBorders/>
            <w:shd w:fill="auto" w:val="clear"/>
            <w:vAlign w:val="bottom"/>
          </w:tcPr>
          <w:p>
            <w:pPr>
              <w:pStyle w:val="TableContents"/>
              <w:spacing w:before="0" w:after="283"/>
              <w:jc w:val="left"/>
              <w:rPr/>
            </w:pPr>
            <w:r>
              <w:rPr/>
              <w:t> </w:t>
            </w:r>
          </w:p>
        </w:tc>
        <w:tc>
          <w:tcPr>
            <w:tcW w:w="1264" w:type="dxa"/>
            <w:gridSpan w:val="3"/>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2" w:type="dxa"/>
            <w:tcBorders/>
            <w:shd w:fill="auto" w:val="clear"/>
            <w:vAlign w:val="bottom"/>
          </w:tcPr>
          <w:p>
            <w:pPr>
              <w:pStyle w:val="TableContents"/>
              <w:spacing w:before="0" w:after="283"/>
              <w:jc w:val="left"/>
              <w:rPr/>
            </w:pPr>
            <w:r>
              <w:rPr/>
              <w:t> </w:t>
            </w:r>
          </w:p>
        </w:tc>
        <w:tc>
          <w:tcPr>
            <w:tcW w:w="1494" w:type="dxa"/>
            <w:gridSpan w:val="5"/>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 For the three months ended March 31, 2013</w:t>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(1,076,254</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634,822</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(441,432</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(526,193</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(570,975</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(1,097,168</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settlement of debt</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574,259</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(138,217</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436,042</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539,348</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91,210</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630,558</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(471,294</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16,840</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(454,454</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10205" w:type="dxa"/>
            <w:gridSpan w:val="14"/>
            <w:tcBorders/>
            <w:shd w:fill="auto" w:val="clear"/>
            <w:vAlign w:val="bottom"/>
          </w:tcPr>
          <w:p>
            <w:pPr>
              <w:pStyle w:val="TableContents"/>
              <w:spacing w:before="0" w:after="283"/>
              <w:rPr/>
            </w:pPr>
            <w:r>
              <w:rPr/>
              <w:t> </w:t>
            </w:r>
          </w:p>
        </w:tc>
      </w:tr>
      <w:tr>
        <w:trPr/>
        <w:tc>
          <w:tcPr>
            <w:tcW w:w="7223" w:type="dxa"/>
            <w:gridSpan w:val="4"/>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12" w:type="dxa"/>
            <w:tcBorders/>
            <w:shd w:fill="auto" w:val="clear"/>
            <w:vAlign w:val="bottom"/>
          </w:tcPr>
          <w:p>
            <w:pPr>
              <w:pStyle w:val="TableContents"/>
              <w:spacing w:before="0" w:after="283"/>
              <w:jc w:val="left"/>
              <w:rPr/>
            </w:pPr>
            <w:r>
              <w:rPr/>
              <w:t> </w:t>
            </w:r>
          </w:p>
        </w:tc>
        <w:tc>
          <w:tcPr>
            <w:tcW w:w="1264" w:type="dxa"/>
            <w:gridSpan w:val="3"/>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12" w:type="dxa"/>
            <w:tcBorders/>
            <w:shd w:fill="auto" w:val="clear"/>
            <w:vAlign w:val="bottom"/>
          </w:tcPr>
          <w:p>
            <w:pPr>
              <w:pStyle w:val="TableContents"/>
              <w:spacing w:before="0" w:after="283"/>
              <w:jc w:val="left"/>
              <w:rPr/>
            </w:pPr>
            <w:r>
              <w:rPr/>
              <w:t> </w:t>
            </w:r>
          </w:p>
        </w:tc>
        <w:tc>
          <w:tcPr>
            <w:tcW w:w="1494" w:type="dxa"/>
            <w:gridSpan w:val="5"/>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14"/>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 From July 27, 1999 (inception) to March 31, 2013</w:t>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(50,656,413</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320,898</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(50,335,515</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(5,137,860</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(263,700</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(5,401,560</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settlement of debt</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12,265,060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(138,217</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12,126,843</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6,153,469</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74,370</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6,227,839</w:t>
            </w:r>
          </w:p>
        </w:tc>
        <w:tc>
          <w:tcPr>
            <w:tcW w:w="112" w:type="dxa"/>
            <w:tcBorders/>
            <w:shd w:fill="auto" w:val="clear"/>
            <w:vAlign w:val="bottom"/>
          </w:tcPr>
          <w:p>
            <w:pPr>
              <w:pStyle w:val="TableContents"/>
              <w:spacing w:before="0" w:after="283"/>
              <w:jc w:val="left"/>
              <w:rPr/>
            </w:pPr>
            <w:r>
              <w:rPr/>
              <w:t> </w:t>
            </w:r>
          </w:p>
        </w:tc>
        <w:tc>
          <w:tcPr>
            <w:tcW w:w="44" w:type="dxa"/>
            <w:tcBorders/>
            <w:shd w:fill="auto" w:val="clear"/>
          </w:tcPr>
          <w:p>
            <w:pPr>
              <w:pStyle w:val="TableContents"/>
              <w:spacing w:before="0" w:after="283"/>
              <w:rPr>
                <w:sz w:val="4"/>
                <w:szCs w:val="4"/>
              </w:rPr>
            </w:pPr>
            <w:r>
              <w:rPr>
                <w:sz w:val="4"/>
                <w:szCs w:val="4"/>
              </w:rPr>
            </w:r>
          </w:p>
        </w:tc>
      </w:tr>
      <w:tr>
        <w:trPr/>
        <w:tc>
          <w:tcPr>
            <w:tcW w:w="588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(16,890,822</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(16,897,471</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4"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049"/>
        <w:gridCol w:w="106"/>
        <w:gridCol w:w="126"/>
        <w:gridCol w:w="1089"/>
        <w:gridCol w:w="106"/>
        <w:gridCol w:w="106"/>
        <w:gridCol w:w="126"/>
        <w:gridCol w:w="950"/>
        <w:gridCol w:w="106"/>
        <w:gridCol w:w="106"/>
        <w:gridCol w:w="126"/>
        <w:gridCol w:w="1089"/>
        <w:gridCol w:w="120"/>
      </w:tblGrid>
      <w:tr>
        <w:trPr/>
        <w:tc>
          <w:tcPr>
            <w:tcW w:w="60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related parties</w:t>
            </w:r>
          </w:p>
        </w:tc>
        <w:tc>
          <w:tcPr>
            <w:tcW w:w="106" w:type="dxa"/>
            <w:tcBorders/>
            <w:shd w:fill="auto"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089"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1,873,634</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950"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089"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1,880,283</w:t>
            </w:r>
          </w:p>
        </w:tc>
        <w:tc>
          <w:tcPr>
            <w:tcW w:w="120" w:type="dxa"/>
            <w:tcBorders/>
            <w:shd w:fill="auto" w:val="clear"/>
            <w:tcMar>
              <w:bottom w:w="0" w:type="dxa"/>
            </w:tcMar>
            <w:vAlign w:val="bottom"/>
          </w:tcPr>
          <w:p>
            <w:pPr>
              <w:pStyle w:val="TableContents"/>
              <w:spacing w:before="0" w:after="283"/>
              <w:jc w:val="left"/>
              <w:rPr/>
            </w:pPr>
            <w:r>
              <w:rPr/>
              <w:t> </w:t>
            </w:r>
          </w:p>
        </w:tc>
      </w:tr>
      <w:tr>
        <w:trPr/>
        <w:tc>
          <w:tcPr>
            <w:tcW w:w="6049" w:type="dxa"/>
            <w:tcBorders>
              <w:bottom w:val="double" w:sz="8"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NET CASH PROVIDED BY FINANCING ACTIVITIES</w:t>
            </w:r>
          </w:p>
        </w:tc>
        <w:tc>
          <w:tcPr>
            <w:tcW w:w="106" w:type="dxa"/>
            <w:tcBorders/>
            <w:shd w:fill="auto"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16,690,511</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6,649</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16,697,160</w:t>
            </w:r>
          </w:p>
        </w:tc>
        <w:tc>
          <w:tcPr>
            <w:tcW w:w="120"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 w:name="PGBRK7"/>
      <w:bookmarkStart w:id="70" w:name="PGBRK7"/>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FTR7"/>
      <w:bookmarkStart w:id="72" w:name="FTR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 w:name="GLFTR7"/>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 w:name="PN7"/>
      <w:bookmarkEnd w:id="74"/>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HDR7"/>
      <w:bookmarkStart w:id="76" w:name="HDR7"/>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 w:name="GLHDR7"/>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w:t>
      </w:r>
      <w:r>
        <w:rPr>
          <w:rFonts w:ascii="Times New Roman" w:hAnsi="Times New Roman"/>
          <w:b/>
          <w:sz w:val="20"/>
        </w:rPr>
        <w:t>                 </w:t>
      </w:r>
      <w:r>
        <w:rPr>
          <w:rFonts w:ascii="Times New Roman" w:hAnsi="Times New Roman"/>
          <w:b/>
          <w:sz w:val="20"/>
          <w:u w:val="single"/>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clinical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the Company has been party to various Collaborative Research Agreements (“CRA”) working with universities to carry out development of the licensed technology and providing TapImmune the option to acquire the rights to commercialize any additional technologies developed within the CRA. The lead product candidate, a set of Class II HER2/neu antigens is in Phase I clinical trials in breast cancer patients at the Mayo Clinic.  This product will be combined with a novel Class I HER2/neu antigen in further clinical trials and with TapImmune’s expression vector technology containing TAP in a “boost” strategy.  TapImmune has a license and an exclusive option to license the HER2/neu antigen technologies from the Mayo Clinic. The TAP technology is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March 31, 2013, the Company had a working capital deficiency of $5,488,793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 funding was raised through equity and debt placements in 2013 and 2012, and management intends to continue restructuring outstanding debt and equity instruments. Additional capital is required currently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arrange sufficient funding to satisfy current debt obligations or to continue development of products to marketability.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8"/>
      <w:bookmarkStart w:id="79" w:name="PGBRK8"/>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8"/>
      <w:bookmarkStart w:id="81" w:name="FTR8"/>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8"/>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8"/>
      <w:bookmarkEnd w:id="83"/>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8"/>
      <w:bookmarkStart w:id="85" w:name="HDR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8"/>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2:</w:t>
      </w:r>
      <w:r>
        <w:rPr>
          <w:rFonts w:ascii="Times New Roman" w:hAnsi="Times New Roman"/>
          <w:b/>
          <w:sz w:val="20"/>
        </w:rPr>
        <w:t>                 </w:t>
      </w:r>
      <w:r>
        <w:rPr>
          <w:rFonts w:ascii="Times New Roman" w:hAnsi="Times New Roman"/>
          <w:b/>
          <w:sz w:val="20"/>
          <w:u w:val="single"/>
        </w:rPr>
        <w:t>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opinion of management, the accompanying balance sheets and related interim statements of operations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allocation of costs to research and development and accrued liabilities. Matters impacting the company’s ability to continue as a going concern and contingencies also involve the use of estimates and assumptions.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Interim results are not necessarily indicative of results for a full year. The information included in this quarterly report on Form 10-Q should be read in conjunction with information included in the Company’s annual report on Form 10-K filed on May 15, 2013, with the U.S. Securities and Exchange Commission.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3:</w:t>
      </w:r>
      <w:r>
        <w:rPr>
          <w:rFonts w:ascii="Times New Roman" w:hAnsi="Times New Roman"/>
          <w:b/>
          <w:sz w:val="20"/>
        </w:rPr>
        <w:t>                 </w:t>
      </w:r>
      <w:r>
        <w:rPr>
          <w:rFonts w:ascii="Times New Roman" w:hAnsi="Times New Roman"/>
          <w:b/>
          <w:sz w:val="20"/>
          <w:u w:val="single"/>
        </w:rPr>
        <w:t>RESEARCH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Crucell Holland B.V. (“Crucell”) – Research License and Option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the Company’s subsidiary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March 31, 2013, the Company had accrued $443,535 (€345,957) under the amended agreement, inclusive of interest on outstanding amounts. The Company is currently delinquent on making its first annual license payment under the amended license agreement. Crucell has the right to cancel the agreement however, to date, the Company has not received any notice terminating the license agreement. Management plans to negotiate an amended payment structure with Crucell that, if successful, would allow the Company to maintain the license agreement in good standing. However, there is no certainty that the license agreement will be maintained or that Management will successfully negotiate new terms.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Mayo Clinic –License Option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details regarding the license option agreement with Mayo Clinic, please refer to Note 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4:</w:t>
      </w:r>
      <w:r>
        <w:rPr>
          <w:rFonts w:ascii="Times New Roman" w:hAnsi="Times New Roman"/>
          <w:b/>
          <w:sz w:val="20"/>
        </w:rPr>
        <w:t>                 </w:t>
      </w:r>
      <w:r>
        <w:rPr>
          <w:rFonts w:ascii="Times New Roman" w:hAnsi="Times New Roman"/>
          <w:b/>
          <w:sz w:val="20"/>
          <w:u w:val="single"/>
        </w:rPr>
        <w:t>DERIVATIVE WARRANT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evaluated the application ASC 480-10 </w:t>
      </w:r>
      <w:r>
        <w:rPr>
          <w:rFonts w:ascii="Times New Roman" w:hAnsi="Times New Roman"/>
          <w:i/>
          <w:sz w:val="20"/>
        </w:rPr>
        <w:t>Distinguishing liabilities from equity</w:t>
      </w:r>
      <w:r>
        <w:rPr>
          <w:rFonts w:ascii="Times New Roman" w:hAnsi="Times New Roman"/>
          <w:sz w:val="20"/>
        </w:rPr>
        <w:t xml:space="preserve">, ASC 815-40 </w:t>
      </w:r>
      <w:r>
        <w:rPr>
          <w:rFonts w:ascii="Times New Roman" w:hAnsi="Times New Roman"/>
          <w:i/>
          <w:sz w:val="20"/>
        </w:rPr>
        <w:t>Contracts in an Entity’s Own Equity</w:t>
      </w:r>
      <w:r>
        <w:rPr>
          <w:rFonts w:ascii="Times New Roman" w:hAnsi="Times New Roman"/>
          <w:sz w:val="20"/>
        </w:rPr>
        <w:t xml:space="preserve"> and ASC 718-10 </w:t>
      </w:r>
      <w:r>
        <w:rPr>
          <w:rFonts w:ascii="Times New Roman" w:hAnsi="Times New Roman"/>
          <w:i/>
          <w:sz w:val="20"/>
        </w:rPr>
        <w:t>Compensation – Stock Compensation</w:t>
      </w:r>
      <w:r>
        <w:rPr>
          <w:rFonts w:ascii="Times New Roman" w:hAnsi="Times New Roman"/>
          <w:sz w:val="20"/>
        </w:rPr>
        <w:t xml:space="preserve">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9"/>
      <w:bookmarkStart w:id="88" w:name="PGBRK9"/>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9"/>
      <w:bookmarkStart w:id="90" w:name="FTR9"/>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 w:name="GLFTR9"/>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9"/>
      <w:bookmarkEnd w:id="92"/>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9"/>
      <w:bookmarkStart w:id="94" w:name="HDR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 w:name="GLHDR9"/>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2011. At December 31, 2012,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Level 3 Valuation Techniques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tbl>
      <w:tblPr>
        <w:tblW w:w="5000" w:type="pct"/>
        <w:jc w:val="left"/>
        <w:tblInd w:w="0" w:type="dxa"/>
        <w:tblCellMar>
          <w:top w:w="0" w:type="dxa"/>
          <w:left w:w="0" w:type="dxa"/>
          <w:bottom w:w="28" w:type="dxa"/>
          <w:right w:w="0" w:type="dxa"/>
        </w:tblCellMar>
      </w:tblPr>
      <w:tblGrid>
        <w:gridCol w:w="2282"/>
        <w:gridCol w:w="1081"/>
        <w:gridCol w:w="960"/>
        <w:gridCol w:w="960"/>
        <w:gridCol w:w="1081"/>
        <w:gridCol w:w="960"/>
        <w:gridCol w:w="960"/>
        <w:gridCol w:w="960"/>
        <w:gridCol w:w="961"/>
      </w:tblGrid>
      <w:tr>
        <w:trPr/>
        <w:tc>
          <w:tcPr>
            <w:tcW w:w="2282" w:type="dxa"/>
            <w:tcBorders>
              <w:bottom w:val="single" w:sz="12" w:space="0" w:color="000000"/>
            </w:tcBorders>
            <w:shd w:fill="auto" w:val="clear"/>
          </w:tcPr>
          <w:p>
            <w:pPr>
              <w:pStyle w:val="TableContents"/>
              <w:spacing w:before="0" w:after="283"/>
              <w:rPr/>
            </w:pPr>
            <w:r>
              <w:rPr/>
              <w:t xml:space="preserve">  </w:t>
            </w:r>
          </w:p>
        </w:tc>
        <w:tc>
          <w:tcPr>
            <w:tcW w:w="4082"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2012</w:t>
            </w:r>
          </w:p>
        </w:tc>
        <w:tc>
          <w:tcPr>
            <w:tcW w:w="3841"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2013</w:t>
            </w:r>
          </w:p>
        </w:tc>
      </w:tr>
      <w:tr>
        <w:trPr/>
        <w:tc>
          <w:tcPr>
            <w:tcW w:w="2282" w:type="dxa"/>
            <w:tcBorders>
              <w:bottom w:val="double" w:sz="8" w:space="0" w:color="000000"/>
            </w:tcBorders>
            <w:shd w:fill="auto" w:val="clear"/>
          </w:tcPr>
          <w:p>
            <w:pPr>
              <w:pStyle w:val="TableContents"/>
              <w:spacing w:before="0" w:after="283"/>
              <w:rPr/>
            </w:pPr>
            <w:r>
              <w:rPr/>
              <w:t xml:space="preserve">  </w:t>
            </w:r>
          </w:p>
        </w:tc>
        <w:tc>
          <w:tcPr>
            <w:tcW w:w="108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08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60"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96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r>
      <w:tr>
        <w:trPr/>
        <w:tc>
          <w:tcPr>
            <w:tcW w:w="2282" w:type="dxa"/>
            <w:tcBorders>
              <w:bottom w:val="double" w:sz="8"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Share purchase warrants</w:t>
            </w:r>
          </w:p>
        </w:tc>
        <w:tc>
          <w:tcPr>
            <w:tcW w:w="108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0.08 to 3.78</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0.02% to 0.36%</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8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0.01 to 3.53</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0.04% to 0.36%</w:t>
            </w:r>
          </w:p>
        </w:tc>
        <w:tc>
          <w:tcPr>
            <w:tcW w:w="960"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96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r>
    </w:tbl>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867"/>
        <w:gridCol w:w="996"/>
        <w:gridCol w:w="995"/>
        <w:gridCol w:w="995"/>
        <w:gridCol w:w="1245"/>
        <w:gridCol w:w="995"/>
        <w:gridCol w:w="996"/>
        <w:gridCol w:w="995"/>
        <w:gridCol w:w="1121"/>
      </w:tblGrid>
      <w:tr>
        <w:trPr/>
        <w:tc>
          <w:tcPr>
            <w:tcW w:w="1867" w:type="dxa"/>
            <w:tcBorders>
              <w:bottom w:val="single" w:sz="12" w:space="0" w:color="000000"/>
            </w:tcBorders>
            <w:shd w:fill="auto" w:val="clear"/>
          </w:tcPr>
          <w:p>
            <w:pPr>
              <w:pStyle w:val="TableContents"/>
              <w:spacing w:before="0" w:after="283"/>
              <w:rPr/>
            </w:pPr>
            <w:r>
              <w:rPr/>
              <w:t xml:space="preserve">  </w:t>
            </w:r>
          </w:p>
        </w:tc>
        <w:tc>
          <w:tcPr>
            <w:tcW w:w="4231"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2012</w:t>
            </w:r>
          </w:p>
        </w:tc>
        <w:tc>
          <w:tcPr>
            <w:tcW w:w="4107"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2013</w:t>
            </w:r>
          </w:p>
        </w:tc>
      </w:tr>
      <w:tr>
        <w:trPr/>
        <w:tc>
          <w:tcPr>
            <w:tcW w:w="1867" w:type="dxa"/>
            <w:tcBorders>
              <w:bottom w:val="double" w:sz="8" w:space="0" w:color="000000"/>
            </w:tcBorders>
            <w:shd w:fill="auto" w:val="clear"/>
          </w:tcPr>
          <w:p>
            <w:pPr>
              <w:pStyle w:val="TableContents"/>
              <w:spacing w:before="0" w:after="283"/>
              <w:rPr/>
            </w:pPr>
            <w:r>
              <w:rPr/>
              <w:t xml:space="preserve">  </w:t>
            </w:r>
          </w:p>
        </w:tc>
        <w:tc>
          <w:tcPr>
            <w:tcW w:w="996"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24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996"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99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121"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r>
      <w:tr>
        <w:trPr/>
        <w:tc>
          <w:tcPr>
            <w:tcW w:w="1867" w:type="dxa"/>
            <w:tcBorders>
              <w:bottom w:val="double" w:sz="8"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Conversion Option</w:t>
            </w:r>
          </w:p>
        </w:tc>
        <w:tc>
          <w:tcPr>
            <w:tcW w:w="996"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0.003 to 0.89</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0.05% to 0.19%</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24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100.88% to 141.21%</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0.049 to 0.64</w:t>
            </w:r>
          </w:p>
        </w:tc>
        <w:tc>
          <w:tcPr>
            <w:tcW w:w="996"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0.04% to 0.17%</w:t>
            </w:r>
          </w:p>
        </w:tc>
        <w:tc>
          <w:tcPr>
            <w:tcW w:w="995"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121"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108.00% to 123.76%</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Financial 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10"/>
      <w:bookmarkStart w:id="97" w:name="PGBRK10"/>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10"/>
      <w:bookmarkStart w:id="99" w:name="FTR10"/>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 w:name="GLFTR10"/>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10"/>
      <w:bookmarkEnd w:id="101"/>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HDR10"/>
      <w:bookmarkStart w:id="103" w:name="HDR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 w:name="GLHDR10"/>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3404"/>
        <w:gridCol w:w="107"/>
        <w:gridCol w:w="152"/>
        <w:gridCol w:w="1077"/>
        <w:gridCol w:w="107"/>
        <w:gridCol w:w="107"/>
        <w:gridCol w:w="214"/>
        <w:gridCol w:w="795"/>
        <w:gridCol w:w="107"/>
        <w:gridCol w:w="107"/>
        <w:gridCol w:w="214"/>
        <w:gridCol w:w="795"/>
        <w:gridCol w:w="107"/>
        <w:gridCol w:w="107"/>
        <w:gridCol w:w="152"/>
        <w:gridCol w:w="1077"/>
        <w:gridCol w:w="107"/>
        <w:gridCol w:w="107"/>
        <w:gridCol w:w="152"/>
        <w:gridCol w:w="1077"/>
        <w:gridCol w:w="133"/>
      </w:tblGrid>
      <w:tr>
        <w:trPr/>
        <w:tc>
          <w:tcPr>
            <w:tcW w:w="3404" w:type="dxa"/>
            <w:tcBorders>
              <w:top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vAlign w:val="bottom"/>
          </w:tcPr>
          <w:p>
            <w:pPr>
              <w:pStyle w:val="TableContents"/>
              <w:spacing w:before="0" w:after="283"/>
              <w:jc w:val="center"/>
              <w:rPr/>
            </w:pPr>
            <w:r>
              <w:rPr/>
              <w:t> </w:t>
            </w:r>
          </w:p>
        </w:tc>
        <w:tc>
          <w:tcPr>
            <w:tcW w:w="6561" w:type="dxa"/>
            <w:gridSpan w:val="18"/>
            <w:tcBorders>
              <w:top w:val="single" w:sz="12" w:space="0" w:color="000000"/>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March 31, 2013</w:t>
            </w:r>
          </w:p>
        </w:tc>
        <w:tc>
          <w:tcPr>
            <w:tcW w:w="133" w:type="dxa"/>
            <w:tcBorders>
              <w:top w:val="single" w:sz="12" w:space="0" w:color="000000"/>
            </w:tcBorders>
            <w:shd w:fill="auto" w:val="clear"/>
            <w:vAlign w:val="bottom"/>
          </w:tcPr>
          <w:p>
            <w:pPr>
              <w:pStyle w:val="TableContents"/>
              <w:spacing w:before="0" w:after="283"/>
              <w:jc w:val="left"/>
              <w:rPr/>
            </w:pPr>
            <w:r>
              <w:rPr/>
              <w:t> </w:t>
            </w:r>
          </w:p>
        </w:tc>
      </w:tr>
      <w:tr>
        <w:trPr/>
        <w:tc>
          <w:tcPr>
            <w:tcW w:w="3404"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29" w:type="dxa"/>
            <w:gridSpan w:val="2"/>
            <w:tcBorders/>
            <w:shd w:fill="auto" w:val="clear"/>
            <w:tcMar>
              <w:top w:w="0" w:type="dxa"/>
            </w:tcMar>
            <w:vAlign w:val="bottom"/>
          </w:tcPr>
          <w:p>
            <w:pPr>
              <w:pStyle w:val="TableContents"/>
              <w:spacing w:before="0" w:after="283"/>
              <w:rPr/>
            </w:pPr>
            <w:r>
              <w:rPr/>
              <w:t> </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3675" w:type="dxa"/>
            <w:gridSpan w:val="10"/>
            <w:tcBorders/>
            <w:shd w:fill="auto" w:val="clear"/>
            <w:tcMar>
              <w:top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29" w:type="dxa"/>
            <w:gridSpan w:val="2"/>
            <w:tcBorders/>
            <w:shd w:fill="auto" w:val="clear"/>
            <w:tcMar>
              <w:top w:w="0" w:type="dxa"/>
            </w:tcMar>
            <w:vAlign w:val="bottom"/>
          </w:tcPr>
          <w:p>
            <w:pPr>
              <w:pStyle w:val="TableContents"/>
              <w:spacing w:before="0" w:after="283"/>
              <w:rPr/>
            </w:pPr>
            <w:r>
              <w:rPr/>
              <w:t> </w:t>
            </w:r>
          </w:p>
        </w:tc>
        <w:tc>
          <w:tcPr>
            <w:tcW w:w="133" w:type="dxa"/>
            <w:tcBorders/>
            <w:shd w:fill="auto" w:val="clear"/>
            <w:tcMar>
              <w:top w:w="0" w:type="dxa"/>
            </w:tcMar>
            <w:vAlign w:val="bottom"/>
          </w:tcPr>
          <w:p>
            <w:pPr>
              <w:pStyle w:val="TableContents"/>
              <w:spacing w:before="0" w:after="283"/>
              <w:jc w:val="left"/>
              <w:rPr/>
            </w:pPr>
            <w:r>
              <w:rPr/>
              <w:t> </w:t>
            </w:r>
          </w:p>
        </w:tc>
      </w:tr>
      <w:tr>
        <w:trPr/>
        <w:tc>
          <w:tcPr>
            <w:tcW w:w="3404"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2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00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00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2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2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3" w:type="dxa"/>
            <w:tcBorders/>
            <w:shd w:fill="auto" w:val="clear"/>
            <w:tcMar>
              <w:top w:w="0" w:type="dxa"/>
            </w:tcMar>
            <w:vAlign w:val="bottom"/>
          </w:tcPr>
          <w:p>
            <w:pPr>
              <w:pStyle w:val="TableContents"/>
              <w:spacing w:before="0" w:after="283"/>
              <w:jc w:val="left"/>
              <w:rPr/>
            </w:pPr>
            <w:r>
              <w:rPr/>
              <w:t> </w:t>
            </w:r>
          </w:p>
        </w:tc>
      </w:tr>
      <w:tr>
        <w:trPr/>
        <w:tc>
          <w:tcPr>
            <w:tcW w:w="3404"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462,293</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214" w:type="dxa"/>
            <w:tcBorders/>
            <w:shd w:fill="auto" w:val="clear"/>
            <w:tcMar>
              <w:top w:w="0" w:type="dxa"/>
            </w:tcMar>
            <w:vAlign w:val="bottom"/>
          </w:tcPr>
          <w:p>
            <w:pPr>
              <w:pStyle w:val="TableContents"/>
              <w:spacing w:before="0" w:after="283"/>
              <w:jc w:val="left"/>
              <w:rPr/>
            </w:pPr>
            <w:r>
              <w:rPr/>
              <w:t> </w:t>
            </w:r>
          </w:p>
        </w:tc>
        <w:tc>
          <w:tcPr>
            <w:tcW w:w="79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214" w:type="dxa"/>
            <w:tcBorders/>
            <w:shd w:fill="auto" w:val="clear"/>
            <w:tcMar>
              <w:top w:w="0" w:type="dxa"/>
            </w:tcMar>
            <w:vAlign w:val="bottom"/>
          </w:tcPr>
          <w:p>
            <w:pPr>
              <w:pStyle w:val="TableContents"/>
              <w:spacing w:before="0" w:after="283"/>
              <w:jc w:val="left"/>
              <w:rPr/>
            </w:pPr>
            <w:r>
              <w:rPr/>
              <w:t> </w:t>
            </w:r>
          </w:p>
        </w:tc>
        <w:tc>
          <w:tcPr>
            <w:tcW w:w="79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462,293</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462,293</w:t>
            </w:r>
          </w:p>
        </w:tc>
        <w:tc>
          <w:tcPr>
            <w:tcW w:w="133" w:type="dxa"/>
            <w:tcBorders/>
            <w:shd w:fill="auto" w:val="clear"/>
            <w:tcMar>
              <w:top w:w="0" w:type="dxa"/>
            </w:tcMar>
            <w:vAlign w:val="bottom"/>
          </w:tcPr>
          <w:p>
            <w:pPr>
              <w:pStyle w:val="TableContents"/>
              <w:spacing w:before="0" w:after="283"/>
              <w:jc w:val="left"/>
              <w:rPr/>
            </w:pPr>
            <w:r>
              <w:rPr/>
              <w:t> </w:t>
            </w:r>
          </w:p>
        </w:tc>
      </w:tr>
      <w:tr>
        <w:trPr/>
        <w:tc>
          <w:tcPr>
            <w:tcW w:w="340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329,900</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21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9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21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9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329,900</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329,900</w:t>
            </w:r>
          </w:p>
        </w:tc>
        <w:tc>
          <w:tcPr>
            <w:tcW w:w="133" w:type="dxa"/>
            <w:tcBorders/>
            <w:shd w:fill="auto" w:val="clear"/>
            <w:tcMar>
              <w:top w:w="0" w:type="dxa"/>
            </w:tcMar>
            <w:vAlign w:val="bottom"/>
          </w:tcPr>
          <w:p>
            <w:pPr>
              <w:pStyle w:val="TableContents"/>
              <w:spacing w:before="0" w:after="283"/>
              <w:jc w:val="left"/>
              <w:rPr/>
            </w:pPr>
            <w:r>
              <w:rPr/>
              <w:t> </w:t>
            </w:r>
          </w:p>
        </w:tc>
      </w:tr>
      <w:tr>
        <w:trPr/>
        <w:tc>
          <w:tcPr>
            <w:tcW w:w="340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792,193</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795"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795"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792,193</w:t>
            </w:r>
          </w:p>
        </w:tc>
        <w:tc>
          <w:tcPr>
            <w:tcW w:w="107"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52"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792,193</w:t>
            </w:r>
          </w:p>
        </w:tc>
        <w:tc>
          <w:tcPr>
            <w:tcW w:w="13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257"/>
        <w:gridCol w:w="104"/>
        <w:gridCol w:w="150"/>
        <w:gridCol w:w="1160"/>
        <w:gridCol w:w="104"/>
        <w:gridCol w:w="104"/>
        <w:gridCol w:w="214"/>
        <w:gridCol w:w="762"/>
        <w:gridCol w:w="104"/>
        <w:gridCol w:w="104"/>
        <w:gridCol w:w="214"/>
        <w:gridCol w:w="761"/>
        <w:gridCol w:w="104"/>
        <w:gridCol w:w="104"/>
        <w:gridCol w:w="150"/>
        <w:gridCol w:w="1160"/>
        <w:gridCol w:w="104"/>
        <w:gridCol w:w="104"/>
        <w:gridCol w:w="150"/>
        <w:gridCol w:w="1160"/>
        <w:gridCol w:w="131"/>
      </w:tblGrid>
      <w:tr>
        <w:trPr/>
        <w:tc>
          <w:tcPr>
            <w:tcW w:w="3257" w:type="dxa"/>
            <w:tcBorders>
              <w:top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vAlign w:val="bottom"/>
          </w:tcPr>
          <w:p>
            <w:pPr>
              <w:pStyle w:val="TableContents"/>
              <w:spacing w:before="0" w:after="283"/>
              <w:rPr/>
            </w:pPr>
            <w:r>
              <w:rPr/>
              <w:t> </w:t>
            </w:r>
          </w:p>
        </w:tc>
        <w:tc>
          <w:tcPr>
            <w:tcW w:w="6713" w:type="dxa"/>
            <w:gridSpan w:val="18"/>
            <w:tcBorders>
              <w:top w:val="single" w:sz="12" w:space="0" w:color="000000"/>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December 31, 2012</w:t>
            </w:r>
          </w:p>
        </w:tc>
        <w:tc>
          <w:tcPr>
            <w:tcW w:w="131" w:type="dxa"/>
            <w:tcBorders>
              <w:top w:val="single" w:sz="12" w:space="0" w:color="000000"/>
            </w:tcBorders>
            <w:shd w:fill="auto" w:val="clear"/>
            <w:vAlign w:val="bottom"/>
          </w:tcPr>
          <w:p>
            <w:pPr>
              <w:pStyle w:val="TableContents"/>
              <w:spacing w:before="0" w:after="283"/>
              <w:jc w:val="left"/>
              <w:rPr/>
            </w:pPr>
            <w:r>
              <w:rPr/>
              <w:t> </w:t>
            </w:r>
          </w:p>
        </w:tc>
      </w:tr>
      <w:tr>
        <w:trPr/>
        <w:tc>
          <w:tcPr>
            <w:tcW w:w="3257"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shd w:fill="auto" w:val="clear"/>
            <w:tcMar>
              <w:top w:w="0" w:type="dxa"/>
            </w:tcMar>
            <w:vAlign w:val="bottom"/>
          </w:tcPr>
          <w:p>
            <w:pPr>
              <w:pStyle w:val="TableContents"/>
              <w:spacing w:before="0" w:after="283"/>
              <w:rPr/>
            </w:pPr>
            <w:r>
              <w:rPr/>
              <w:t> </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3677" w:type="dxa"/>
            <w:gridSpan w:val="10"/>
            <w:tcBorders/>
            <w:shd w:fill="auto" w:val="clear"/>
            <w:tcMar>
              <w:top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shd w:fill="auto" w:val="clear"/>
            <w:tcMar>
              <w:top w:w="0" w:type="dxa"/>
            </w:tcMar>
            <w:vAlign w:val="bottom"/>
          </w:tcPr>
          <w:p>
            <w:pPr>
              <w:pStyle w:val="TableContents"/>
              <w:spacing w:before="0" w:after="283"/>
              <w:rPr/>
            </w:pPr>
            <w:r>
              <w:rPr/>
              <w:t> </w:t>
            </w:r>
          </w:p>
        </w:tc>
        <w:tc>
          <w:tcPr>
            <w:tcW w:w="131" w:type="dxa"/>
            <w:tcBorders/>
            <w:shd w:fill="auto" w:val="clear"/>
            <w:tcMar>
              <w:top w:w="0" w:type="dxa"/>
            </w:tcMar>
            <w:vAlign w:val="bottom"/>
          </w:tcPr>
          <w:p>
            <w:pPr>
              <w:pStyle w:val="TableContents"/>
              <w:spacing w:before="0" w:after="283"/>
              <w:jc w:val="left"/>
              <w:rPr/>
            </w:pPr>
            <w:r>
              <w:rPr/>
              <w:t> </w:t>
            </w:r>
          </w:p>
        </w:tc>
      </w:tr>
      <w:tr>
        <w:trPr/>
        <w:tc>
          <w:tcPr>
            <w:tcW w:w="3257"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97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97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1" w:type="dxa"/>
            <w:tcBorders/>
            <w:shd w:fill="auto" w:val="clear"/>
            <w:tcMar>
              <w:top w:w="0" w:type="dxa"/>
            </w:tcMar>
            <w:vAlign w:val="bottom"/>
          </w:tcPr>
          <w:p>
            <w:pPr>
              <w:pStyle w:val="TableContents"/>
              <w:spacing w:before="0" w:after="283"/>
              <w:jc w:val="left"/>
              <w:rPr/>
            </w:pPr>
            <w:r>
              <w:rPr/>
              <w:t> </w:t>
            </w:r>
          </w:p>
        </w:tc>
      </w:tr>
      <w:tr>
        <w:trPr/>
        <w:tc>
          <w:tcPr>
            <w:tcW w:w="325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214" w:type="dxa"/>
            <w:tcBorders/>
            <w:shd w:fill="auto" w:val="clear"/>
            <w:tcMar>
              <w:top w:w="0" w:type="dxa"/>
            </w:tcMar>
            <w:vAlign w:val="bottom"/>
          </w:tcPr>
          <w:p>
            <w:pPr>
              <w:pStyle w:val="TableContents"/>
              <w:spacing w:before="0" w:after="283"/>
              <w:jc w:val="left"/>
              <w:rPr/>
            </w:pPr>
            <w:r>
              <w:rPr/>
              <w:t> </w:t>
            </w:r>
          </w:p>
        </w:tc>
        <w:tc>
          <w:tcPr>
            <w:tcW w:w="76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214" w:type="dxa"/>
            <w:tcBorders/>
            <w:shd w:fill="auto" w:val="clear"/>
            <w:tcMar>
              <w:top w:w="0" w:type="dxa"/>
            </w:tcMar>
            <w:vAlign w:val="bottom"/>
          </w:tcPr>
          <w:p>
            <w:pPr>
              <w:pStyle w:val="TableContents"/>
              <w:spacing w:before="0" w:after="283"/>
              <w:jc w:val="left"/>
              <w:rPr/>
            </w:pPr>
            <w:r>
              <w:rPr/>
              <w:t> </w:t>
            </w:r>
          </w:p>
        </w:tc>
        <w:tc>
          <w:tcPr>
            <w:tcW w:w="7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31" w:type="dxa"/>
            <w:tcBorders/>
            <w:shd w:fill="auto" w:val="clear"/>
            <w:tcMar>
              <w:top w:w="0" w:type="dxa"/>
            </w:tcMar>
            <w:vAlign w:val="bottom"/>
          </w:tcPr>
          <w:p>
            <w:pPr>
              <w:pStyle w:val="TableContents"/>
              <w:spacing w:before="0" w:after="283"/>
              <w:jc w:val="left"/>
              <w:rPr/>
            </w:pPr>
            <w:r>
              <w:rPr/>
              <w:t> </w:t>
            </w:r>
          </w:p>
        </w:tc>
      </w:tr>
      <w:tr>
        <w:trPr/>
        <w:tc>
          <w:tcPr>
            <w:tcW w:w="325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21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6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21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31" w:type="dxa"/>
            <w:tcBorders/>
            <w:shd w:fill="auto" w:val="clear"/>
            <w:tcMar>
              <w:top w:w="0" w:type="dxa"/>
            </w:tcMar>
            <w:vAlign w:val="bottom"/>
          </w:tcPr>
          <w:p>
            <w:pPr>
              <w:pStyle w:val="TableContents"/>
              <w:spacing w:before="0" w:after="283"/>
              <w:jc w:val="left"/>
              <w:rPr/>
            </w:pPr>
            <w:r>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31"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a summary of the changes in fair value, including net transfers, in and/or out, of financial assets and liabilities measured at fair value on a recurring basis using significant unobservable inputs (Level 3) during the three months ended March 31, 2013 and the year ended December 31, 2012: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625"/>
        <w:gridCol w:w="106"/>
        <w:gridCol w:w="141"/>
        <w:gridCol w:w="1124"/>
        <w:gridCol w:w="117"/>
        <w:gridCol w:w="106"/>
        <w:gridCol w:w="158"/>
        <w:gridCol w:w="1177"/>
        <w:gridCol w:w="117"/>
        <w:gridCol w:w="106"/>
        <w:gridCol w:w="141"/>
        <w:gridCol w:w="1156"/>
        <w:gridCol w:w="131"/>
      </w:tblGrid>
      <w:tr>
        <w:trPr/>
        <w:tc>
          <w:tcPr>
            <w:tcW w:w="562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434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 Level 3 Inputs</w:t>
            </w:r>
          </w:p>
        </w:tc>
        <w:tc>
          <w:tcPr>
            <w:tcW w:w="131" w:type="dxa"/>
            <w:tcBorders/>
            <w:shd w:fill="auto" w:val="clear"/>
            <w:vAlign w:val="bottom"/>
          </w:tcPr>
          <w:p>
            <w:pPr>
              <w:pStyle w:val="TableContents"/>
              <w:spacing w:before="0" w:after="283"/>
              <w:jc w:val="left"/>
              <w:rPr/>
            </w:pPr>
            <w:r>
              <w:rPr/>
              <w:t> </w:t>
            </w:r>
          </w:p>
        </w:tc>
      </w:tr>
      <w:tr>
        <w:trPr/>
        <w:tc>
          <w:tcPr>
            <w:tcW w:w="56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warrants</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conversion option</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2011</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1,317,834</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1,317,834</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 during the year</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737,700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1,037,700</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(597,127</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129,875</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(467,252</w:t>
            </w:r>
          </w:p>
        </w:tc>
        <w:tc>
          <w:tcPr>
            <w:tcW w:w="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settlement</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(43,621</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(43,621</w:t>
            </w:r>
          </w:p>
        </w:tc>
        <w:tc>
          <w:tcPr>
            <w:tcW w:w="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106"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5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2012</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977,086</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867,575</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1,844,661</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 during the year</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44,700</w:t>
            </w:r>
          </w:p>
        </w:tc>
        <w:tc>
          <w:tcPr>
            <w:tcW w:w="131" w:type="dxa"/>
            <w:tcBorders/>
            <w:shd w:fill="auto" w:val="clear"/>
            <w:vAlign w:val="bottom"/>
          </w:tcPr>
          <w:p>
            <w:pPr>
              <w:pStyle w:val="TableContents"/>
              <w:spacing w:before="0" w:after="283"/>
              <w:jc w:val="left"/>
              <w:rPr/>
            </w:pPr>
            <w:r>
              <w:rPr/>
              <w:t> </w:t>
            </w:r>
          </w:p>
        </w:tc>
      </w:tr>
      <w:tr>
        <w:trPr/>
        <w:tc>
          <w:tcPr>
            <w:tcW w:w="56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(514,793</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(582,375</w:t>
            </w:r>
          </w:p>
        </w:tc>
        <w:tc>
          <w:tcPr>
            <w:tcW w:w="1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(1,097,168</w:t>
            </w:r>
          </w:p>
        </w:tc>
        <w:tc>
          <w:tcPr>
            <w:tcW w:w="13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2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5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vAlign w:val="bottom"/>
          </w:tcPr>
          <w:p>
            <w:pPr>
              <w:pStyle w:val="TableContents"/>
              <w:spacing w:before="0" w:after="283"/>
              <w:jc w:val="left"/>
              <w:rPr/>
            </w:pPr>
            <w:r>
              <w:rPr/>
              <w:t> </w:t>
            </w:r>
          </w:p>
        </w:tc>
      </w:tr>
      <w:tr>
        <w:trPr/>
        <w:tc>
          <w:tcPr>
            <w:tcW w:w="56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March 31, 2013</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462,293</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5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329,900</w:t>
            </w:r>
          </w:p>
        </w:tc>
        <w:tc>
          <w:tcPr>
            <w:tcW w:w="117"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792,193</w:t>
            </w:r>
          </w:p>
        </w:tc>
        <w:tc>
          <w:tcPr>
            <w:tcW w:w="131"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11"/>
      <w:bookmarkStart w:id="106" w:name="PGBRK11"/>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11"/>
      <w:bookmarkStart w:id="108" w:name="FTR11"/>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 w:name="GLFTR11"/>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 w:name="PN11"/>
      <w:bookmarkEnd w:id="110"/>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HDR11"/>
      <w:bookmarkStart w:id="112" w:name="HDR11"/>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 w:name="GLHDR11"/>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sz w:val="20"/>
        </w:rPr>
      </w:pPr>
      <w:r>
        <w:rPr>
          <w:rFonts w:ascii="Times New Roman" w:hAnsi="Times New Roman"/>
          <w:sz w:val="20"/>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 The fair value of the warrants is determined using the Black Scholes Option Pricing Model.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5:</w:t>
      </w:r>
      <w:r>
        <w:rPr>
          <w:rFonts w:ascii="Times New Roman" w:hAnsi="Times New Roman"/>
          <w:b/>
          <w:sz w:val="20"/>
        </w:rPr>
        <w:t>                 </w:t>
      </w:r>
      <w:r>
        <w:rPr>
          <w:rFonts w:ascii="Times New Roman" w:hAnsi="Times New Roman"/>
          <w:b/>
          <w:sz w:val="20"/>
          <w:u w:val="single"/>
        </w:rPr>
        <w:t>CONVERTIBLE NOTES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year: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169"/>
        <w:gridCol w:w="104"/>
        <w:gridCol w:w="144"/>
        <w:gridCol w:w="1127"/>
        <w:gridCol w:w="104"/>
        <w:gridCol w:w="104"/>
        <w:gridCol w:w="158"/>
        <w:gridCol w:w="1118"/>
        <w:gridCol w:w="104"/>
        <w:gridCol w:w="103"/>
        <w:gridCol w:w="172"/>
        <w:gridCol w:w="1196"/>
        <w:gridCol w:w="104"/>
        <w:gridCol w:w="104"/>
        <w:gridCol w:w="144"/>
        <w:gridCol w:w="1127"/>
        <w:gridCol w:w="123"/>
      </w:tblGrid>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Face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Principal Repayment/</w:t>
            </w:r>
          </w:p>
          <w:p>
            <w:pPr>
              <w:pStyle w:val="TableContents"/>
              <w:spacing w:before="0" w:after="0"/>
              <w:ind w:left="0" w:right="0" w:hanging="0"/>
              <w:jc w:val="center"/>
              <w:rPr>
                <w:rFonts w:ascii="times new roman" w:hAnsi="times new roman"/>
                <w:b/>
                <w:sz w:val="20"/>
              </w:rPr>
            </w:pPr>
            <w:r>
              <w:rPr>
                <w:rFonts w:ascii="times new roman" w:hAnsi="times new roman"/>
                <w:b/>
                <w:sz w:val="20"/>
              </w:rPr>
              <w:t>Settlement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Unamortized</w:t>
            </w:r>
          </w:p>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p>
            <w:pPr>
              <w:pStyle w:val="TableContents"/>
              <w:spacing w:before="0" w:after="0"/>
              <w:ind w:left="0" w:right="0" w:hanging="0"/>
              <w:jc w:val="center"/>
              <w:rPr>
                <w:rFonts w:ascii="times new roman" w:hAnsi="times new roman"/>
                <w:b/>
                <w:sz w:val="20"/>
              </w:rPr>
            </w:pPr>
            <w:r>
              <w:rPr>
                <w:rFonts w:ascii="times new roman" w:hAnsi="times new roman"/>
                <w:b/>
                <w:sz w:val="20"/>
              </w:rPr>
              <w:t>Discount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w:t>
            </w:r>
          </w:p>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February 2011 Secured Convertible Notes</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6"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1"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February 24,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1,184,694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203,836</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120,496</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860,362</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April 2011 Secured Convertible Notes</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April 4,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34,681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180,319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June 2011 Secured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June 6, 2014</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26,729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August 8,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August 8,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111,430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65,970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16,193</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29,267</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August 12,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became due November 12, 2012</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August 20,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August 20,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7,780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12,220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September 18,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October 1,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61,750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10,678</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October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October 15,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184,438</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155,562</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October 9, 2012 Convertible Notes</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November 1,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April 30,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31,471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14,090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November 20,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November 20,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35,715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19,995</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14,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April 18,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189,210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189,210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December 18, 2012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December 14, 2013</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January 5, 2013 Convertible Notes</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567,729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567,729</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February 27, 2013 Convertible Note</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c>
          <w:tcPr>
            <w:tcW w:w="1118"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2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169"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due February 27, 2014</w:t>
            </w:r>
          </w:p>
        </w:tc>
        <w:tc>
          <w:tcPr>
            <w:tcW w:w="104"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55,710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8"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45,990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9,720</w:t>
            </w:r>
          </w:p>
        </w:tc>
        <w:tc>
          <w:tcPr>
            <w:tcW w:w="123" w:type="dxa"/>
            <w:tcBorders/>
            <w:shd w:fill="auto" w:val="clear"/>
            <w:vAlign w:val="bottom"/>
          </w:tcPr>
          <w:p>
            <w:pPr>
              <w:pStyle w:val="TableContents"/>
              <w:spacing w:before="0" w:after="283"/>
              <w:jc w:val="left"/>
              <w:rPr/>
            </w:pPr>
            <w:r>
              <w:rPr/>
              <w:t> </w:t>
            </w:r>
          </w:p>
        </w:tc>
      </w:tr>
      <w:tr>
        <w:trPr/>
        <w:tc>
          <w:tcPr>
            <w:tcW w:w="4169"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04"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3,060,954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535,766</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jc w:val="right"/>
              <w:rPr/>
            </w:pPr>
            <w:r>
              <w:rPr/>
              <w:t> </w:t>
            </w:r>
          </w:p>
        </w:tc>
        <w:tc>
          <w:tcPr>
            <w:tcW w:w="17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461,017</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2,064,171</w:t>
            </w:r>
          </w:p>
        </w:tc>
        <w:tc>
          <w:tcPr>
            <w:tcW w:w="123"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12"/>
      <w:bookmarkStart w:id="115" w:name="PGBRK12"/>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FTR12"/>
      <w:bookmarkStart w:id="117" w:name="FTR12"/>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12"/>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 w:name="PN12"/>
      <w:bookmarkEnd w:id="119"/>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HDR12"/>
      <w:bookmarkStart w:id="121" w:name="HDR12"/>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12"/>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February 2011 Secured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24, 2011, the Company entered into a securities purchase agreement with accredited investors to place Senior Secured Convertible Notes (the “February 2011 Notes”) with a maturity date of three years after the issuance thereof in the aggregate principal amount of $1,184,694. Consideration under the notes consisted of $944,694 in cash proceeds, including accrued interest, and $240,000 was subscribed for by two of the holders of outstanding and demandable 2010 secured convertible notes (the “2010 Notes”). The holders of the 2010 Notes returned their Series A, Series B and Series C warrants to the Company for cancellation. In connection with the issuance of the February 2011 Notes, the Company entered into a 2011 Security Agreement with the note holders securing the February 2011 Notes with all of the Company’s assets. One year after the issuance of the February 2011 Notes, the note holders have the option to convert a portion or all of the outstanding balance of the February 2011 Notes including any accrued interest into shares of the Company’s common stock at a conversion rate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February 2011 Notes bear interest at the rate of 10% per annum except in case of default, in which case they bear interest at the rate of 20% per annum. The interest is due on the February 2011 Notes at the end of each three month period, starting three months from their issuance. One year after the issuance of the February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paid a finders’ fee of $41,500. The finder’s fee was accounted for as deferred financing costs, and is being amortized over the term of the notes. At March 31, 2013, $11,597 of the $26,867 in deferred financing costs relates to the February 2011 Notes which remains unamortized, and is presented in the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February 2011 Notes, the Company issued 2,369,388 warrants, exercisable into common stock at $0.25 with five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warrants based on the calculated fair value at the date of issuance. The fair value of the warrants was recorded at $483,355 and recognized as derivative liabilities and the debt was recorded at $701,339. The fair value of the warrants was calculated using the Binomial option pricing model under the following assumptions: estimated life of five years, risk free rate of 2.06%, dividend yield of 0% and volatility of 199%. The debt discount is being accreted over the three year term of the February 2011 Notes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one of the investors settled the principal amount of $203,836 and accrued interest of $16,419 of the February 2011 Notes in exchange for December 14, 2012 Convertible Note (the “December 14,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$32,862 was recorded for the February 2011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April 2011 Secured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4, 2011, the Company entered into a securities purchase agreement with accredited investors to place Senior Secured Convertible Notes (the “April 2011 Notes”) with a maturity date of three years after the issuance thereof in the aggregate principal amount of $215,000. Consideration under the notes consisted of $190,000 in cash proceeds, and $25,000 was subscribed for by a holder of 2010 Notes in exchange for the extinguishment of the Series A, Series B and Series C warrants related to the 2010 Notes. In connection with the issuance of the April 2011 Notes, the Company entered into a 2011 Security Agreement with the note holders securing the April 2011 Notes with a secondary security interest in all of the Company’s assets. One year after the issuance of the April 2011 Notes, the note holders have the option to convert a portion or all of the outstanding balance of the April 2011 Notes including any accrued interest into shares of the Company’s common stock at a conversion rate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April 2011 Notes bear interest at the rate of 10% per annum except in case of default, in which case they bear interest at the rate of 20% per annum. The interest is due on the April 2011 Notes at the end of each three month period, starting three months from their issuance. One year after the issuance of the April 2011 Notes,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13"/>
      <w:bookmarkStart w:id="124" w:name="PGBRK13"/>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13"/>
      <w:bookmarkStart w:id="126" w:name="FTR13"/>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 w:name="GLFTR13"/>
      <w:bookmarkEnd w:id="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13"/>
      <w:bookmarkEnd w:id="128"/>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HDR13"/>
      <w:bookmarkStart w:id="130" w:name="HDR1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 w:name="GLHDR13"/>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paid a finders’ fee of $4,550. The finder’s fee was accounted for as deferred financing costs, and is being amortized over the term of the notes. At March 31, 2013, $1,517 of the $26,867 in deferred financing costs relates to the April 2011 Notes which remains unamortized, and is presented in the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April 2011 Notes, the Company issued 430,000 warrants, exercisable into common stock at $0.25 with 2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warrants based on the calculated fair value. The fair value of the warrants was recorded at $130,720 and recognized as derivative liabilities and the debt was recorded at $84,280. The fair value of the warrants was calculated using the Binomial option pricing model under the following assumptions: estimated life of two years, risk free rate of 0.77%, dividend yield of 0% and volatility of 199%. The debt discount is being accreted over the three year term of the April 2011 Notes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$8,459 was recorded for the April 2011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June 2011 Secured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6, 2011, the Company entered into a securities purchase agreement with accredited investors to place Senior Secured Convertible Note (the “June 2011 Note”) with a maturity date of three years after the issuance thereof in the aggregate principal amount of $30,000. In connection with the issuance of the June 2011 Note, the Company entered into a 2011 Security Agreement with the note holder securing the June 2011 Note with a secondary security interest in all of the Company’s assets. One year after the issuance of the June 2011 Note, the note holder has the option to convert a portion or all of the outstanding balance of the June 2011 Note including any accrued interest into shares of the Company’s common stock at a conversion rate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June 2011 Note bears interest at the rate of 10% per annum except in case of default, in which case it bears interest at the rate of 20% per annum. The interest is due on the June 2011 Note at the end of each three month period, starting three months from its issuance. One year after the issuance of the June 2011 Note, the Company may elect to prepay a portion of the principal. If the Company makes such an election, the holders may elect to receive such prepayment in cash or in shares of the Company’s common stock, at a conversion rate of $0.15 per share, or in a combination thereof.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June 2011 Note, the Company issued 60,000 warrants, exercisable into common stock at $0.25 with two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warrants based on the calculated fair value. The fair value of the warrants was recorded at $8,280 and recognized as derivative liabilities and the debt was recorded at $21,720. The fair value of the warrants was calculated using the Binomial option pricing model under the following assumptions: estimated life of two years, risk free rate of 0.43%, dividend yield of 0% and volatility of 199%. The debt discount is being accreted over the three year term of the June 2011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$682 was recorded for the June 2011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8,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8, 2012, the Company entered into a securities purchase agreement with an accredited investor to place a Convertible Note (the “August 8, 2012 Note”) with a maturity date of one year after the issuance thereof in the aggregate principal amount of $111,430. Consideration under the notes consisted of $92,000 in cash proceeds after $8,000 payment of finders’ fee and an original issue discount of $11,430.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8, 2012 Note carries no interest if the Company repays the note within 90 days from issuance. If the Company does not repay the note within 90 days, a one-time interest of 5% shall apply to the principal sum.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 w:name="PGBRK14"/>
      <w:bookmarkStart w:id="133" w:name="PGBRK14"/>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FTR14"/>
      <w:bookmarkStart w:id="135" w:name="FTR1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 w:name="GLFTR14"/>
      <w:bookmarkEnd w:id="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7" w:name="PN14"/>
      <w:bookmarkEnd w:id="137"/>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HDR14"/>
      <w:bookmarkStart w:id="139" w:name="HDR14"/>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 w:name="GLHDR14"/>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$8,000 was accounted for as deferred financing costs, and is being amortized over the term of the note. At March 31, 2013, $1,360 of the $26,867 in deferred financing costs relates to the August 8, 2012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$155,700 and recognized as a derivative liability and the debt was recorded at $nil. The transaction resulted in an accounting loss on debt financing of $55,700. The fair value of the conversion option was calculated using the Binomial option pricing model under the following assumptions: estimated life of one year, risk free rate of 0.19%, dividend yield of 0% and volatility of 139.77%. The debt discount is being accreted over the one year term of the August 8,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2013, the investor converted $65,970 and accrued interest of the August 8, 2012 Note into common shares (Note 9). The balance remaining on the August 8, 2012 Note as on March 31, 2013 was $45,460.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$11,209 was recorded for the August 8,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12,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12, 2012, the Company entered into a securities purchase agreement with accredited investors to place a Convertible Note (the “August 12, 2012 Note”) with a maturity date of three months after the issuance thereof in the aggregate principal amount of $27,500. Consideration under the notes consisted of $25,000 in cash proceeds after an original issue discount of $2,500. The note holder has the option to convert a portion or all of the outstanding balance of the August 8, 2012 Note including any accrued interest into shares of the Company’s common stock at a conversion rate of $0.09 per share or on similar terms as of any future financings with more favorable terms. The agreement provides for the Company to issue 50,000 shares to the note holder as risk premium. The 50,000 shares were valued at $6,250 and recorded as loss on debt financing and obligation to issue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12, 2012 Note bears interest at the rate of 10% per annum.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allocated the net proceeds to the conversion option based on the calculated fair value. The fair value of the conversion option was recorded at $31,100 and recognized as a derivative liability and the debt was recorded at $nil. The transaction resulted in an accounting loss on debt financing of $6,100. The fair value of the conversion option was calculated using the Binomial option pricing model under the following assumptions: estimated life of three months, risk free rate of 0.11%, dividend yield of 0% and volatility of 138.31%. The debt discount is being accreted over the three month term of the August 12,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repaid the August 12, 2012 Note as of March 31, 2013, which is in default.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August 20,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20, 2012, the Company entered into a securities purchase agreement with accredited investors to place a Convertible Note (the “August 20, 2012 Note”) with a maturity date of one year after the issuance thereof in the aggregate principal amount of $20,000.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20, 2012 Note bears interest at the rate of 8% per annum.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$36,100 and recognized as a derivative liability and the debt was recorded at $nil. The transaction resulted in an accounting loss on debt financing of $16,100. The fair value of the conversion option was calculated using the Binomial option pricing model under the following assumptions: estimated life of one year, risk free rate of 0.19%, dividend yield of 0% and volatility of 140.11%. The debt discount is being accreted over the one year term of the August 20,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$4,932 was recorded for the August 20, 2012 Note.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 w:name="PGBRK15"/>
      <w:bookmarkStart w:id="142" w:name="PGBRK15"/>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FTR15"/>
      <w:bookmarkStart w:id="144" w:name="FTR15"/>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 w:name="GLFTR15"/>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 w:name="PN15"/>
      <w:bookmarkEnd w:id="146"/>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HDR15"/>
      <w:bookmarkStart w:id="148" w:name="HDR15"/>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 w:name="GLHDR15"/>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September 18,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18, 2012, the Company entered into a securities purchase agreement with accredited investors to place a Convertible Note (the “September 18, 2012 Note”) with a maturity date of one year after the issuance thereof in the aggregate principal amount of $82,500. Consideration under the notes consisted of $69,000 in cash proceeds after $6,000 payment of finders’ fee and an original issue discount of $7,500. The note holder has the option to convert a portion or all of the outstanding balance of the September 18, 2012 Note including any accrued interest into shares of the Company’s common stock at a conversion rate of $0.09 per share or 70% of the lowest traded price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September 18, 2012 Note carries no interest other than the amortization of the original issue discount.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$6,000 was accounted for as deferred financing costs, and is being amortized over the term of the note. At March 31, 2013, $755 of the $26,867 in deferred financing costs relates to the September, 2012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$76,400 and recognized as a derivative liability and the debt was recorded at $nil. The transaction resulted in an accounting loss on debt financing of $1,400. The fair value of the conversion option was calculated using the Binomial option pricing model under the following assumptions: estimated life of one year, risk free rate of 0.20%, dividend yield of 0% and volatility of 141.43%. The debt discount is being accreted over the one year term of the September,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2013, the investor converted $61,750 and accrued interest of the September 18, 2012 Note into common shares (Note 9). The balance remaining on the September 18, 2012 Note as on March 31, 2013 was $20,750.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$4,954 was recorded for the September,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October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15, 2012, the Company entered into a securities purchase agreement with an accredited investor to place a Convertible Note (the “October 2012 Note”) with a maturity date of one year after the issuance thereof in the aggregate principal amount of $340,000. Consideration under the notes consisted of $310,000 in cash proceeds after $10,000 payment of legal fee and an original issue discount of $30,000. The note holder has the option to convert a portion or all of the outstanding balance of the October 2012 Note including any accrued interest into shares of the Company’s common stock at a conversion rate of $0.12 per share or to a new lower issuance price if the Company issues shares (or reduces the conversion or exercise price for outstanding debt or warrants) for less than $0.12.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October 2012 Note carries an interest rate of 8%. There are seven installment payments due on the note beginning on the seventh month after its issuance and each month thereafter until maturity.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legal fee of $10,000 was accounted for as deferred financing costs, and is being amortized over the term of the note. At March 31, 20132, $5,425 of the $26,867 in deferred financing costs relates to the October 2012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Provided that there is sufficient volume in the trading of the Company’s common stock and other criteria are met, the Company may elect to make any payment due on an installment date in shares of common stock. If the Company elects to make a payment in shares of common stock, the number of shares that the Company issues will be equal to the amount to be converted divided by the lesser of the conversion price or 70% of the average of the three lowest closing bid prices of the shares of common stock during the prior twenty consecutive trading days. If the Company elects to pay the full amount of the note in common shares (excluding any interest that becomes due thereon), the holder shall receive at a minimum 2,833,333 shares of the Company’s common stock, but this amount could be substantially higher. Unless otherwise agreed in writing by both parties, at no time will the holder convert any amount of the debenture into common stock that would result in the holder owning more than 4.99% of the common stock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the agreement, the Company also issued 3,000,000 warrants to the note holder exercisable at $0.25/share expiring on October 31, 2016.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warrants include price adjustment provisions whereby the exercise price will be adjusted downwards based on future grants, which results in a share issuance at a per share amount less than $0.25 per share, or repricing of any existing warrants to a lower price. During the three months ended March 31, 2013, the investor converted 1,898,588 share warrants into shares at a price of $0.0572 per share (Note 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16"/>
      <w:bookmarkStart w:id="151" w:name="PGBRK16"/>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16"/>
      <w:bookmarkStart w:id="153" w:name="FTR16"/>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4" w:name="GLFTR16"/>
      <w:bookmarkEnd w:id="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 w:name="PN16"/>
      <w:bookmarkEnd w:id="155"/>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HDR16"/>
      <w:bookmarkStart w:id="157" w:name="HDR16"/>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 w:name="GLHDR16"/>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and equity based on the calculated fair value. The fair value of the conversion option was recorded at $248,000 and recognized as a derivative liability and the equity was recorded at $62,000. The fair value of the conversion option was calculated using the Binomial option pricing model under the following assumptions: estimated life of one year, risk free rate of 0.19%, dividend yield of 0% and volatility of 139.16%. The debt discount is being accreted over the one year term of the October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$83,836 was recorded for the October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October 9,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9, 2012, the Company converted accounts payable of $100,000 into convertible notes (the “October 9, 2012 Note”). The note holder has the option to convert a portion or all of the outstanding balance of the October 9, 2012 Note into shares of the Company’s common stock at a conversion rate of $0.09 per share. The note has no terms of repayment and no interest charges. Only under certain events of default the note will incur an interest rate of 20% per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November 1,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the Company converted a promissory note of $100,000 (Note 7) with an accredited investor into three convertible notes of $105,000 cumulatively. The three convertible notes were assigned to a third party, of which, two notes were converted into equity. In November and December 2012, the Note holder converted $73,737 of principal and interest into 1,262,727 shares. The fair value of the shares was determined to be $140,538 based on the quoted market prices. The Company recorded $66,801 as loss on settlement of debt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third Convertible Note (the “November 1, 2012 Note”) was issued with a maturity date of six months in the aggregate principal amount of $31,471. The note holder has the option to convert a portion or all of the outstanding balance of the November 1, 2012 Note including any accrued interest into shares of the Company’s common stock at a conversion rate of $0.09 per share or 65% of the lowest bid price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November 1, 2012 Note bears interest at the rate of 10% per annum starting on November 15, 2012. If the Company is in default under certain events, the November 1, 2012 Note shall incur interest at the rate of 20% per annum retroactively.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$31,471 of the balance of the November 1, 2012 Note to the conversion option and debt based on the calculated fair value. The fair value of the conversion option was recorded at $27,300 and recognized as a derivative liability and the debt was recorded at $4,171. The fair value of the conversion option was calculated using the Binomial option pricing model under the following assumptions: estimated life of 0.49 year, risk free rate of 0.09%, dividend yield of 0% and volatility of 127.26%. The debt discount is being accreted over the 0.49 year term of the November 1,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2013, the investor converted $15,000 and accrued interest of the November 1, 2012 Note into common shares (Note 9). The balance remaining on the November 1, 2012 Note as on March 31, 2013 was $16,471.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$7,144 was recorded for the November 1,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November 20,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20, 2012, the Company entered into a securities purchase agreement with an accredited investor to place a Convertible Note (the “November 20, 2012 Note”) with a maturity date of one year after the issuance thereof in the aggregate principal amount of $55,710. Consideration under the notes consisted of $50,000 in cash proceeds after $4,000 payment of finder’s fee and an original issue discount of $5,710. The note holder has the option to convert a portion or all of the outstanding balance of the November 20, 2012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August 8, 2012 Note carries no interest if the Company repays the note within 90 days from issuance. If the Company does not repay the note within 90 days, a one-time interest of 5% shall apply to the principal sum.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$4,000 was accounted for as deferred financing costs, and is being amortized over the term of the note. At March 31, 2013, 2,564 of the $26,867 in deferred financing costs relates to the November 20, 2012 Note which remains unamortized, and is presented in current assets on the Company’s Balance Sheet.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9" w:name="PGBRK17"/>
      <w:bookmarkStart w:id="160" w:name="PGBRK17"/>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 w:name="FTR17"/>
      <w:bookmarkStart w:id="162" w:name="FTR17"/>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3" w:name="GLFTR17"/>
      <w:bookmarkEnd w:id="1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4" w:name="PN17"/>
      <w:bookmarkEnd w:id="16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HDR17"/>
      <w:bookmarkStart w:id="166" w:name="HDR17"/>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7" w:name="GLHDR17"/>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$69,000 and recognized as a derivative liability and the debt was recorded at $nil. The transaction resulted in an accounting loss on debt financing of $19,000. The fair value of the conversion option was calculated using the Binomial option pricing model under the following assumptions: estimated life of one year, risk free rate of 0.16%, dividend yield of 0% and volatility of 134.71%. The debt discount is being accreted over the one year term of the November 20,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$13,889 was recorded for the November 20,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December 14,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14, 2012, the Company converted part of the February 2011 Notes in the amount of $220,255 into a Convertible Note (the “December 14, 2012 Note”) with a maturity date of four months after the issuance thereof in the aggregate principal amount of $252,280. Consideration under the notes consisted of $220,255 from February 2011 Notes, $10,000 payment of legal fee and an original issue discount of $22,025. The December 14, 2012 Note is repayable in four equal installments with accrued interest, starting on January 18, 2013 and subsequently, the same day on each of the following calendar months. The Company can elect to pay the installments in cash or shares of Company’s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December 14, 2012 Note bears interest at the rate of 8% per annum. In the event of default under certain conditions, the interest will accrue at the rate of 18% per annum.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note holder has the option to convert a portion or all of the outstanding balance of the December 14, 2012 Note including any accrued interest into shares of the Company’s common stock at a conversion rate of 70% of the three lowest closing bid prices in the 20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2012, the December 14, 2012 Note was assigned to a third party and the Company paid the first installment of $65,032 consisting of principal and interest in 1,078,477 shares. The fair value of the shares was determined to be $96,523 based on the quoted market price of $0.09 per share. The Company recorded $31,491 as loss on settlement of debt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$189,210 of the balance of the December 14, 2012 Note to the conversion option and debt based on the calculated fair value. The fair value of the conversion option was recorded at $94,100 and recognized as a derivative liability and the debt was recorded at $95,110. The fair value of the conversion option was calculated using the Binomial option pricing model under the following assumptions: estimated life of 0.35 year, risk free rate of 0.06%, dividend yield of 0% and volatility of 100.88%. The debt discount is being accreted over the 0.45 year term of the December 14, 2012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2013, the investor converted the remaining balance of the note of $189,210 and accrued interest on the December 14, 2012 Note into common shares (Note 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December 18, 2012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18, 2012, the Company entered into a securities purchase agreement with accredited investors to place convertible notes (the “December 18, 2012 Notes”) with a maturity date of one year after the issuance thereof in the aggregate principal amount of $50,000. The note holders have the option to convert a portion or all of the outstanding balance of the November 20, 2012 Note including any accrued interest into shares of the Company’s common stock at a conversion rate of $0.10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December 18, 2012 Notes carry an interest rate of 9%, due and payable on the maturity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January 5, 2013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5, 2013, the Company exchanged amounts due to related parties into convertible notes (the “January 5, 2013 Notes”) with no terms of repayment and no interest charges in the aggregate principal amount of $567,729. The related parties have the option to convert a portion or all of the outstanding balance of the January 5, 2013 Notes into shares of the Company’s common stock at a conversion rate of $0.08 per share.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8" w:name="PGBRK18"/>
      <w:bookmarkStart w:id="169" w:name="PGBRK18"/>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FTR18"/>
      <w:bookmarkStart w:id="171" w:name="FTR18"/>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2" w:name="GLFTR18"/>
      <w:bookmarkEnd w:id="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3" w:name="PN18"/>
      <w:bookmarkEnd w:id="173"/>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HDR18"/>
      <w:bookmarkStart w:id="175" w:name="HDR18"/>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6" w:name="GLHDR18"/>
      <w:bookmarkEnd w:id="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February 27, 2013 Convertible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27, 2013, the Company entered into a securities purchase agreement with an accredited investor to place a Convertible Note (the “February 27, 2013 Note”) with a maturity date of one year after the issuance thereof in the aggregate principal amount of $55,710. Consideration under the notes consisted of $46,000 in cash proceeds after $4,000 payment of finders’ fee and an original issue discount of $5,710. The note holder has the option to convert a portion or all of the outstanding balance of the February 27, 2013 Note including any accrued interest into shares of the Company’s common stock at a conversion rate of $0.09 per share or 70% of the lowest traded price in the 25 trading days prior to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February 27, 2013 Note carries no interest if the Company repays the note within 90 days from issuance. If the Company does not repay the note within 90 days, a one-time interest of 5% shall apply to the principal sum.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finder’s fee of $4,000 was accounted for as deferred financing costs, and is being amortized over the term of the note. At March 31, 2013, $3,649 of the $26,867 in deferred financing costs relates to the February 27, 2013 Note which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allocated the net proceeds to the conversion option based on the calculated fair value. The fair value of the conversion option was recorded at $44,700 and recognized as a derivative liability and the debt was recorded at $5,300. The fair value of the conversion option was calculated using the Binomial option pricing model under the following assumptions: estimated life of one year, risk free rate of 0.17%, dividend yield of 0% and volatility of 123.76%. The debt discount is being accreted over the one year term of the February 27, 2013 Note using the effective interest rate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three months ended March 31, 2013, accretion of the debt discount of $4,420 was recorded for the February 27, 2013 Note.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6:</w:t>
      </w:r>
      <w:r>
        <w:rPr>
          <w:rFonts w:ascii="Times New Roman" w:hAnsi="Times New Roman"/>
          <w:b/>
          <w:sz w:val="20"/>
        </w:rPr>
        <w:t>                 </w:t>
      </w:r>
      <w:r>
        <w:rPr>
          <w:rFonts w:ascii="Times New Roman" w:hAnsi="Times New Roman"/>
          <w:b/>
          <w:sz w:val="20"/>
          <w:u w:val="single"/>
        </w:rPr>
        <w:t>LOANS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at March 31, 2013, there were unsecured loan advances from third parties in the amount of $10,000 (December 31, 2012 - $10,000), which is due on demand. The loan is accruing interest of 10% per annum.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7:</w:t>
      </w:r>
      <w:r>
        <w:rPr>
          <w:rFonts w:ascii="Times New Roman" w:hAnsi="Times New Roman"/>
          <w:b/>
          <w:sz w:val="20"/>
        </w:rPr>
        <w:t>                 </w:t>
      </w:r>
      <w:r>
        <w:rPr>
          <w:rFonts w:ascii="Times New Roman" w:hAnsi="Times New Roman"/>
          <w:b/>
          <w:sz w:val="20"/>
          <w:u w:val="single"/>
        </w:rPr>
        <w:t>PROMISSORY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2011, the Company issued a note in the amount of $100,000 towards future legal services, which matured July 24, 2011. As of December 31, 2012, the Company had received legal services in the amount of $100,000 against the note. The note bears interest at 10% per annum and may be converted into shares at equal to lower of $0.09 or 65% of the arithmetic average of the lowest closing bid prices of the Company’s shares during the consecutive twenty day trading period prior to notice of conversion.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the Company issued 500,000 shares to the holder of the note in exchange for the note holder’s agreement to forbear from pursuing collections actions on the outstanding note (Note 9) and converted the promissory note into three convertible notes (Note 5).</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the Company issued additional promissory notes in the amount of $67,942, of which $38,000 of promissory notes were issued to an officer and a director of the Company (Note 8). These promissory notes were fully outstanding as at March 31, 2013 and had no interest charges and no fixed repayment terms.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the Company converted accounts payable into a promissory note in the amount of $100,000. The note incurs interest at 8% per year and can be converted into shares at the option of the note holder at a conversion price of $0.09 per share. If the Company defaults under certain conditions, the note shall incur interest at 20% per year. These promissory notes were fully outstanding as at March 31, 2013 and had no fixed repayment terms.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2013, the Company converted $210,000 of accounts payable into a promissory note, payable on a preset schedule of payments starting in April 2013. Any of the late payments will incur interest at the rate of 9%.</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 w:name="PGBRK19"/>
      <w:bookmarkStart w:id="178" w:name="PGBRK19"/>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FTR19"/>
      <w:bookmarkStart w:id="180" w:name="FTR19"/>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1" w:name="GLFTR19"/>
      <w:bookmarkEnd w:id="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2" w:name="PN19"/>
      <w:bookmarkEnd w:id="182"/>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HDR19"/>
      <w:bookmarkStart w:id="184" w:name="HDR19"/>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5" w:name="GLHDR19"/>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8:</w:t>
      </w:r>
      <w:r>
        <w:rPr>
          <w:rFonts w:ascii="Times New Roman" w:hAnsi="Times New Roman"/>
          <w:b/>
          <w:sz w:val="20"/>
        </w:rPr>
        <w:t>                 </w:t>
      </w:r>
      <w:r>
        <w:rPr>
          <w:rFonts w:ascii="Times New Roman" w:hAnsi="Times New Roman"/>
          <w:b/>
          <w:sz w:val="20"/>
          <w:u w:val="single"/>
        </w:rPr>
        <w:t>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2013,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86" w:name="hangingindent2"/>
      <w:bookmarkStart w:id="187" w:name="hangingindent2"/>
      <w:bookmarkEnd w:id="187"/>
    </w:p>
    <w:tbl>
      <w:tblPr>
        <w:tblW w:w="5000" w:type="pct"/>
        <w:jc w:val="center"/>
        <w:tblInd w:w="0" w:type="dxa"/>
        <w:tblCellMar>
          <w:top w:w="0" w:type="dxa"/>
          <w:left w:w="0" w:type="dxa"/>
          <w:bottom w:w="0" w:type="dxa"/>
          <w:right w:w="0" w:type="dxa"/>
        </w:tblCellMar>
      </w:tblPr>
      <w:tblGrid>
        <w:gridCol w:w="89"/>
        <w:gridCol w:w="200"/>
        <w:gridCol w:w="9916"/>
      </w:tblGrid>
      <w:tr>
        <w:trPr/>
        <w:tc>
          <w:tcPr>
            <w:tcW w:w="89"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1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$88,500 (March 31, 2012 - $80,100) in management, consulting and directors ‘fees and $33,000 (March 31, 2011 - $22,500) in research and development services paid or accrued to officers and directors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8" w:name="hangingindent3"/>
      <w:bookmarkStart w:id="189" w:name="hangingindent3"/>
      <w:bookmarkEnd w:id="189"/>
    </w:p>
    <w:tbl>
      <w:tblPr>
        <w:tblW w:w="5000" w:type="pct"/>
        <w:jc w:val="center"/>
        <w:tblInd w:w="0" w:type="dxa"/>
        <w:tblCellMar>
          <w:top w:w="0" w:type="dxa"/>
          <w:left w:w="0" w:type="dxa"/>
          <w:bottom w:w="0" w:type="dxa"/>
          <w:right w:w="0" w:type="dxa"/>
        </w:tblCellMar>
      </w:tblPr>
      <w:tblGrid>
        <w:gridCol w:w="94"/>
        <w:gridCol w:w="220"/>
        <w:gridCol w:w="9891"/>
      </w:tblGrid>
      <w:tr>
        <w:trPr/>
        <w:tc>
          <w:tcPr>
            <w:tcW w:w="94" w:type="dxa"/>
            <w:tcBorders/>
            <w:shd w:fill="auto" w:val="clear"/>
          </w:tcPr>
          <w:p>
            <w:pPr>
              <w:pStyle w:val="TableContents"/>
              <w:spacing w:before="0" w:after="0"/>
              <w:rPr/>
            </w:pPr>
            <w:r>
              <w:rPr/>
              <w:t xml:space="preserve">  </w:t>
            </w:r>
          </w:p>
        </w:tc>
        <w:tc>
          <w:tcPr>
            <w:tcW w:w="2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$25,643 (March 31, 2012 - $29,562) in stock based compensation for the fair value of options granted to management and consultants that were granted and or vested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0" w:name="hangingindent4"/>
      <w:bookmarkStart w:id="191" w:name="hangingindent4"/>
      <w:bookmarkEnd w:id="191"/>
    </w:p>
    <w:tbl>
      <w:tblPr>
        <w:tblW w:w="5000" w:type="pct"/>
        <w:jc w:val="center"/>
        <w:tblInd w:w="0" w:type="dxa"/>
        <w:tblCellMar>
          <w:top w:w="0" w:type="dxa"/>
          <w:left w:w="0" w:type="dxa"/>
          <w:bottom w:w="0" w:type="dxa"/>
          <w:right w:w="0" w:type="dxa"/>
        </w:tblCellMar>
      </w:tblPr>
      <w:tblGrid>
        <w:gridCol w:w="118"/>
        <w:gridCol w:w="229"/>
        <w:gridCol w:w="9858"/>
      </w:tblGrid>
      <w:tr>
        <w:trPr/>
        <w:tc>
          <w:tcPr>
            <w:tcW w:w="118" w:type="dxa"/>
            <w:tcBorders/>
            <w:shd w:fill="auto" w:val="clear"/>
          </w:tcPr>
          <w:p>
            <w:pPr>
              <w:pStyle w:val="TableContents"/>
              <w:spacing w:before="0" w:after="0"/>
              <w:rPr/>
            </w:pPr>
            <w:r>
              <w:rPr/>
              <w:t xml:space="preserve">  </w:t>
            </w:r>
          </w:p>
        </w:tc>
        <w:tc>
          <w:tcPr>
            <w:tcW w:w="22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85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converted $nil (March 31, 2012 - $50,000) of debt due to related parties during the period, which were settled with shares.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92" w:name="hangingindent5"/>
      <w:bookmarkStart w:id="193" w:name="hangingindent5"/>
      <w:bookmarkEnd w:id="193"/>
    </w:p>
    <w:tbl>
      <w:tblPr>
        <w:tblW w:w="5000" w:type="pct"/>
        <w:jc w:val="center"/>
        <w:tblInd w:w="0" w:type="dxa"/>
        <w:tblCellMar>
          <w:top w:w="0" w:type="dxa"/>
          <w:left w:w="0" w:type="dxa"/>
          <w:bottom w:w="0" w:type="dxa"/>
          <w:right w:w="0" w:type="dxa"/>
        </w:tblCellMar>
      </w:tblPr>
      <w:tblGrid>
        <w:gridCol w:w="114"/>
        <w:gridCol w:w="240"/>
        <w:gridCol w:w="9851"/>
      </w:tblGrid>
      <w:tr>
        <w:trPr/>
        <w:tc>
          <w:tcPr>
            <w:tcW w:w="114" w:type="dxa"/>
            <w:tcBorders/>
            <w:shd w:fill="auto" w:val="clear"/>
          </w:tcPr>
          <w:p>
            <w:pPr>
              <w:pStyle w:val="TableContents"/>
              <w:spacing w:before="0" w:after="0"/>
              <w:rPr/>
            </w:pPr>
            <w:r>
              <w:rPr/>
              <w:t xml:space="preserve">  </w:t>
            </w:r>
          </w:p>
        </w:tc>
        <w:tc>
          <w:tcPr>
            <w:tcW w:w="2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5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converted $567,729 (2012 - $nil) of payable into convertible notes to officers, consultant and a director of the Company (Note 5).</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the Company had amounts owing to directors, consultants and officers of $762,574 (December 31, 2012 - $373,345). Amounts due to related parties are unsecured, non-interest bearing and have no specific terms of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9:</w:t>
      </w:r>
      <w:r>
        <w:rPr>
          <w:rFonts w:ascii="Times New Roman" w:hAnsi="Times New Roman"/>
          <w:b/>
          <w:sz w:val="20"/>
        </w:rPr>
        <w:t>                 </w:t>
      </w:r>
      <w:r>
        <w:rPr>
          <w:rFonts w:ascii="Times New Roman" w:hAnsi="Times New Roman"/>
          <w:b/>
          <w:sz w:val="20"/>
          <w:u w:val="single"/>
        </w:rPr>
        <w:t>CAPITAL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Share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for the transactions described above.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2013 Share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2013, the Company issued 231,332 shares of its restricted common stock for conversion of one of the two November 1, 2012 Notes (Note 5) at a conversion price of $.0662 per share. The fair value of the shares was determined to be $36,550 based on the quoted market price of $0.158 per share. The Company recorded $21,230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250,000 common shares to a consultant pursuant to a consulting agreement. The fair value of the shares was determined to be $28,925 based on the quoted market price of $0.116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1,898,588 common shares on a cashless conversion of 3,000,000 warrants at an exercise price of $0.0572. The fair value of the shares was determined to be $246,816 based on the quoted market price of $0.13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2013, the Company issued 100,000 common shares to a consultant pursuant to a consulting agreement. The fair value of the shares was determined to be $10,010 based on the quoted market price of $0.1001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20"/>
      <w:bookmarkStart w:id="195" w:name="PGBRK20"/>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20"/>
      <w:bookmarkStart w:id="197" w:name="FTR20"/>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8" w:name="GLFTR20"/>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20"/>
      <w:bookmarkEnd w:id="199"/>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20"/>
      <w:bookmarkStart w:id="201" w:name="HDR20"/>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2" w:name="GLHDR20"/>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and March 2013, the Company received subscription proceeds of $242,950. The subscribers purchased 3,470,709 share units at $0.07 per unit. Each unit consists of one share of Company’s common stock and one warrant exercisable at $0.07, which expires in two years. The fair value of these warrants was determined to be $245,000.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March 31, 2013, the Company issued 3,176,334 shares of its restricted common stock for conversion of December 14, 2012 Note (Note 5) at a conversion price of $.0603 per share. The fair value of the shares was determined to be $404,849 based on the average quoted market price of $0.1245 per share. The Company recorded $213,316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March 31, 2013, the Company issued 992,063 shares of its restricted common stock for partial conversion of September 18, 2012 Note (Note 5) at an average conversion price of $.0695 per share. The fair value of the shares was determined to be $125,179 based on the average quoted market price of $0.1228 per share. The Company recorded $55,179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March 31, 2013, the Company issued 1,050,000 shares of its restricted common stock for partial conversion of August 8, 2012 Note (Note 5) at an average conversion price of $.0681 per share. The fair value of the shares was determined to be $110,700 based on the average quoted market price of $0.1063 per share. The Company recorded $39,160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2012 Share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2012, the Company issued 333,334 shares of its restricted common stock to related parties, pursuant to debt settlement agreements to settle $50,000 of outstanding trade payable. At the time of issuance the fair value of the shares was determined to be $50,000 based on the quoted market price of $0.15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2012, the Company issued 400,000 shares of its restricted common stock pursuant to a debt settlement and a consulting agreement. At the time of issuance the fair value of the shares was determined to be $71,200 based on the quoted market price of $0.15 per share. The Company recorded $9,930 as gain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15, 2012, the Company issued 789,778 shares of its restricted common stock in settlement of accrued interest on the outstanding 2011 Notes. At the time of issuance the fair value of the shares was determined to be $118,467 based on the quoted market price of $0.15 per share. No gain or loss was recorded on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received subscription proceeds of $85,000. The subscribers purchased 733,334 share units at $0.15 per unit. Each unit consists of 1 share of Company’s common stock and half a warrant exercisable at $0.40, which expires in two years. The fair value of these warrants was determined to be $5,133.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received subscription proceeds of $345,000. The subscribers purchased 2,300,000 share units at $0.15 per unit. Each unit consists of 1 share of Company’s common stock and half a warrant exercisable at $0.40, which expires in two years. The fair value of these warrants was determined to be $123,000.</w:t>
      </w:r>
    </w:p>
    <w:p>
      <w:pPr>
        <w:pStyle w:val="TextBody"/>
        <w:spacing w:before="0" w:after="0"/>
        <w:ind w:left="0" w:right="0" w:hanging="0"/>
        <w:jc w:val="left"/>
        <w:rPr>
          <w:rFonts w:ascii="Times New Roman" w:hAnsi="Times New Roman"/>
          <w:sz w:val="20"/>
        </w:rPr>
      </w:pPr>
      <w:r>
        <w:rPr>
          <w:rFonts w:ascii="Times New Roman" w:hAnsi="Times New Roman"/>
          <w:sz w:val="20"/>
        </w:rPr>
        <w:t>In April, 2012, the Company issued 100,000 shares of its restricted common stock pursuant to a debt settlement and a consulting agreement. At the time of issuance the fair value of the shares was determined to be $18,500 based on the quoted market price of $0.185 per share. The Company recorded $18,758 as gain on settlement.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April 2012, the Company issued 933,333 restricted common shares, at $0.15 per share, for proceeds of $140,000 received in October 2011, in a private placement.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issued 1,000,000 common shares to a consultant pursuant to a consulting agreement effective October 1,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issued 163,334 shares of its restricted common stock in settlement of accrued interest on the outstanding 2011 Notes. At the time of issuance the fair value of the shares was determined to be $24,500 based on the quoted market price of $0.15 per share. No gain or loss was recorded on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2012, the Company issued 14,000,000 common shares to consultants pursuant to a consulting agreement (Note 12). At the time of issuance the fair value of the shares was determined to be $1,918,000 based on the quoted market price of $0.137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June 2012, the Company issued 35,179 shares of its restricted common stock pursuant to a consulting agreement. The fair value of the shares was determined to be $6,000 based on the quoted market price of $0.17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2012, the Company issued 500,000 shares of its restricted common stock pursuant to a consulting agreement. The fair value of the shares was determined to be $74,000 based on the quoted market price of $0.148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September 2012, the Company issued 500,000 shares of its restricted common stock to the holder of a promissory note in exchange for the note holder’s agreement to forebear from pursuing collection action on that note (Note 7). The fair value of the shares was determined to be $72,750 based on the quoted market price of $0.146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21"/>
      <w:bookmarkStart w:id="204" w:name="PGBRK21"/>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FTR21"/>
      <w:bookmarkStart w:id="206" w:name="FTR21"/>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7" w:name="GLFTR21"/>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8" w:name="PN21"/>
      <w:bookmarkEnd w:id="208"/>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HDR21"/>
      <w:bookmarkStart w:id="210" w:name="HDR21"/>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1" w:name="GLHDR21"/>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2012, the Company issued 437,063 shares of its restricted common stock on election by the holder to convert part of a convertible debt (Note 5) at a conversion price of $.0572 per share. The fair value of the shares was determined to be $55,944 based on the quoted market price of $0.128 per share. The Company recorded $30,944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2012, the Company issued 597,185 shares of its restricted common stock on election by the holder to convert part of a convertible debt (Note 5) at a conversion price of $.0586 per share. The fair value of the shares was determined to be $63,003 based on the quoted market price of $0.106 per share. The Company recorded $28,003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November 2012, the Company issued 228,479 shares of its restricted common stock on election by the holder to convert part of a convertible debt (Note 5) at a conversion price of $.0601 per share. The fair value of the shares was determined to be $21,591 based on the quoted market price of $0.095 per share. The Company recorded $7,854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2012, the Company issued 1,078,477 shares of its restricted common stock as payment of installment of $65,032 for a convertible debt (Note 5) at a conversion price of $.0603 per share. The fair value of the shares was determined to be $96,523 based on the quoted market price of $0.09 per share. The Company recorded $31,491 as loss on settlement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Stock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30, 2012, the Company granted 250,000 stock options to a management at an exercise price of $0.18 per share, vesting monthly over thirty six month period. The aggregate fair value of the grant was estimated at $45,000, or $0.18 per option, using the Black-Scholes Option Pricing Model with weighted average assumptions as follows: a risk free interest rate of 1.95%, a dividend yield of 0%, an expected volatility of 199.0%, and an expected life of 10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8, 2012, the Company granted 250,000 stock options to a consultant at an exercise price of $0.17 per share, vesting monthly over twelve month period. The aggregate fair value of the grant was estimated at $40,000, or $0.17 per option, using the Black-Scholes Option Pricing Model with weighted average assumptions as follows: a risk free interest rate of 1.71%, a dividend yield of 0%, an expected volatility of 199.0%, and an expected life of 10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expensed portion of the value of the vesting options during the three months ended March 31, 2013 was $29,894 (March 31, 2012 - $43,482) which was recorded as stock based consulting and management fees. During the period, stock-based consulting and management fees also includes share based compensation.</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Share purchase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March 31, 2013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54"/>
        <w:gridCol w:w="113"/>
        <w:gridCol w:w="113"/>
        <w:gridCol w:w="1216"/>
        <w:gridCol w:w="126"/>
        <w:gridCol w:w="113"/>
        <w:gridCol w:w="201"/>
        <w:gridCol w:w="1072"/>
        <w:gridCol w:w="113"/>
        <w:gridCol w:w="113"/>
        <w:gridCol w:w="153"/>
        <w:gridCol w:w="1185"/>
        <w:gridCol w:w="133"/>
      </w:tblGrid>
      <w:tr>
        <w:trPr/>
        <w:tc>
          <w:tcPr>
            <w:tcW w:w="5554"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2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6"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7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3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29" w:type="dxa"/>
            <w:gridSpan w:val="2"/>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73"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338" w:type="dxa"/>
            <w:gridSpan w:val="2"/>
            <w:tcBorders/>
            <w:shd w:fill="auto" w:val="clear"/>
            <w:tcMar>
              <w:top w:w="0" w:type="dxa"/>
              <w:bottom w:w="0" w:type="dxa"/>
            </w:tcMar>
            <w:vAlign w:val="bottom"/>
          </w:tcPr>
          <w:p>
            <w:pPr>
              <w:pStyle w:val="TableContents"/>
              <w:spacing w:before="0" w:after="283"/>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2011</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6,278,000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1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2012</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6,528,000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Cancelled/Forfeited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16"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20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5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5"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5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March 31, 2013</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1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6,528,000</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20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5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8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5.80</w:t>
            </w:r>
          </w:p>
        </w:tc>
        <w:tc>
          <w:tcPr>
            <w:tcW w:w="13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the intrinsic value of the vested options was equal to $nil (December 31, 2012 - $nil).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December 31, 2012 is presented below: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22"/>
      <w:bookmarkStart w:id="213" w:name="PGBRK22"/>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22"/>
      <w:bookmarkStart w:id="215" w:name="FTR22"/>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 w:name="GLFTR22"/>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7" w:name="PN22"/>
      <w:bookmarkEnd w:id="217"/>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HDR22"/>
      <w:bookmarkStart w:id="219" w:name="HDR22"/>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0" w:name="GLHDR22"/>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28" w:type="dxa"/>
          <w:left w:w="0" w:type="dxa"/>
          <w:bottom w:w="28" w:type="dxa"/>
          <w:right w:w="0" w:type="dxa"/>
        </w:tblCellMar>
      </w:tblPr>
      <w:tblGrid>
        <w:gridCol w:w="6940"/>
        <w:gridCol w:w="121"/>
        <w:gridCol w:w="121"/>
        <w:gridCol w:w="1228"/>
        <w:gridCol w:w="133"/>
        <w:gridCol w:w="121"/>
        <w:gridCol w:w="225"/>
        <w:gridCol w:w="1181"/>
        <w:gridCol w:w="135"/>
      </w:tblGrid>
      <w:tr>
        <w:trPr/>
        <w:tc>
          <w:tcPr>
            <w:tcW w:w="694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34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40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349" w:type="dxa"/>
            <w:gridSpan w:val="2"/>
            <w:tcBorders/>
            <w:shd w:fill="auto" w:val="clear"/>
            <w:tcMar>
              <w:top w:w="0" w:type="dxa"/>
              <w:bottom w:w="0" w:type="dxa"/>
            </w:tcMar>
            <w:vAlign w:val="bottom"/>
          </w:tcPr>
          <w:p>
            <w:pPr>
              <w:pStyle w:val="TableContents"/>
              <w:spacing w:before="0" w:after="283"/>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1406" w:type="dxa"/>
            <w:gridSpan w:val="2"/>
            <w:tcBorders/>
            <w:shd w:fill="auto" w:val="clear"/>
            <w:tcMar>
              <w:top w:w="0" w:type="dxa"/>
              <w:bottom w:w="0" w:type="dxa"/>
            </w:tcMar>
            <w:vAlign w:val="bottom"/>
          </w:tcPr>
          <w:p>
            <w:pPr>
              <w:pStyle w:val="TableContents"/>
              <w:spacing w:before="0" w:after="283"/>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2012</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379,575</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Granted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shd w:fill="auto" w:val="clear"/>
            <w:tcMar>
              <w:top w:w="0" w:type="dxa"/>
              <w:bottom w:w="0" w:type="dxa"/>
            </w:tcMar>
            <w:vAlign w:val="bottom"/>
          </w:tcPr>
          <w:p>
            <w:pPr>
              <w:pStyle w:val="TableContents"/>
              <w:spacing w:before="0" w:after="283"/>
              <w:jc w:val="left"/>
              <w:rPr/>
            </w:pPr>
            <w:r>
              <w:rPr/>
              <w:t> </w:t>
            </w:r>
          </w:p>
        </w:tc>
        <w:tc>
          <w:tcPr>
            <w:tcW w:w="11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(171,336</w:t>
            </w:r>
          </w:p>
        </w:tc>
        <w:tc>
          <w:tcPr>
            <w:tcW w:w="13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shd w:fill="auto" w:val="clear"/>
            <w:tcMar>
              <w:top w:w="0" w:type="dxa"/>
              <w:bottom w:w="0" w:type="dxa"/>
            </w:tcMar>
            <w:vAlign w:val="bottom"/>
          </w:tcPr>
          <w:p>
            <w:pPr>
              <w:pStyle w:val="TableContents"/>
              <w:spacing w:before="0" w:after="283"/>
              <w:jc w:val="left"/>
              <w:rPr/>
            </w:pPr>
            <w:r>
              <w:rPr/>
              <w:t> </w:t>
            </w:r>
          </w:p>
        </w:tc>
        <w:tc>
          <w:tcPr>
            <w:tcW w:w="11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28" w:type="dxa"/>
            <w:tcBorders/>
            <w:shd w:fill="auto" w:val="clear"/>
            <w:tcMar>
              <w:top w:w="0" w:type="dxa"/>
              <w:bottom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225" w:type="dxa"/>
            <w:tcBorders/>
            <w:shd w:fill="auto" w:val="clear"/>
            <w:tcMar>
              <w:top w:w="0" w:type="dxa"/>
              <w:bottom w:w="0" w:type="dxa"/>
            </w:tcMar>
            <w:vAlign w:val="bottom"/>
          </w:tcPr>
          <w:p>
            <w:pPr>
              <w:pStyle w:val="TableContents"/>
              <w:spacing w:before="0" w:after="283"/>
              <w:jc w:val="left"/>
              <w:rPr/>
            </w:pPr>
            <w:r>
              <w:rPr/>
              <w:t> </w:t>
            </w:r>
          </w:p>
        </w:tc>
        <w:tc>
          <w:tcPr>
            <w:tcW w:w="1181" w:type="dxa"/>
            <w:tcBorders/>
            <w:shd w:fill="auto" w:val="clear"/>
            <w:tcMar>
              <w:top w:w="0" w:type="dxa"/>
              <w:bottom w:w="0" w:type="dxa"/>
            </w:tcMar>
            <w:vAlign w:val="bottom"/>
          </w:tcPr>
          <w:p>
            <w:pPr>
              <w:pStyle w:val="TableContents"/>
              <w:spacing w:before="0" w:after="283"/>
              <w:jc w:val="right"/>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94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March 31, 2013</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208,239</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35"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Share Purchase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2012, the Company issued 366,668 share purchase warrants to acquire an equivalent number of common shares of the Company, at an exercise price of $0.40 per share for an exercise period of up to two years from the issuance date. The warrants were issued pursuant to the private placement of $110,000 and included within equity. The fair value of these warrants was determined to be $5,133, using the Black-Scholes Option Pricing Model with an expected life of 2 years, a risk free interest rate of 0.37%, a dividend yield of 0%, and an expected volatility of 63%.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issued 1,150,000 share purchase warrants to acquire an equivalent number of common shares of the Company, at an exercise price of $0.40 per share for an exercise period of up to two years from the issuance date. The warrants were issued pursuant to a private placement and included within equity. The fair value of these warrants was determined to be $123,000, using the Black-Scholes Option Pricing Model with an expected life of 2 years, a risk free interest rate of 0.27%, a dividend yield of 0%, and an expected volatility of 146.6%.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October, 2012, the Company issued 3,000,000 share purchase warrants to acquire an equivalent number of common shares of the Company, at an exercise price of $0.25 per share for an exercise period of up to four years from the issuance date. The warrants were issued pursuant to a convertible debt with price adjustment features. The residual fair value of these warrants was determined to be $300,000 and recognized as a derivative liability.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2012, the Company issued 1,000,000 share purchase warrants to acquire an equivalent number of common shares of the Company, at an exercise price of $0.10 per share for an exercise period of up to five years from the issuance date. The warrants were issued pursuant to a private placement and included within equity. The fair value of these warrants was determined to be $178,000, using the Black-Scholes Option Pricing Model with an expected life of 5 years, a risk free interest rate of 0.87%, a dividend yield of 0%, and an expected volatility of 199.0%.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2013, the Company issued 3,470,709 share purchase warrants to acquire an equivalent number of common shares of the Company, at an exercise price of $0.07 per share for an exercise period of up to two years from the issuance date. The warrants were issued pursuant to a private placement and included within equity. The fair value of these warrants was determined to be $245,000, using the Black-Scholes Option Pricing Model with an expected life of 2 years, a risk free interest rate of 0.24%, a dividend yield of 0%, and an expected volatility of 131.02%.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share purchase warrants as of March 31, 2013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20"/>
        <w:gridCol w:w="112"/>
        <w:gridCol w:w="112"/>
        <w:gridCol w:w="1277"/>
        <w:gridCol w:w="125"/>
        <w:gridCol w:w="112"/>
        <w:gridCol w:w="203"/>
        <w:gridCol w:w="1060"/>
        <w:gridCol w:w="112"/>
        <w:gridCol w:w="112"/>
        <w:gridCol w:w="154"/>
        <w:gridCol w:w="1177"/>
        <w:gridCol w:w="129"/>
      </w:tblGrid>
      <w:tr>
        <w:trPr/>
        <w:tc>
          <w:tcPr>
            <w:tcW w:w="552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8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26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2"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3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29"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283"/>
              <w:rPr/>
            </w:pPr>
            <w:r>
              <w:rPr/>
              <w:t xml:space="preserve">  </w:t>
            </w:r>
          </w:p>
        </w:tc>
        <w:tc>
          <w:tcPr>
            <w:tcW w:w="112" w:type="dxa"/>
            <w:tcBorders/>
            <w:shd w:fill="auto" w:val="clear"/>
            <w:tcMar>
              <w:top w:w="0" w:type="dxa"/>
              <w:bottom w:w="0" w:type="dxa"/>
            </w:tcMar>
            <w:vAlign w:val="bottom"/>
          </w:tcPr>
          <w:p>
            <w:pPr>
              <w:pStyle w:val="TableContents"/>
              <w:spacing w:before="0" w:after="283"/>
              <w:rPr/>
            </w:pPr>
            <w:r>
              <w:rPr/>
              <w:t> </w:t>
            </w:r>
          </w:p>
        </w:tc>
        <w:tc>
          <w:tcPr>
            <w:tcW w:w="1389"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63" w:type="dxa"/>
            <w:gridSpan w:val="2"/>
            <w:tcBorders/>
            <w:shd w:fill="auto" w:val="clear"/>
            <w:tcMar>
              <w:top w:w="0" w:type="dxa"/>
              <w:bottom w:w="0" w:type="dxa"/>
            </w:tcMar>
            <w:vAlign w:val="bottom"/>
          </w:tcPr>
          <w:p>
            <w:pPr>
              <w:pStyle w:val="TableContents"/>
              <w:spacing w:before="0" w:after="283"/>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331" w:type="dxa"/>
            <w:gridSpan w:val="2"/>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2011</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12,106,355</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5,516,668</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Exercised, cancelled or expired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(714,400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2012</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16,908,623</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3,470,709</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Exercised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(1,898,588</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6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Extinguished or expired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(1,950,000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tcMar>
              <w:top w:w="0" w:type="dxa"/>
              <w:bottom w:w="0" w:type="dxa"/>
            </w:tcMar>
            <w:vAlign w:val="bottom"/>
          </w:tcPr>
          <w:p>
            <w:pPr>
              <w:pStyle w:val="TableContents"/>
              <w:spacing w:before="0" w:after="283"/>
              <w:jc w:val="left"/>
              <w:rPr/>
            </w:pPr>
            <w:r>
              <w:rPr/>
              <w:t> </w:t>
            </w:r>
          </w:p>
        </w:tc>
      </w:tr>
      <w:tr>
        <w:trPr/>
        <w:tc>
          <w:tcPr>
            <w:tcW w:w="552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March 31, 2013</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7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16,530,744</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5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7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9"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23"/>
      <w:bookmarkStart w:id="222" w:name="PGBRK23"/>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FTR23"/>
      <w:bookmarkStart w:id="224" w:name="FTR23"/>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5" w:name="GLFTR23"/>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6" w:name="PN23"/>
      <w:bookmarkEnd w:id="22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23"/>
      <w:bookmarkStart w:id="228" w:name="HDR23"/>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9" w:name="GLHDR23"/>
      <w:bookmarkEnd w:id="2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10:</w:t>
      </w:r>
      <w:r>
        <w:rPr>
          <w:rFonts w:ascii="Times New Roman" w:hAnsi="Times New Roman"/>
          <w:b/>
          <w:sz w:val="20"/>
        </w:rPr>
        <w:t>                      </w:t>
      </w:r>
      <w:r>
        <w:rPr>
          <w:rFonts w:ascii="Times New Roman" w:hAnsi="Times New Roman"/>
          <w:b/>
          <w:sz w:val="20"/>
          <w:u w:val="single"/>
        </w:rPr>
        <w:t>SUPPLEMENTAL CASH FLOW INFORMATION AND NON-CASH INVESTING AND FINANCING ACTIVITIES</w:t>
      </w:r>
    </w:p>
    <w:p>
      <w:pPr>
        <w:pStyle w:val="TextBody"/>
        <w:ind w:left="0" w:right="0" w:hanging="0"/>
        <w:rPr>
          <w:b/>
          <w:u w:val="single"/>
        </w:rPr>
      </w:pPr>
      <w:r>
        <w:rPr>
          <w:b/>
          <w:u w:val="single"/>
        </w:rPr>
      </w:r>
    </w:p>
    <w:tbl>
      <w:tblPr>
        <w:tblW w:w="5000" w:type="pct"/>
        <w:jc w:val="left"/>
        <w:tblInd w:w="0" w:type="dxa"/>
        <w:tblCellMar>
          <w:top w:w="0" w:type="dxa"/>
          <w:left w:w="0" w:type="dxa"/>
          <w:bottom w:w="0" w:type="dxa"/>
          <w:right w:w="0" w:type="dxa"/>
        </w:tblCellMar>
      </w:tblPr>
      <w:tblGrid>
        <w:gridCol w:w="7396"/>
        <w:gridCol w:w="109"/>
        <w:gridCol w:w="127"/>
        <w:gridCol w:w="1074"/>
        <w:gridCol w:w="109"/>
        <w:gridCol w:w="109"/>
        <w:gridCol w:w="127"/>
        <w:gridCol w:w="1033"/>
        <w:gridCol w:w="121"/>
      </w:tblGrid>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left"/>
              <w:rPr/>
            </w:pPr>
            <w:r>
              <w:rPr/>
              <w:t> </w:t>
            </w:r>
          </w:p>
        </w:tc>
        <w:tc>
          <w:tcPr>
            <w:tcW w:w="25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March 31, 2013</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left"/>
              <w:rPr/>
            </w:pPr>
            <w:r>
              <w:rPr/>
              <w:t> </w:t>
            </w:r>
          </w:p>
        </w:tc>
        <w:tc>
          <w:tcPr>
            <w:tcW w:w="12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Shares/warrants</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01"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consulting angements</w:t>
            </w:r>
          </w:p>
        </w:tc>
        <w:tc>
          <w:tcPr>
            <w:tcW w:w="10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38,935</w:t>
            </w:r>
          </w:p>
        </w:tc>
        <w:tc>
          <w:tcPr>
            <w:tcW w:w="121" w:type="dxa"/>
            <w:tcBorders/>
            <w:shd w:fill="auto" w:val="clear"/>
            <w:vAlign w:val="bottom"/>
          </w:tcPr>
          <w:p>
            <w:pPr>
              <w:pStyle w:val="TableContents"/>
              <w:spacing w:before="0" w:after="283"/>
              <w:jc w:val="left"/>
              <w:rPr/>
            </w:pPr>
            <w:r>
              <w:rPr/>
              <w:t> </w:t>
            </w:r>
          </w:p>
        </w:tc>
      </w:tr>
      <w:tr>
        <w:trPr/>
        <w:tc>
          <w:tcPr>
            <w:tcW w:w="739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notes conversion</w:t>
            </w:r>
          </w:p>
        </w:tc>
        <w:tc>
          <w:tcPr>
            <w:tcW w:w="109"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7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5,476,848</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3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348,845</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left"/>
              <w:rPr/>
            </w:pPr>
            <w:r>
              <w:rPr/>
              <w:t> </w:t>
            </w:r>
          </w:p>
        </w:tc>
        <w:tc>
          <w:tcPr>
            <w:tcW w:w="25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March 31, 2012</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left"/>
              <w:rPr/>
            </w:pPr>
            <w:r>
              <w:rPr/>
              <w:t> </w:t>
            </w:r>
          </w:p>
        </w:tc>
        <w:tc>
          <w:tcPr>
            <w:tcW w:w="12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Shares/warrants</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issued pursuant to debt settlement agreements</w:t>
            </w:r>
          </w:p>
        </w:tc>
        <w:tc>
          <w:tcPr>
            <w:tcW w:w="109"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7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1,363,112</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211,187</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See Notes 5 and 9 for additional disclosure on non-cash transactions.</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left"/>
              <w:rPr/>
            </w:pPr>
            <w:r>
              <w:rPr/>
              <w:t> </w:t>
            </w:r>
          </w:p>
        </w:tc>
        <w:tc>
          <w:tcPr>
            <w:tcW w:w="1201" w:type="dxa"/>
            <w:gridSpan w:val="2"/>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Period Ended March 31,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2012</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 in cash</w:t>
            </w:r>
          </w:p>
        </w:tc>
        <w:tc>
          <w:tcPr>
            <w:tcW w:w="10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vAlign w:val="bottom"/>
          </w:tcPr>
          <w:p>
            <w:pPr>
              <w:pStyle w:val="TableContents"/>
              <w:spacing w:before="0" w:after="283"/>
              <w:jc w:val="left"/>
              <w:rPr/>
            </w:pPr>
            <w:r>
              <w:rPr/>
              <w:t> </w:t>
            </w:r>
          </w:p>
        </w:tc>
      </w:tr>
      <w:tr>
        <w:trPr/>
        <w:tc>
          <w:tcPr>
            <w:tcW w:w="739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09"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vAlign w:val="bottom"/>
          </w:tcPr>
          <w:p>
            <w:pPr>
              <w:pStyle w:val="TableContents"/>
              <w:spacing w:before="0" w:after="283"/>
              <w:jc w:val="left"/>
              <w:rPr/>
            </w:pPr>
            <w:r>
              <w:rPr/>
              <w:t> </w:t>
            </w:r>
          </w:p>
        </w:tc>
      </w:tr>
      <w:tr>
        <w:trPr/>
        <w:tc>
          <w:tcPr>
            <w:tcW w:w="7396"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03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bl>
    <w:p>
      <w:pPr>
        <w:pStyle w:val="TextBody"/>
        <w:spacing w:before="0" w:after="0"/>
        <w:jc w:val="left"/>
        <w:rPr>
          <w:u w:val="single"/>
        </w:rPr>
      </w:pPr>
      <w:r>
        <w:rPr>
          <w:u w:val="single"/>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11:</w:t>
      </w:r>
      <w:r>
        <w:rPr>
          <w:rFonts w:ascii="Times New Roman" w:hAnsi="Times New Roman"/>
          <w:b/>
          <w:sz w:val="20"/>
        </w:rPr>
        <w:t>               </w:t>
      </w:r>
      <w:r>
        <w:rPr>
          <w:rFonts w:ascii="Times New Roman" w:hAnsi="Times New Roman"/>
          <w:b/>
          <w:sz w:val="20"/>
          <w:u w:val="single"/>
        </w:rPr>
        <w:t>CONTINGENCIES AND COMMITMENTS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Contingencies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Tax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(Note 10),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Commitments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Combined Research and Operating Obligations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agreed that, during the period of the option and upon approval of FDA to conduct Phase I Trials, will pay all the costs incurred by the Mayo Clinic, not to exceed a total of $841,000, of which, $618,823 has been accrued as of March 31, 2013. Both Parties agree that within 30 days after the Mayo Clinic informs the Company in writing about the receipt of FDA approval, the parties shall enter into an a formal research agreement. Management anticipates that Phase 1 Trials will begin in the second quarter of 2013. An initial payment of $250,000 will be required within 30 days of receiving notice from the Mayo Clinic that the Phase 1 Trial will commence.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0" w:name="PGBRK24"/>
      <w:bookmarkStart w:id="231" w:name="PGBRK24"/>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FTR24"/>
      <w:bookmarkStart w:id="233" w:name="FTR24"/>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4" w:name="GLFTR24"/>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5" w:name="PN24"/>
      <w:bookmarkEnd w:id="235"/>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HDR24"/>
      <w:bookmarkStart w:id="237" w:name="HDR24"/>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8" w:name="GLHDR24"/>
      <w:bookmarkEnd w:id="2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Management Services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at $0.19 per share, 50% of which vested on March 16, 2011, while the remainder will vest monthly over a period of two years (41,667 per month). The options shall be exercisable for at least five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Consultant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entered into an investors’ relation consulting agreement for a one year term, with a one-time right to terminate the agreement at its six month anniversary. The consulting agreement provides for the Company to issue 620,690 shares to the consultant and a monthly payment of $7,500.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April 2012, the Company entered into financial consulting service agreements, which included compensation of 14,000,000 shares of common stock, whereby the Company agreed to issue additional shares to the consultants to restore their holdings to 24.8% of fully diluted capitalization of the Company if the Company completes a re-organization, re-capitalization or a liquidity event during the eighteen months commencing with the signing of these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2012, the Company entered into a one year consulting services agreement superseding the previous management consulting agreement with Mr. Corin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250,000 options to Mr. Corin, vesting equally over twelve months at an exercise price of $0.17 with a ten year 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Rental Lease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Company entered into a lease agreement, to start in January 2012 for a two year period. The Company will pay a monthly basic rent of $7,152 and additional rent for operating costs of 2.20% of total operating expenses of the property.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research and consulting agreements through December 31, 2014. The aggregate minimum annual payments for the years ending December 31 are as follows:</w:t>
      </w:r>
    </w:p>
    <w:p>
      <w:pPr>
        <w:pStyle w:val="TextBody"/>
        <w:spacing w:before="0" w:after="0"/>
        <w:ind w:left="0" w:right="0" w:hanging="0"/>
        <w:rPr/>
      </w:pPr>
      <w:r>
        <w:rPr/>
        <w:t> </w:t>
      </w:r>
    </w:p>
    <w:tbl>
      <w:tblPr>
        <w:tblW w:w="2500" w:type="pct"/>
        <w:jc w:val="center"/>
        <w:tblInd w:w="0" w:type="dxa"/>
        <w:tblCellMar>
          <w:top w:w="0" w:type="dxa"/>
          <w:left w:w="0" w:type="dxa"/>
          <w:bottom w:w="0" w:type="dxa"/>
          <w:right w:w="0" w:type="dxa"/>
        </w:tblCellMar>
      </w:tblPr>
      <w:tblGrid>
        <w:gridCol w:w="3755"/>
        <w:gridCol w:w="104"/>
        <w:gridCol w:w="129"/>
        <w:gridCol w:w="1001"/>
        <w:gridCol w:w="113"/>
      </w:tblGrid>
      <w:tr>
        <w:trPr/>
        <w:tc>
          <w:tcPr>
            <w:tcW w:w="3755" w:type="dxa"/>
            <w:tcBorders/>
            <w:shd w:fill="auto" w:val="clear"/>
            <w:vAlign w:val="bottom"/>
          </w:tcPr>
          <w:p>
            <w:pPr>
              <w:pStyle w:val="TableContents"/>
              <w:spacing w:before="0" w:after="0"/>
              <w:jc w:val="left"/>
              <w:rPr/>
            </w:pPr>
            <w:r>
              <w:rPr/>
              <w:t>2013</w:t>
            </w:r>
          </w:p>
        </w:tc>
        <w:tc>
          <w:tcPr>
            <w:tcW w:w="104" w:type="dxa"/>
            <w:tcBorders/>
            <w:shd w:fill="auto" w:val="clear"/>
            <w:vAlign w:val="bottom"/>
          </w:tcPr>
          <w:p>
            <w:pPr>
              <w:pStyle w:val="TableContents"/>
              <w:spacing w:before="0" w:after="283"/>
              <w:jc w:val="left"/>
              <w:rPr/>
            </w:pPr>
            <w:r>
              <w:rPr/>
              <w:t> </w:t>
            </w:r>
          </w:p>
        </w:tc>
        <w:tc>
          <w:tcPr>
            <w:tcW w:w="1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638,316</w:t>
            </w:r>
          </w:p>
        </w:tc>
        <w:tc>
          <w:tcPr>
            <w:tcW w:w="113"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0"/>
              <w:jc w:val="left"/>
              <w:rPr/>
            </w:pPr>
            <w:r>
              <w:rPr/>
              <w:t>2014</w:t>
            </w:r>
          </w:p>
        </w:tc>
        <w:tc>
          <w:tcPr>
            <w:tcW w:w="104" w:type="dxa"/>
            <w:tcBorders/>
            <w:shd w:fill="auto" w:val="clear"/>
            <w:vAlign w:val="bottom"/>
          </w:tcPr>
          <w:p>
            <w:pPr>
              <w:pStyle w:val="TableContents"/>
              <w:spacing w:before="0" w:after="283"/>
              <w:jc w:val="left"/>
              <w:rPr/>
            </w:pPr>
            <w:r>
              <w:rPr/>
              <w:t> </w:t>
            </w:r>
          </w:p>
        </w:tc>
        <w:tc>
          <w:tcPr>
            <w:tcW w:w="12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22,284</w:t>
            </w:r>
          </w:p>
        </w:tc>
        <w:tc>
          <w:tcPr>
            <w:tcW w:w="113" w:type="dxa"/>
            <w:tcBorders/>
            <w:shd w:fill="auto" w:val="clear"/>
            <w:vAlign w:val="bottom"/>
          </w:tcPr>
          <w:p>
            <w:pPr>
              <w:pStyle w:val="TableContents"/>
              <w:spacing w:before="0" w:after="283"/>
              <w:jc w:val="left"/>
              <w:rPr/>
            </w:pPr>
            <w:r>
              <w:rPr/>
              <w:t> </w:t>
            </w:r>
          </w:p>
        </w:tc>
      </w:tr>
      <w:tr>
        <w:trPr/>
        <w:tc>
          <w:tcPr>
            <w:tcW w:w="3755"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jc w:val="left"/>
              <w:rPr/>
            </w:pPr>
            <w:r>
              <w:rPr/>
              <w:t> </w:t>
            </w:r>
          </w:p>
        </w:tc>
        <w:tc>
          <w:tcPr>
            <w:tcW w:w="129"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660,599</w:t>
            </w:r>
          </w:p>
        </w:tc>
        <w:tc>
          <w:tcPr>
            <w:tcW w:w="113" w:type="dxa"/>
            <w:tcBorders/>
            <w:shd w:fill="auto" w:val="clear"/>
            <w:vAlign w:val="bottom"/>
          </w:tcPr>
          <w:p>
            <w:pPr>
              <w:pStyle w:val="TableContents"/>
              <w:spacing w:before="0" w:after="283"/>
              <w:jc w:val="left"/>
              <w:rPr/>
            </w:pPr>
            <w:r>
              <w:rPr/>
              <w:t> </w:t>
            </w:r>
          </w:p>
        </w:tc>
      </w:tr>
    </w:tbl>
    <w:p>
      <w:pPr>
        <w:pStyle w:val="TextBody"/>
        <w:spacing w:before="0" w:after="0"/>
        <w:rPr/>
      </w:pPr>
      <w:r>
        <w:rPr/>
        <w:br/>
        <w:t> </w:t>
      </w:r>
      <w:r>
        <w:rPr>
          <w:rFonts w:ascii="Times New Roman" w:hAnsi="Times New Roman"/>
          <w:sz w:val="20"/>
        </w:rPr>
        <w:t>Refer to Note 13 Subsequent Events.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12:</w:t>
      </w:r>
      <w:r>
        <w:rPr>
          <w:rFonts w:ascii="Times New Roman" w:hAnsi="Times New Roman"/>
          <w:b/>
          <w:sz w:val="20"/>
        </w:rPr>
        <w:t>               </w:t>
      </w:r>
      <w:r>
        <w:rPr>
          <w:rFonts w:ascii="Times New Roman" w:hAnsi="Times New Roman"/>
          <w:b/>
          <w:sz w:val="20"/>
          <w:u w:val="single"/>
        </w:rPr>
        <w:t>ACCOUNTS PAYABLE AND ACCRUED LIABILITIES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Accounts Payable and Accrued Liabilities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99"/>
        <w:gridCol w:w="116"/>
        <w:gridCol w:w="172"/>
        <w:gridCol w:w="1204"/>
        <w:gridCol w:w="116"/>
        <w:gridCol w:w="116"/>
        <w:gridCol w:w="149"/>
        <w:gridCol w:w="1203"/>
        <w:gridCol w:w="130"/>
      </w:tblGrid>
      <w:tr>
        <w:trPr/>
        <w:tc>
          <w:tcPr>
            <w:tcW w:w="6999" w:type="dxa"/>
            <w:tcBorders/>
            <w:shd w:fill="auto" w:val="clear"/>
            <w:vAlign w:val="bottom"/>
          </w:tcPr>
          <w:p>
            <w:pPr>
              <w:pStyle w:val="TableContents"/>
              <w:spacing w:before="0" w:after="283"/>
              <w:jc w:val="left"/>
              <w:rPr/>
            </w:pPr>
            <w:r>
              <w:rPr/>
              <w:t xml:space="preserve">  </w:t>
            </w:r>
          </w:p>
        </w:tc>
        <w:tc>
          <w:tcPr>
            <w:tcW w:w="116" w:type="dxa"/>
            <w:tcBorders/>
            <w:shd w:fill="auto" w:val="clear"/>
            <w:vAlign w:val="bottom"/>
          </w:tcPr>
          <w:p>
            <w:pPr>
              <w:pStyle w:val="TableContents"/>
              <w:spacing w:before="0" w:after="283"/>
              <w:jc w:val="left"/>
              <w:rPr/>
            </w:pPr>
            <w:r>
              <w:rPr/>
              <w:t> </w:t>
            </w:r>
          </w:p>
        </w:tc>
        <w:tc>
          <w:tcPr>
            <w:tcW w:w="1376" w:type="dxa"/>
            <w:gridSpan w:val="2"/>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2013</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352" w:type="dxa"/>
            <w:gridSpan w:val="2"/>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December 31, 2012</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1376"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352"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283"/>
              <w:jc w:val="left"/>
              <w:rPr/>
            </w:pPr>
            <w:r>
              <w:rPr/>
              <w:t xml:space="preserve">  </w:t>
            </w:r>
          </w:p>
        </w:tc>
        <w:tc>
          <w:tcPr>
            <w:tcW w:w="116" w:type="dxa"/>
            <w:tcBorders/>
            <w:shd w:fill="auto" w:val="clear"/>
            <w:vAlign w:val="bottom"/>
          </w:tcPr>
          <w:p>
            <w:pPr>
              <w:pStyle w:val="TableContents"/>
              <w:spacing w:before="0" w:after="283"/>
              <w:jc w:val="left"/>
              <w:rPr/>
            </w:pPr>
            <w:r>
              <w:rPr/>
              <w:t> </w:t>
            </w:r>
          </w:p>
        </w:tc>
        <w:tc>
          <w:tcPr>
            <w:tcW w:w="1376" w:type="dxa"/>
            <w:gridSpan w:val="2"/>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352" w:type="dxa"/>
            <w:gridSpan w:val="2"/>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0"/>
              <w:ind w:left="0" w:right="0" w:hanging="0"/>
              <w:jc w:val="left"/>
              <w:rPr/>
            </w:pPr>
            <w:r>
              <w:rPr/>
              <w:t> </w:t>
            </w:r>
            <w:r>
              <w:rPr>
                <w:rFonts w:ascii="times new roman" w:hAnsi="times new roman"/>
                <w:sz w:val="20"/>
              </w:rPr>
              <w:t>Trade accounts payable</w:t>
            </w:r>
          </w:p>
        </w:tc>
        <w:tc>
          <w:tcPr>
            <w:tcW w:w="116"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1,459,469</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4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1,663,315</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0"/>
              <w:ind w:left="0" w:right="0" w:hanging="0"/>
              <w:jc w:val="left"/>
              <w:rPr/>
            </w:pPr>
            <w:r>
              <w:rPr/>
              <w:t> </w:t>
            </w:r>
            <w:r>
              <w:rPr>
                <w:rFonts w:ascii="times new roman" w:hAnsi="times new roman"/>
                <w:sz w:val="20"/>
              </w:rPr>
              <w:t>Accrued liabilities</w:t>
            </w:r>
          </w:p>
        </w:tc>
        <w:tc>
          <w:tcPr>
            <w:tcW w:w="116"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pPr>
            <w:r>
              <w:rPr/>
              <w:t> </w:t>
            </w:r>
          </w:p>
        </w:tc>
        <w:tc>
          <w:tcPr>
            <w:tcW w:w="12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183,245</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49" w:type="dxa"/>
            <w:tcBorders/>
            <w:shd w:fill="auto" w:val="clear"/>
            <w:vAlign w:val="bottom"/>
          </w:tcPr>
          <w:p>
            <w:pPr>
              <w:pStyle w:val="TableContents"/>
              <w:spacing w:before="0" w:after="283"/>
              <w:jc w:val="left"/>
              <w:rPr/>
            </w:pPr>
            <w:r>
              <w:rPr/>
              <w:t> </w:t>
            </w:r>
          </w:p>
        </w:tc>
        <w:tc>
          <w:tcPr>
            <w:tcW w:w="12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242,245</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0"/>
              <w:ind w:left="0" w:right="0" w:hanging="0"/>
              <w:jc w:val="left"/>
              <w:rPr/>
            </w:pPr>
            <w:r>
              <w:rPr/>
              <w:t> </w:t>
            </w:r>
            <w:r>
              <w:rPr>
                <w:rFonts w:ascii="times new roman" w:hAnsi="times new roman"/>
                <w:sz w:val="20"/>
              </w:rPr>
              <w:t>Employee payroll</w:t>
            </w:r>
          </w:p>
        </w:tc>
        <w:tc>
          <w:tcPr>
            <w:tcW w:w="116"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pPr>
            <w:r>
              <w:rPr/>
              <w:t> </w:t>
            </w:r>
          </w:p>
        </w:tc>
        <w:tc>
          <w:tcPr>
            <w:tcW w:w="12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132,916</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49" w:type="dxa"/>
            <w:tcBorders/>
            <w:shd w:fill="auto" w:val="clear"/>
            <w:vAlign w:val="bottom"/>
          </w:tcPr>
          <w:p>
            <w:pPr>
              <w:pStyle w:val="TableContents"/>
              <w:spacing w:before="0" w:after="283"/>
              <w:jc w:val="left"/>
              <w:rPr/>
            </w:pPr>
            <w:r>
              <w:rPr/>
              <w:t> </w:t>
            </w:r>
          </w:p>
        </w:tc>
        <w:tc>
          <w:tcPr>
            <w:tcW w:w="12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61,458</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0"/>
              <w:ind w:left="0" w:right="0" w:hanging="0"/>
              <w:jc w:val="left"/>
              <w:rPr/>
            </w:pPr>
            <w:r>
              <w:rPr/>
              <w:t> </w:t>
            </w:r>
            <w:r>
              <w:rPr>
                <w:rFonts w:ascii="times new roman" w:hAnsi="times new roman"/>
                <w:sz w:val="20"/>
              </w:rPr>
              <w:t>Accrued interest</w:t>
            </w:r>
          </w:p>
        </w:tc>
        <w:tc>
          <w:tcPr>
            <w:tcW w:w="116"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pPr>
            <w:r>
              <w:rPr/>
              <w:t> </w:t>
            </w:r>
          </w:p>
        </w:tc>
        <w:tc>
          <w:tcPr>
            <w:tcW w:w="12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122,833</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49" w:type="dxa"/>
            <w:tcBorders/>
            <w:shd w:fill="auto" w:val="clear"/>
            <w:vAlign w:val="bottom"/>
          </w:tcPr>
          <w:p>
            <w:pPr>
              <w:pStyle w:val="TableContents"/>
              <w:spacing w:before="0" w:after="283"/>
              <w:jc w:val="left"/>
              <w:rPr/>
            </w:pPr>
            <w:r>
              <w:rPr/>
              <w:t> </w:t>
            </w:r>
          </w:p>
        </w:tc>
        <w:tc>
          <w:tcPr>
            <w:tcW w:w="12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74,698</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jc w:val="left"/>
              <w:rPr/>
            </w:pPr>
            <w:r>
              <w:rPr/>
              <w:t> </w:t>
            </w:r>
          </w:p>
        </w:tc>
        <w:tc>
          <w:tcPr>
            <w:tcW w:w="17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20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1,898,463</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jc w:val="left"/>
              <w:rPr/>
            </w:pPr>
            <w:r>
              <w:rPr/>
              <w:t> </w:t>
            </w:r>
          </w:p>
        </w:tc>
        <w:tc>
          <w:tcPr>
            <w:tcW w:w="149"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2,041,716</w:t>
            </w:r>
          </w:p>
        </w:tc>
        <w:tc>
          <w:tcPr>
            <w:tcW w:w="130" w:type="dxa"/>
            <w:tcBorders/>
            <w:shd w:fill="auto" w:val="clear"/>
            <w:vAlign w:val="bottom"/>
          </w:tcPr>
          <w:p>
            <w:pPr>
              <w:pStyle w:val="TableContents"/>
              <w:spacing w:before="0" w:after="283"/>
              <w:jc w:val="left"/>
              <w:rPr/>
            </w:pPr>
            <w:r>
              <w:rPr/>
              <w:t> </w:t>
            </w:r>
          </w:p>
        </w:tc>
      </w:tr>
      <w:tr>
        <w:trPr/>
        <w:tc>
          <w:tcPr>
            <w:tcW w:w="6999" w:type="dxa"/>
            <w:tcBorders/>
            <w:shd w:fill="auto" w:val="clear"/>
            <w:vAlign w:val="bottom"/>
          </w:tcPr>
          <w:p>
            <w:pPr>
              <w:pStyle w:val="TableContents"/>
              <w:spacing w:before="0" w:after="283"/>
              <w:rPr/>
            </w:pPr>
            <w:r>
              <w:rPr/>
              <w:t xml:space="preserve">  </w:t>
            </w:r>
          </w:p>
        </w:tc>
        <w:tc>
          <w:tcPr>
            <w:tcW w:w="11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left"/>
              <w:rPr/>
            </w:pPr>
            <w:r>
              <w:rPr/>
              <w:t> </w:t>
            </w:r>
          </w:p>
        </w:tc>
        <w:tc>
          <w:tcPr>
            <w:tcW w:w="1204" w:type="dxa"/>
            <w:tcBorders/>
            <w:shd w:fill="auto" w:val="clear"/>
            <w:vAlign w:val="bottom"/>
          </w:tcPr>
          <w:p>
            <w:pPr>
              <w:pStyle w:val="TableContents"/>
              <w:spacing w:before="0" w:after="283"/>
              <w:jc w:val="right"/>
              <w:rPr/>
            </w:pPr>
            <w:r>
              <w:rPr/>
              <w:t> </w:t>
            </w:r>
          </w:p>
        </w:tc>
        <w:tc>
          <w:tcPr>
            <w:tcW w:w="116" w:type="dxa"/>
            <w:tcBorders/>
            <w:shd w:fill="auto" w:val="clear"/>
            <w:vAlign w:val="bottom"/>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1203" w:type="dxa"/>
            <w:tcBorders/>
            <w:shd w:fill="auto" w:val="clear"/>
            <w:vAlign w:val="bottom"/>
          </w:tcPr>
          <w:p>
            <w:pPr>
              <w:pStyle w:val="TableContents"/>
              <w:spacing w:before="0" w:after="283"/>
              <w:jc w:val="right"/>
              <w:rPr/>
            </w:pPr>
            <w:r>
              <w:rPr/>
              <w:t> </w:t>
            </w:r>
          </w:p>
        </w:tc>
        <w:tc>
          <w:tcPr>
            <w:tcW w:w="130"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 w:name="PGBRK25"/>
      <w:bookmarkStart w:id="240" w:name="PGBRK25"/>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FTR25"/>
      <w:bookmarkStart w:id="242" w:name="FTR25"/>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3" w:name="GLFTR25"/>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4" w:name="PN25"/>
      <w:bookmarkEnd w:id="244"/>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 w:name="HDR25"/>
      <w:bookmarkStart w:id="246" w:name="HDR25"/>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7" w:name="GLHDR25"/>
      <w:bookmarkEnd w:id="2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13:</w:t>
      </w:r>
      <w:r>
        <w:rPr>
          <w:rFonts w:ascii="Times New Roman" w:hAnsi="Times New Roman"/>
          <w:b/>
          <w:sz w:val="20"/>
        </w:rPr>
        <w:t>            </w:t>
      </w:r>
      <w:r>
        <w:rPr>
          <w:rFonts w:ascii="Times New Roman" w:hAnsi="Times New Roman"/>
          <w:b/>
          <w:sz w:val="20"/>
          <w:u w:val="single"/>
        </w:rPr>
        <w:t>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in default of the secured notes issued in February 2011. No second year amortization payments have been made to the holders as of the anniversary of the notes in February 2013 and April 2013. Interest charges will be accrued at 20% per year. The note holders have not made any demands other than the interest rate penalty and are in discussions with the Company to resolve the matter.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in default of the October 2012 note to a note holder due to the late filing of its annual report. Concurrent with the filing, this default will be cured. The lender has not made any claims under their default provisions and management is working closely with them to mitigate or negate any such claims.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2013, the Company recovered 2,800,000 of 14,000,000 common shares issued to a consultant during the year ended December 31, 2012, under a settlement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should be read in conjunction with our unaudited consolidated interim financial statements and related notes for the three Months Ended  March 31, 2013 included in this quarterly report, as well as our Annual Report on Form 10-K for the year ended December 31,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Taplmmune Inc.</w:t>
      </w:r>
      <w:r>
        <w:rPr>
          <w:rFonts w:ascii="Times New Roman" w:hAnsi="Times New Roman"/>
          <w:sz w:val="20"/>
        </w:rPr>
        <w:t xml:space="preserve"> is a vaccine technologies company specializing in the development of innovative gene based immunotherapeutics and vaccines in the areas of oncology and infectious disease. The Company's lead product candidates, include vaccines designed to restore and augment antigen presentation and subsequent recognition and killing of cancer cells by the immune system. The Company recently began treating patients in its first Phase 1 immunotherapy clinical trial targeting HER2/neu in breast cancer at the Mayo clinic (see Clinicaltrials.gov). This trial uses patented antigen technologies developed at the Mayo clinic and will follow patients for safety and immune responses as the primary endpoints. During the first year of this trial there will be a safety review interim analysis. TapImmune has the exclusive Option to license this technology. The Company is also developing TAP-based prophylactic vaccines commercially suitable for the prevention of infectious diseases and as Biodefense agents. We have applied for a grant in collaboration with the Mayo Clinic for the biodefense applications of this technology in and expect to file additional grants to support preclinical work on “boost” strategies for HER2/neu breast cancer. As a vaccine component, the gene based TAP technology has the potential to significantly improve the efficacy of both prophylactic and immunotherapeutic vaccines as it addresses a fundamental mechanism for T cell recognition and response.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breast cancer immunotherapeutic vaccine candidate is being developed for use in this setting as an adjuvant treatment to prevent recurrent disease.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strongly believes that the comprehensive scientific underpinnings of our overall approach, to elicit the production of both T-helper cells and T-killer cells, will provide the Company with highly competitive product candidates for the treatment of HER2/neu positive breast cancer with additional applications in ovarian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we entered into a Material Transfer Agreement with the Fred Hutchinson Cancer Research Center (“FHCRC”), Seattle, WA. The initial aim of this collaboration is to determine levels of TAP1/TAP2 in tissues taken from melanoma patients in a clinical trial at FHCRC using adoptive T-cell therapy and to correlate these levels with clinical outcomes.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8" w:name="PGBRK26"/>
      <w:bookmarkStart w:id="249" w:name="PGBRK26"/>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 w:name="FTR26"/>
      <w:bookmarkStart w:id="251" w:name="FTR26"/>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2" w:name="GLFTR26"/>
      <w:bookmarkEnd w:id="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3" w:name="PN26"/>
      <w:bookmarkEnd w:id="253"/>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HDR26"/>
      <w:bookmarkStart w:id="255" w:name="HDR26"/>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6" w:name="GLHDR26"/>
      <w:bookmarkEnd w:id="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Regarding our programs for the development of vaccines aimed at viral pandemics/biodefense, we believe that collaborations with the Mayo Clinic have progressed well and studies on the immunogenicity of novel smallpox antigens in mice treated with both antigens and TAP expression vectors are ongoing.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facilities at 1551 Eastlake Avenue, Seattle have exceeded our expectations and allowed us to continue to recruit top-class scientific staff while at the same time effectively leverage world class resources made available to us and manage our cash flow. We have added technical staff in the areas of molecular biology and immunology. Our small core team (7 scientists) has allowed us to establish in-house technical expertise in molecular biology (expression vector development) and immunology to underpin our current and future development projects and to optimally work with external collaborators.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to add to our core TAP IP and the antigen IP from the Mayo Clinic that we have either licensed or have exclusive options to license.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past few months we have, in a challenging financing climate, raised sufficient working capital to fund and progress our operations.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The Immunotherapy Industry for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7" w:name="PGBRK27"/>
      <w:bookmarkStart w:id="258" w:name="PGBRK27"/>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FTR27"/>
      <w:bookmarkStart w:id="260" w:name="FTR27"/>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1" w:name="GLFTR27"/>
      <w:bookmarkEnd w:id="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2" w:name="PN27"/>
      <w:bookmarkEnd w:id="262"/>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HDR27"/>
      <w:bookmarkStart w:id="264" w:name="HDR27"/>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5" w:name="GLHDR27"/>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TapImmune’s Target Market Strategy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plan to focus our resources on the progression of products in our lead oncology indication, HER2/neu positive breast cancer. We will support and expand on our key infectious disease partnerships, including our collaboration efforts with the Mayo Clinic and others using grants. We have applied for a grant in collaboration with the Mayo Clinic to progress our smallpox program and extend it to additional emerging viral threats..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Vaccines continue to be the success story for pharmaceutical companies, with the world market for preventative vaccines totaling $22.1 billion in 2009, up from $19 billion in 2008, according to healthcare market research publisher Kalorama Information. Kalorama’s new report, Vaccines 2010. World Market Analysis, Key Players, and Critical Trends in a Fast-Changing Industry, notes that the worldwide vaccine market is predicted to increase at a compound annual rate of 9.7% during the next five years, as new product introductions continue and the use of current products expands further (http://www.kaloramainformation.com/Vaccines-Key-Players-2684026). Our targeting of the HER2/neu antigen provides commercial opportunities in breast, ovarian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USA, the second leading cause of death by illness is cancer. The current estimates for cancer treatments such as chemotherapy represent approximately a US$7 billion market. The National Cancer Institute expects cancer to be the leading cause of death in the USA within 5 years. Cancer vaccines will become a major player in the vaccine market. According to the report Cancer Vaccines Markets, (http://www.pharmaceutical-market research.com/publications/diseases_conditions/cancer/cancer_vaccines_markets.html) cancer vaccines have the potential to become a significant force in future cancer treatments. The approval of two immunotherapy products, Dendreon’s Provenge® in 2010 for advanced prostate cancer, and Bristol Myers Squibb’s Yervoy® in 2011 together with several late-stage clinical programs has generated renewed interest and support for this type of cancer immune therapy.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relatively new commercial market for cancer vaccines is poised to dramatically increase to over $7 billion by 2015.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be a catalyst in the development of new vaccines and will serve to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global market for vaccines is dominated by five companies—Merck, GlaxoSmithKline, Sanofi Pasteur (the vaccines division of Sanofi SA [SNY-NYSE]), Pfizer Inc. (PFE-NYSE),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our TAP Platform technology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Research and Development Efforts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We will also rely on our new collaboration agreements with Mayo clinic to demonstrate the use of TAP in new vaccine candidates. In parallel with our viral vector approach we plan to develop non-viral vectors for the delivery of plasmid DNA.</w:t>
      </w:r>
    </w:p>
    <w:p>
      <w:pPr>
        <w:pStyle w:val="TextBody"/>
        <w:spacing w:before="0" w:after="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6" w:name="PGBRK28"/>
      <w:bookmarkStart w:id="267" w:name="PGBRK28"/>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FTR28"/>
      <w:bookmarkStart w:id="269" w:name="FTR28"/>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0" w:name="GLFTR28"/>
      <w:bookmarkEnd w:id="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1" w:name="PN28"/>
      <w:bookmarkEnd w:id="271"/>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HDR28"/>
      <w:bookmarkStart w:id="273" w:name="HDR28"/>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4" w:name="GLHDR28"/>
      <w:bookmarkEnd w:id="2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Products and Technology in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Based on earlier research at UBC Biomedical Research Centre in Vancouver BC, our overall objective is to successfully develop the patented TAP gene vector technology to restore the TAP protein, with the objective being to develop the TAP technology as a therapeutic cancer vaccine that will restore the normal immune recognition of cancer cells. A TAP Cancer Vaccine will be targeted at those cancers that are deficient in the TAP protein, which include breast cancer, prostate cancer, lung cancer, liver cancer, melanoma, renal cancer and colorectal cancer. TAP gene vectors will be used clinically in concert with proprietary antigen technologies in a “Prime and Boost” strategy. In our HER2/neu breast cancer program, which has started at the Mayo Clinic, proprietary HER2/neu antigens licensed from the Mayo Clinic will be used as the “Prime” and a TAP gene vector also containing antigens will be used as the “Boost”.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a vaccine approach a TAP gene vector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A TAP Cancer Vaccine could allow the immune response to respond to the cancer even if the TAP protein and genetic information were only delivered to a small portion of the cancer cells. In addition, a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Laboratory Testing of the 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key milestones of efficacy in animal models of cancer have been achieved and that scientific research from other laboratories has validated the efficacy data. The proof of principle for the TAP technology as a cancer vaccine has been established in research conducted at UBC in metastatic models that have multiple defects in the “antigen presentation pathway” resulting in poor detection of cancer cells by the immune system. These studies demonstrating that introduction of the TAP gene can restore an immune response have been published in a number of peer-reviewed leading scientific journals (links to publications can be found at www.tapimmune.com). We plan to conduct additional pre-clinical work on novel expression vectors that can express both TAP proteins and peptide antigens.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Pre-Clinical Testing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5" w:name="PGBRK29"/>
      <w:bookmarkStart w:id="276" w:name="PGBRK29"/>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FTR29"/>
      <w:bookmarkStart w:id="278" w:name="FTR29"/>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9" w:name="GLFTR29"/>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0" w:name="PN29"/>
      <w:bookmarkEnd w:id="280"/>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 w:name="HDR29"/>
      <w:bookmarkStart w:id="282" w:name="HDR29"/>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3" w:name="GLHDR29"/>
      <w:bookmarkEnd w:id="2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i/>
          <w:sz w:val="20"/>
          <w:u w:val="single"/>
        </w:rPr>
        <w:t xml:space="preserve">Phase I Human Clinical Trials– </w:t>
      </w:r>
      <w:r>
        <w:rPr>
          <w:rFonts w:ascii="Times New Roman" w:hAnsi="Times New Roman"/>
          <w:b/>
          <w:sz w:val="20"/>
          <w:u w:val="single"/>
        </w:rPr>
        <w:t>HER2/neu Vaccine Technology – Mayo Clinic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 2010, we signed an exclusive licensing option agreement with the Mayo Clinic, Rochester MN for clinical development of a new HER2/neu breast cancer vaccine technology. An IND for Phase I human clinical trials on the HER2/neu cancer vaccine in collaboration with the Mayo Clinic was allowed by the FDA in July, 2011 and the Mayo IRB approved the trial on May 4 2012. Patient dosing has started, and interim safety analysis on the first five patients is complete and was successful. The trial is ongoing and we expect to be able to release interim data in the next few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primary endpoint for this trial will be vaccine safety. Secondary endpoints will be immune responses including generation of antigen-specific T-cells and time to disease progression in breast cancer patients. As this trial progresses, we plan to add the Class I peptide, licensed from the Mayo Clinic to the four Class II peptides as an extension of the Phase I clinical trial. In parallel, we will complete the manufacturing and toxicity of vector delivered Tap1/2 for subsequent Phase I human clinical trials and for use in combination in later stage clinical trials with the HER2/neu antigens as part of a “Prime and Boost” strategy. On April 16, 2012 we announced the licensing of a novel HER2/neu Class I antigen from the Mayo Clinic and are currently evaluating the clinical pathway to include this in our current “Prime and Boost” strategy. Management believes that the combination of Class I and Class II HER2/neu antigens plus TAP gives us the leading HER2/neu vaccine platform.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For immunotherapeutics/vaccine, Phase I studies are conducted in cancer patients and include the measurement of cellular immune responses.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Infectious Disease Application for “TAP” Adjuvant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We believe our collaborations with the Mayo Clinic is evidence of this and we will continue to pursue additional partnerships and collaborations as a key strategy to expand our research and development (R&amp;D) program to optimize resources and to reduce costs and development times. In our collaboration with the Mayo Clinic, efficacy studies in small animals on a novel smallpox vaccine that includes TAP, were initiated in 2011 and are progressing on schedule. The subsequent regulatory pathway for this product is to use the FDA’s “Animal Efficacy Rule” for completion of efficacy studies in primates followed by Phase I clinical studies on vaccine safety.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of funding our current Phase I clinical program in HER2/neu breast cancer at the Mayo Clinic is approximately $850,000 and is mostly paid off as this report. We anticipate that on-going preclinical studies and Phase I studies on our TAP expression vectors will cost approximately $5million. 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Strategic Relationships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Mayo Foundation for Medical Education and Research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Following approval of the IND by the FDA in July, 2011, TapImmune and the Mayo Foundation executed a Sponsored Research Agreement for the clinical trial.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2012, Mayo IRB approval was confirmed and patient dosing is expected to start in June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4" w:name="PGBRK30"/>
      <w:bookmarkStart w:id="285" w:name="PGBRK30"/>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FTR30"/>
      <w:bookmarkStart w:id="287" w:name="FTR30"/>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8" w:name="GLFTR30"/>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9" w:name="PN30"/>
      <w:bookmarkEnd w:id="289"/>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HDR30"/>
      <w:bookmarkStart w:id="291" w:name="HDR30"/>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2" w:name="GLHDR30"/>
      <w:bookmarkEnd w:id="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Intellectual Property, Patents and Trademarks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3" w:name="PGBRK31"/>
      <w:bookmarkStart w:id="294" w:name="PGBRK31"/>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FTR31"/>
      <w:bookmarkStart w:id="296" w:name="FTR31"/>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7" w:name="GLFTR31"/>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8" w:name="PN31"/>
      <w:bookmarkEnd w:id="298"/>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HDR31"/>
      <w:bookmarkStart w:id="300" w:name="HDR31"/>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1" w:name="GLHDR31"/>
      <w:bookmarkEnd w:id="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27, 2011 The US Patent Office has issued Patent 7,994,146 entitled “Method of Enhancing an Immune Response”. The invention relates to a method of enhancing an immune response to an antigen by augmenting the level of TAP (Transporters Associated with Antigen Processing) molecule in a target cell bearing the antigen. This patent details application to treating vaccinia, herpes simplex and influenza virus infections and small cell lung cancer. Levels of TAP in humans correlate with susceptibility to certain diseases and the ability to respond to a vaccine.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intend to continue to work with our collaborators to file additional patent applications with respect to any novel aspects of our technology to further protect our intellectual property portfolio. An invention that describes the use of bio-acceptable substances to promote the transcription of the TAP-1 gene in TAP-1 expression-deficient cells was filed in July 2009 and was available to us under an option agreement with the University of British Columbia. The patent is entitled “HAT acetylation promoters and uses of compositions thereof in promoting immunogenicity”. The Company will not pursue this technology or continue to prosecute this additional patent and has released its option back to the University of British Columbia.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Competition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While management believes that we have a unique platform technology approach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following companies, which are developing various types of similar immunotherapies and therapeutic cancer vaccines to treat cancer, could be our major competitors: CellGenSys Inc., Dendreon Corp., Galena, Immune Design, Immunocellular, Oncothyreon, Celldex, BN Immunotherapeutics, and Transgene S.A.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Our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next 12 months, we anticipate that we will not generate any sales revenue but may receive grant funding. We had cash of $4,436 and a working capital deficit of $5,388,793 at March 31, 2013. We will require significant additional financial resources and will be dependent on future financings to fund our ongoing research and development as well as other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Plan of Operation and Funding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vaccine component, the gene based TAP technology has the potential to significantly improve the efficacy of both prophylactic and immunotherapeutic vaccines as it addresses a fundamental mechanism for T cell recognition and response. We believe that,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 Therefore, we envisage establishing multiple collaborative partnerships as we progress gene-based TAP development and research in the clinic. The exploitation of this key mechanism is highlighted by two collaborations with the Mayo Clinic in Rochester, MN and their progress in 2012 and Q1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our recent personnel additions, our moving into a state of the art facility, our exclusive Licensing Option agreements with the Mayo Clinic in Rochester, Minnesota, the start of term Phase 1 clinical trials, together with and subject to raising adequate funding, the Company will be well positioned for significant growth in 2013.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2" w:name="PGBRK32"/>
      <w:bookmarkStart w:id="303" w:name="PGBRK32"/>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FTR32"/>
      <w:bookmarkStart w:id="305" w:name="FTR32"/>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6" w:name="GLFTR32"/>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7" w:name="PN32"/>
      <w:bookmarkEnd w:id="307"/>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HDR32"/>
      <w:bookmarkStart w:id="309" w:name="HDR32"/>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0" w:name="GLHDR32"/>
      <w:bookmarkEnd w:id="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2011, the FDA allowed an IND (Investigational New Drug application) and the Company signed a sponsored research agreement with the Mayo Clinic for a Phase 1 Her2neu Breast Cancer Clinical Trial, which started in the first quarter of 2012. The trial will use a patented technology developed at the Mayo clinic. TapImmune has the exclusive Option to license this technology. Recent clinical trials of Her2neu vaccines have shown considerable promise but have significant room for improvements, and the technology we are evaluating in our phase I clinical trial offers a vaccine with broader coverage, making it applicable to a much larger population of women with breast cancer. We anticipate that this technology will be used therapeutically together with our TAP expression technology as it reaches clinical development in combination with the improved Her2neu targeted vaccine.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Gene-based TAP vaccines also have the potential to significantly improve the efficacy of prophylactic vaccines for viral pandemics and as agents for biodefense. In a novel approach to the development of a smallpox vaccine, in our collaboration with the Mayo Clinic, research studies have progressed well and are now testing unique and patentable smallpox antigens in combination with TAP technology. Once these feasibility studies are complete we would move to larger preclinical animal studies, and Phase I safety trials. This study will also act as a platform for more extensive use of gene-based TAP vectors for biodefense. We will be seeking non-dilutive avenues to finance and advance this program by way of biodefense focused grants and contracts. We have the exclusive option to license the patented Mayo technology that is derived from this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(Dendreon NASD: DNDN) for prostate cancer and Yervoy™ (BMS) for metastatic melanoma, anticipation of the results from Phase III trials on MAGE-3 (GSK) for treatment of lung cancer, and progression of approaches for multiple cancer indications through Phase II and into Phase III.</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TapImmune is well positioned to be a leading player in this emerging market. It is important to note that the late stage immunotherapies in development do not necessarily represent competition to our programs, but rather offer us opportunities as our TAP expression technology is potentially synergistic with many other vaccine approaches. The addition of a TAP expression vector to patients already receiving a therapeutic vaccine could enhance the efficacy of these vaccines, as TAP is designed to help killer T-cells kill tumor cells. This concept of enhancing the effector stage of an immune response differentiates TAP technology from a wide list of immunotherapies currently in development, and offers a great opportunity for collaborations and partnerships. Accordingly we believe that the use of TAP expression vectors represents the next logical step in the development of more effective immunotherapies.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2012 and Q1 2013, we continued to made significant progress with very few resources. Progress in developing vectors for expression of antigens and TAP as a boost strategy has led to new intellectual property that we intend to file in the second quarter of 2013. On the technology and product pipeline side, management believes that the company is fundamentally strong and poised to be a leading company in a highly attractive and expanding market.</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Results of Operations</w:t>
      </w:r>
    </w:p>
    <w:p>
      <w:pPr>
        <w:pStyle w:val="TextBody"/>
        <w:spacing w:before="0" w:after="0"/>
        <w:ind w:left="0" w:right="0" w:hanging="0"/>
        <w:jc w:val="both"/>
        <w:rPr>
          <w:rFonts w:ascii="Times New Roman" w:hAnsi="Times New Roman"/>
          <w:sz w:val="20"/>
        </w:rPr>
      </w:pPr>
      <w:r>
        <w:rPr>
          <w:rFonts w:ascii="Times New Roman" w:hAnsi="Times New Roman"/>
          <w:sz w:val="20"/>
        </w:rPr>
        <w:t>In this discussion of the Company’s results of operations and financial condition, amounts, other than per-share amounts, have been rounded to the nearest thousand dollars.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this Amendment No. 1, we have restated the amounts in our three months results of operations and financial condition, where applicable.</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Three Months Ended March 31, 2013 Compared to Three Months Ended March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$441,000 during the three months ended March 31, 2013 compared to $599,000 for the three months ended March 31, 2012.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1" w:name="PGBRK33"/>
      <w:bookmarkStart w:id="312" w:name="PGBRK33"/>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FTR33"/>
      <w:bookmarkStart w:id="314" w:name="FTR33"/>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5" w:name="GLFTR33"/>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6" w:name="PN33"/>
      <w:bookmarkEnd w:id="316"/>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7" w:name="HDR33"/>
      <w:bookmarkStart w:id="318" w:name="HDR33"/>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9" w:name="GLHDR33"/>
      <w:bookmarkEnd w:id="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$1,115,000 during the three months ended March 31, 2013 compared to $672,000 in the prior period. Significant changes in operating expenses are outlined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20" w:name="hangingindent6"/>
      <w:bookmarkStart w:id="321" w:name="hangingindent6"/>
      <w:bookmarkEnd w:id="321"/>
    </w:p>
    <w:tbl>
      <w:tblPr>
        <w:tblW w:w="5000" w:type="pct"/>
        <w:jc w:val="center"/>
        <w:tblInd w:w="0" w:type="dxa"/>
        <w:tblCellMar>
          <w:top w:w="0" w:type="dxa"/>
          <w:left w:w="0" w:type="dxa"/>
          <w:bottom w:w="0" w:type="dxa"/>
          <w:right w:w="0" w:type="dxa"/>
        </w:tblCellMar>
      </w:tblPr>
      <w:tblGrid>
        <w:gridCol w:w="98"/>
        <w:gridCol w:w="95"/>
        <w:gridCol w:w="10012"/>
      </w:tblGrid>
      <w:tr>
        <w:trPr/>
        <w:tc>
          <w:tcPr>
            <w:tcW w:w="9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increased to $30,000 during the three months ended March 31, 2013 from $nil during the prior period, due to a new consulting agreement entered into in April 2012.</w:t>
            </w:r>
          </w:p>
        </w:tc>
      </w:tr>
    </w:tbl>
    <w:p>
      <w:pPr>
        <w:pStyle w:val="Normal"/>
        <w:spacing w:before="0" w:after="0"/>
        <w:rPr>
          <w:sz w:val="4"/>
          <w:szCs w:val="4"/>
        </w:rPr>
      </w:pPr>
      <w:r>
        <w:rPr>
          <w:sz w:val="4"/>
          <w:szCs w:val="4"/>
        </w:rPr>
      </w:r>
      <w:bookmarkStart w:id="322" w:name="hangingindent7"/>
      <w:bookmarkStart w:id="323" w:name="hangingindent7"/>
      <w:bookmarkEnd w:id="323"/>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 – stock-based decreased to $68,000 during the three months ended March 31, 2013 from $134,000 during the prior period. The lower current period expense is primarily due to decreased share based payments to the consultants compared to the prior period.</w:t>
            </w:r>
          </w:p>
        </w:tc>
      </w:tr>
    </w:tbl>
    <w:p>
      <w:pPr>
        <w:pStyle w:val="Normal"/>
        <w:spacing w:before="0" w:after="0"/>
        <w:rPr>
          <w:sz w:val="4"/>
          <w:szCs w:val="4"/>
        </w:rPr>
      </w:pPr>
      <w:r>
        <w:rPr>
          <w:sz w:val="4"/>
          <w:szCs w:val="4"/>
        </w:rPr>
      </w:r>
      <w:bookmarkStart w:id="324" w:name="hangingindent8"/>
      <w:bookmarkStart w:id="325" w:name="hangingindent8"/>
      <w:bookmarkEnd w:id="325"/>
    </w:p>
    <w:tbl>
      <w:tblPr>
        <w:tblW w:w="5000" w:type="pct"/>
        <w:jc w:val="center"/>
        <w:tblInd w:w="0" w:type="dxa"/>
        <w:tblCellMar>
          <w:top w:w="0" w:type="dxa"/>
          <w:left w:w="0" w:type="dxa"/>
          <w:bottom w:w="0" w:type="dxa"/>
          <w:right w:w="0" w:type="dxa"/>
        </w:tblCellMar>
      </w:tblPr>
      <w:tblGrid>
        <w:gridCol w:w="82"/>
        <w:gridCol w:w="95"/>
        <w:gridCol w:w="10028"/>
      </w:tblGrid>
      <w:tr>
        <w:trPr/>
        <w:tc>
          <w:tcPr>
            <w:tcW w:w="8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increased to $207,000 in the three months ended March 31, 2013 from $142,000  in the prior period, with the increase resulting from increased staff  and rental costs at the Company’ Seattle office and higher travel related expense in the current period.</w:t>
            </w:r>
          </w:p>
        </w:tc>
      </w:tr>
    </w:tbl>
    <w:p>
      <w:pPr>
        <w:pStyle w:val="Normal"/>
        <w:spacing w:before="0" w:after="0"/>
        <w:rPr>
          <w:sz w:val="4"/>
          <w:szCs w:val="4"/>
        </w:rPr>
      </w:pPr>
      <w:r>
        <w:rPr>
          <w:sz w:val="4"/>
          <w:szCs w:val="4"/>
        </w:rPr>
      </w:r>
      <w:bookmarkStart w:id="326" w:name="hangingindent9"/>
      <w:bookmarkStart w:id="327" w:name="hangingindent9"/>
      <w:bookmarkEnd w:id="327"/>
    </w:p>
    <w:tbl>
      <w:tblPr>
        <w:tblW w:w="5000" w:type="pct"/>
        <w:jc w:val="center"/>
        <w:tblInd w:w="0" w:type="dxa"/>
        <w:tblCellMar>
          <w:top w:w="0" w:type="dxa"/>
          <w:left w:w="0" w:type="dxa"/>
          <w:bottom w:w="0" w:type="dxa"/>
          <w:right w:w="0" w:type="dxa"/>
        </w:tblCellMar>
      </w:tblPr>
      <w:tblGrid>
        <w:gridCol w:w="82"/>
        <w:gridCol w:w="95"/>
        <w:gridCol w:w="10028"/>
      </w:tblGrid>
      <w:tr>
        <w:trPr/>
        <w:tc>
          <w:tcPr>
            <w:tcW w:w="8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$335,000 during the three months ended March 31, 2013 from $97,000 during the prior period. Current and prior period interest charges are primarily accretion of convertible debt notes as additional convertible notes were issued in the second half of 2012.</w:t>
            </w:r>
          </w:p>
        </w:tc>
      </w:tr>
    </w:tbl>
    <w:p>
      <w:pPr>
        <w:pStyle w:val="Normal"/>
        <w:spacing w:before="0" w:after="0"/>
        <w:rPr>
          <w:sz w:val="4"/>
          <w:szCs w:val="4"/>
        </w:rPr>
      </w:pPr>
      <w:r>
        <w:rPr>
          <w:sz w:val="4"/>
          <w:szCs w:val="4"/>
        </w:rPr>
      </w:r>
      <w:bookmarkStart w:id="328" w:name="hangingindent10"/>
      <w:bookmarkStart w:id="329" w:name="hangingindent10"/>
      <w:bookmarkEnd w:id="329"/>
    </w:p>
    <w:tbl>
      <w:tblPr>
        <w:tblW w:w="5000" w:type="pct"/>
        <w:jc w:val="center"/>
        <w:tblInd w:w="0" w:type="dxa"/>
        <w:tblCellMar>
          <w:top w:w="0" w:type="dxa"/>
          <w:left w:w="0" w:type="dxa"/>
          <w:bottom w:w="0" w:type="dxa"/>
          <w:right w:w="0" w:type="dxa"/>
        </w:tblCellMar>
      </w:tblPr>
      <w:tblGrid>
        <w:gridCol w:w="95"/>
        <w:gridCol w:w="95"/>
        <w:gridCol w:w="10015"/>
      </w:tblGrid>
      <w:tr>
        <w:trPr/>
        <w:tc>
          <w:tcPr>
            <w:tcW w:w="9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decreased to $59,000 during the three months ended March 31, 2013 from $80,000 during the prior period due to decrease in compensation to management in the current period.</w:t>
            </w:r>
          </w:p>
        </w:tc>
      </w:tr>
    </w:tbl>
    <w:p>
      <w:pPr>
        <w:pStyle w:val="Normal"/>
        <w:spacing w:before="0" w:after="0"/>
        <w:rPr>
          <w:sz w:val="4"/>
          <w:szCs w:val="4"/>
        </w:rPr>
      </w:pPr>
      <w:r>
        <w:rPr>
          <w:sz w:val="4"/>
          <w:szCs w:val="4"/>
        </w:rPr>
      </w:r>
      <w:bookmarkStart w:id="330" w:name="hangingindent11"/>
      <w:bookmarkStart w:id="331" w:name="hangingindent11"/>
      <w:bookmarkEnd w:id="331"/>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decreased to $16,000 during the three months ended March 31, 2013 from $30,000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332" w:name="hangingindent12"/>
      <w:bookmarkStart w:id="333" w:name="hangingindent12"/>
      <w:bookmarkEnd w:id="333"/>
    </w:p>
    <w:tbl>
      <w:tblPr>
        <w:tblW w:w="5000" w:type="pct"/>
        <w:jc w:val="center"/>
        <w:tblInd w:w="0" w:type="dxa"/>
        <w:tblCellMar>
          <w:top w:w="0" w:type="dxa"/>
          <w:left w:w="0" w:type="dxa"/>
          <w:bottom w:w="0" w:type="dxa"/>
          <w:right w:w="0" w:type="dxa"/>
        </w:tblCellMar>
      </w:tblPr>
      <w:tblGrid>
        <w:gridCol w:w="92"/>
        <w:gridCol w:w="95"/>
        <w:gridCol w:w="10018"/>
      </w:tblGrid>
      <w:tr>
        <w:trPr/>
        <w:tc>
          <w:tcPr>
            <w:tcW w:w="9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$267,000 during the three months ended March 31, 2013 from $74,000 during the prior period, due to higher legal fees incurred relating to debt restructuring in the current period.</w:t>
            </w:r>
          </w:p>
        </w:tc>
      </w:tr>
    </w:tbl>
    <w:p>
      <w:pPr>
        <w:pStyle w:val="Normal"/>
        <w:spacing w:before="0" w:after="0"/>
        <w:rPr>
          <w:sz w:val="4"/>
          <w:szCs w:val="4"/>
        </w:rPr>
      </w:pPr>
      <w:r>
        <w:rPr>
          <w:sz w:val="4"/>
          <w:szCs w:val="4"/>
        </w:rPr>
      </w:r>
      <w:bookmarkStart w:id="334" w:name="hangingindent13"/>
      <w:bookmarkStart w:id="335" w:name="hangingindent13"/>
      <w:bookmarkEnd w:id="335"/>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$134,000 during the three months ended March 31, 2013 from $115,000 during the prior period. This was due to higher technology licensing fee accrued for payments due to Mayo clinic and Crucell Holland B.V. in the current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Liquidity and Capital Resources</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we had $4,000 in cash. Generally, we have financed our operations through the proceeds from convertible notes and the private placement of equity securities as noted in Financing Activities below. We decreased our net cash by $29,000 during the three months ended March 31, 2013 compared to a decrease of $226,000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operating activities during the three months ended March 31, 2013 was $454,000 compared to $332,000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investing activities during the three months ended March 31, 2013 was $Nil compared to $Nil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financing activities during the three months ended March 31, 2013 was $425,000 compared to $106,000 during the prior period. Current period financing consisted of proceeds from private placements and advances from related parties while prior period financing relates to proceeds from convertible notes and advances from related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2013, we had 6,528,000 stock options and 16,530,744 share purchase warrants outstanding. The outstanding stock options had a weighted average exercise price of $0.18 per share, with the warrants having a weighted average exercise price of $0.32 per share. Accordingly, as of March 31, 2013, the outstanding options and warrants represented a total of 23,058,744 shares issuable for proceeds of approximately $6,518,000 if these options and warrants were exercised in full. The exercise of these options and warrants is completely at the discretion of the holders. There is no assurance that any of these options or warrants will be exercised.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we anticipate that we will need significant financing to enable us to meet our anticipated expenditures for the next 24 months, which are expected to be in the range of $5,000,000 assuming a single Phase 1 clinical trial.</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6" w:name="PGBRK34"/>
      <w:bookmarkStart w:id="337" w:name="PGBRK34"/>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8" w:name="FTR34"/>
      <w:bookmarkStart w:id="339" w:name="FTR34"/>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0" w:name="GLFTR34"/>
      <w:bookmarkEnd w:id="3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1" w:name="PN34"/>
      <w:bookmarkEnd w:id="341"/>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2" w:name="HDR34"/>
      <w:bookmarkStart w:id="343" w:name="HDR34"/>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4" w:name="GLHDR34"/>
      <w:bookmarkEnd w:id="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i/>
          <w:sz w:val="20"/>
          <w:u w:val="single"/>
        </w:rPr>
      </w:pPr>
      <w:r>
        <w:rPr>
          <w:rFonts w:ascii="Times New Roman" w:hAnsi="Times New Roman"/>
          <w:b/>
          <w:i/>
          <w:sz w:val="20"/>
          <w:u w:val="single"/>
        </w:rPr>
        <w:t>Off-Balance Sheet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Critical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Refer to Note 2 of our consolidated financial statements for our year ended December 31, 2012 for a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Quantitative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Evaluation of 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Management’s Report on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2013,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March 31, 2013such internal controls and procedures were not effective to detect the inappropriate application of US GAAP rules as more fully described below.</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5" w:name="PGBRK35"/>
      <w:bookmarkStart w:id="346" w:name="PGBRK35"/>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7" w:name="FTR35"/>
      <w:bookmarkStart w:id="348" w:name="FTR35"/>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9" w:name="GLFTR35"/>
      <w:bookmarkEnd w:id="3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0" w:name="PN35"/>
      <w:bookmarkEnd w:id="350"/>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 w:name="HDR35"/>
      <w:bookmarkStart w:id="352" w:name="HDR35"/>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3" w:name="GLHDR35"/>
      <w:bookmarkEnd w:id="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members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three months ended March 31, 2013but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To this end, Ms. Sherry Grisewood was appointed to our audit Committee in 2013.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quarterly report does not include an attestation report of the Company’s registered public accounting firm regarding internal controls over financial reporting. Management’s report was not subject to attestation by the Company’s registered public accounting firm pursuant to the rules of the SEC that permit the Company to provide only management’s report in this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u w:val="single"/>
        </w:rPr>
      </w:pPr>
      <w:r>
        <w:rPr>
          <w:rFonts w:ascii="Times New Roman" w:hAnsi="Times New Roman"/>
          <w:b/>
          <w:i/>
          <w:sz w:val="20"/>
          <w:u w:val="single"/>
        </w:rPr>
        <w:t>Changes in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the three months ended March 31, 2013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 w:name="PGBRK36"/>
      <w:bookmarkStart w:id="355" w:name="PGBRK36"/>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FTR36"/>
      <w:bookmarkStart w:id="357" w:name="FTR36"/>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8" w:name="GLFTR36"/>
      <w:bookmarkEnd w:id="3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9" w:name="PN36"/>
      <w:bookmarkEnd w:id="359"/>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0" w:name="HDR36"/>
      <w:bookmarkStart w:id="361" w:name="HDR36"/>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2" w:name="GLHDR36"/>
      <w:bookmarkEnd w:id="3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4"/>
        </w:rPr>
      </w:pPr>
      <w:r>
        <w:rPr>
          <w:rFonts w:ascii="Times New Roman" w:hAnsi="Times New Roman"/>
          <w:b/>
          <w:sz w:val="24"/>
        </w:rPr>
        <w:t>PART II –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  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May 2012, we issued 11,200,000 shares of our common stock to two consultants.  We have contested the validity of the issuances of this common stock based on our belief that the consultants did not perform the services agreed to under their respective consulting agreements.  The two consultants have threatened to sue us on perceived damages suffered as a result of our contesting the issuances under the consulting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1A.  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required.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2.  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2013, we issued 231,332 shares of restricted common stock for conversion of a convertible note at a conversion price of $.0662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2013, we issued 250,000 shares of restricted common stock at $0.116 to a consultant pursuant to a consulting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2013, we issued 1,898,588 common shares on conversion of warrants at an exercise price of $0.0572.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March 2013, we issued 100,000 shares of common stock at $0.1001 to a consultant pursuant to a consulting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February and March 2013, we issued 3,470,709 units for subscription proceeds of $242,950 at $0.07 per unit. Each unit consists of one share of Company’s common stock and one warrant exercisable at $0.07, which expires in two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March 31, 2013, we issued 3,176,334 shares of restricted common stock for conversion of a note at a conversion price of $.0603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March 31, 2013, we issued 992,063 shares of restricted common stock for partial conversion of a note at an average conversion price of $.0695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ended March 31, 2013, we issued 1,050,000 shares of restricted common stock for partial conversion of a note at an average conversion price of $.0681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shares mentioned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our Company and their investment, each investor took the securities for investment and not resale, there was no general solicitation or advertising in connection with the placement and we took appropriate measures to restrict the transfer of the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Item 3.  Defaults Upon Senior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in default of the secured notes issued in February 2011. No second year amortization payments have been made to the holders as of the anniversary of the notes in February 2013 and April 2013. Interest charges will be accrued at 20% per year. The note holders have not made any demands other than the interest rate penalty and are in discussions with the Company to resolve the matter. Many of the Company’s other notes have cross default provisions, meaning that a default under the secured notes would trigger a default under those notes as well.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in default of the October 2012 note to a note holder due to the late filing of its annual report. Concurrent with the filing, this default will be cured. The lender has not made any claims under their default provisions and management is working closely with them to mitigate or negate any such claims.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3" w:name="PGBRK37"/>
      <w:bookmarkStart w:id="364" w:name="PGBRK37"/>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 w:name="FTR37"/>
      <w:bookmarkStart w:id="366" w:name="FTR37"/>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7" w:name="GLFTR37"/>
      <w:bookmarkEnd w:id="3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8" w:name="PN37"/>
      <w:bookmarkEnd w:id="368"/>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9" w:name="HDR37"/>
      <w:bookmarkStart w:id="370" w:name="HDR37"/>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1" w:name="GLHDR37"/>
      <w:bookmarkEnd w:id="3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u w:val="single"/>
        </w:rPr>
      </w:pPr>
      <w:r>
        <w:rPr>
          <w:rFonts w:ascii="Times New Roman" w:hAnsi="Times New Roman"/>
          <w:b/>
          <w:sz w:val="20"/>
          <w:u w:val="single"/>
        </w:rPr>
        <w:t>Item 4.  Mine Safety Disclosure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5.  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6.  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6"/>
        <w:gridCol w:w="1808"/>
        <w:gridCol w:w="8011"/>
      </w:tblGrid>
      <w:tr>
        <w:trPr/>
        <w:tc>
          <w:tcPr>
            <w:tcW w:w="386" w:type="dxa"/>
            <w:tcBorders>
              <w:top w:val="single" w:sz="12" w:space="0" w:color="000000"/>
              <w:bottom w:val="single" w:sz="12" w:space="0" w:color="000000"/>
            </w:tcBorders>
            <w:shd w:fill="auto" w:val="clear"/>
          </w:tcPr>
          <w:p>
            <w:pPr>
              <w:pStyle w:val="TableContents"/>
              <w:spacing w:before="0" w:after="283"/>
              <w:rPr/>
            </w:pPr>
            <w:r>
              <w:rPr/>
              <w:t xml:space="preserve">  </w:t>
            </w:r>
          </w:p>
        </w:tc>
        <w:tc>
          <w:tcPr>
            <w:tcW w:w="1808" w:type="dxa"/>
            <w:tcBorders>
              <w:top w:val="single" w:sz="12"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011" w:type="dxa"/>
            <w:tcBorders>
              <w:top w:val="single" w:sz="12"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Description of Exhibit</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and Acting Principal Accounting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and Acting Principal Accounting Officer pursuant to 18 U.S.C. 1350 as adopted pursuant to Section 906 of the Sarbanes-Oxley Act of 2002.</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Exhibit 101</w:t>
      </w:r>
    </w:p>
    <w:p>
      <w:pPr>
        <w:pStyle w:val="TextBody"/>
        <w:spacing w:before="0" w:after="0"/>
        <w:ind w:left="0" w:right="0" w:hanging="0"/>
        <w:jc w:val="both"/>
        <w:rPr>
          <w:rFonts w:ascii="Times New Roman" w:hAnsi="Times New Roman"/>
          <w:sz w:val="20"/>
        </w:rPr>
      </w:pPr>
      <w:r>
        <w:rPr>
          <w:rFonts w:ascii="Times New Roman" w:hAnsi="Times New Roman"/>
          <w:sz w:val="20"/>
        </w:rPr>
        <w:t>101.INS - XBRL Instance Document</w:t>
      </w:r>
    </w:p>
    <w:p>
      <w:pPr>
        <w:pStyle w:val="TextBody"/>
        <w:spacing w:before="0" w:after="0"/>
        <w:ind w:left="0" w:right="0" w:hanging="0"/>
        <w:jc w:val="both"/>
        <w:rPr>
          <w:rFonts w:ascii="Times New Roman" w:hAnsi="Times New Roman"/>
          <w:sz w:val="20"/>
        </w:rPr>
      </w:pPr>
      <w:r>
        <w:rPr>
          <w:rFonts w:ascii="Times New Roman" w:hAnsi="Times New Roman"/>
          <w:sz w:val="20"/>
        </w:rPr>
        <w:t>101.SCH - XBRL Taxonomy Extension Schema Document</w:t>
      </w:r>
    </w:p>
    <w:p>
      <w:pPr>
        <w:pStyle w:val="TextBody"/>
        <w:spacing w:before="0" w:after="0"/>
        <w:ind w:left="0" w:right="0" w:hanging="0"/>
        <w:jc w:val="both"/>
        <w:rPr>
          <w:rFonts w:ascii="Times New Roman" w:hAnsi="Times New Roman"/>
          <w:sz w:val="20"/>
        </w:rPr>
      </w:pPr>
      <w:r>
        <w:rPr>
          <w:rFonts w:ascii="Times New Roman" w:hAnsi="Times New Roman"/>
          <w:sz w:val="20"/>
        </w:rPr>
        <w:t>101.CAL - XBRL Taxonomy Extension Calculation Linkbase Document</w:t>
      </w:r>
    </w:p>
    <w:p>
      <w:pPr>
        <w:pStyle w:val="TextBody"/>
        <w:spacing w:before="0" w:after="0"/>
        <w:ind w:left="0" w:right="0" w:hanging="0"/>
        <w:jc w:val="both"/>
        <w:rPr>
          <w:rFonts w:ascii="Times New Roman" w:hAnsi="Times New Roman"/>
          <w:sz w:val="20"/>
        </w:rPr>
      </w:pPr>
      <w:r>
        <w:rPr>
          <w:rFonts w:ascii="Times New Roman" w:hAnsi="Times New Roman"/>
          <w:sz w:val="20"/>
        </w:rPr>
        <w:t>101.DEF - XBRL Taxonomy Extension Definition Linkbase Document</w:t>
      </w:r>
    </w:p>
    <w:p>
      <w:pPr>
        <w:pStyle w:val="TextBody"/>
        <w:spacing w:before="0" w:after="0"/>
        <w:ind w:left="0" w:right="0" w:hanging="0"/>
        <w:jc w:val="both"/>
        <w:rPr>
          <w:rFonts w:ascii="Times New Roman" w:hAnsi="Times New Roman"/>
          <w:sz w:val="20"/>
        </w:rPr>
      </w:pPr>
      <w:r>
        <w:rPr>
          <w:rFonts w:ascii="Times New Roman" w:hAnsi="Times New Roman"/>
          <w:sz w:val="20"/>
        </w:rPr>
        <w:t>101.LAB - XBRL Taxonomy Extension Label Linkbase Document</w:t>
      </w:r>
    </w:p>
    <w:p>
      <w:pPr>
        <w:pStyle w:val="TextBody"/>
        <w:spacing w:before="0" w:after="0"/>
        <w:ind w:left="0" w:right="0" w:hanging="0"/>
        <w:jc w:val="both"/>
        <w:rPr>
          <w:rFonts w:ascii="Times New Roman" w:hAnsi="Times New Roman"/>
          <w:sz w:val="20"/>
        </w:rPr>
      </w:pPr>
      <w:r>
        <w:rPr>
          <w:rFonts w:ascii="Times New Roman" w:hAnsi="Times New Roman"/>
          <w:sz w:val="20"/>
        </w:rPr>
        <w:t>101.PRE - XBRL Taxonomy Extension Presentation Linkbase Document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2" w:name="PGBRK38"/>
      <w:bookmarkStart w:id="373" w:name="PGBRK38"/>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4" w:name="FTR38"/>
      <w:bookmarkStart w:id="375" w:name="FTR38"/>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6" w:name="GLFTR38"/>
      <w:bookmarkEnd w:id="3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7" w:name="PN38"/>
      <w:bookmarkEnd w:id="377"/>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8" w:name="HDR38"/>
      <w:bookmarkStart w:id="379" w:name="HDR38"/>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0" w:name="GLHDR38"/>
      <w:bookmarkEnd w:id="3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TAPIMMUNE INC.</w:t>
      </w:r>
    </w:p>
    <w:tbl>
      <w:tblPr>
        <w:tblW w:w="5000" w:type="pct"/>
        <w:jc w:val="left"/>
        <w:tblInd w:w="0" w:type="dxa"/>
        <w:tblCellMar>
          <w:top w:w="0" w:type="dxa"/>
          <w:left w:w="0" w:type="dxa"/>
          <w:bottom w:w="0" w:type="dxa"/>
          <w:right w:w="0" w:type="dxa"/>
        </w:tblCellMar>
      </w:tblPr>
      <w:tblGrid>
        <w:gridCol w:w="1154"/>
        <w:gridCol w:w="9051"/>
      </w:tblGrid>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rPr/>
            </w:pPr>
            <w:r>
              <w:rPr/>
              <w:t> </w:t>
            </w:r>
          </w:p>
          <w:p>
            <w:pPr>
              <w:pStyle w:val="TableContents"/>
              <w:spacing w:before="0" w:after="0"/>
              <w:ind w:left="720" w:right="0" w:hanging="720"/>
              <w:jc w:val="both"/>
              <w:rPr>
                <w:rFonts w:ascii="times new roman" w:hAnsi="times new roman"/>
                <w:i/>
                <w:sz w:val="20"/>
                <w:u w:val="single"/>
              </w:rPr>
            </w:pPr>
            <w:r>
              <w:rPr>
                <w:rFonts w:ascii="times new roman" w:hAnsi="times new roman"/>
                <w:i/>
                <w:sz w:val="20"/>
                <w:u w:val="single"/>
              </w:rPr>
              <w:t>/s/ Glynn Wilson</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 Principal Executive Officer and Chief Financial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highlight w:val="yellow"/>
              </w:rPr>
              <w:t>August 14, 2013</w:t>
            </w:r>
            <w:r>
              <w:rPr>
                <w:rFonts w:ascii="Times New Roman" w:hAnsi="Times New Roman"/>
                <w:sz w:val="20"/>
              </w:rPr>
              <w:t>.</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283"/>
              <w:rPr/>
            </w:pPr>
            <w:r>
              <w:rPr/>
              <w:t xml:space="preserve">  </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283"/>
              <w:rPr/>
            </w:pPr>
            <w:r>
              <w:rPr/>
              <w:t xml:space="preserve">  </w:t>
            </w:r>
          </w:p>
        </w:tc>
      </w:tr>
    </w:tbl>
    <w:p>
      <w:pPr>
        <w:pStyle w:val="TextBody"/>
        <w:spacing w:before="0" w:after="0"/>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40</w:t>
      </w:r>
    </w:p>
    <w:p>
      <w:pPr>
        <w:pStyle w:val="HorizontalLine"/>
        <w:pBdr>
          <w:bottom w:val="single" w:sz="6" w:space="0" w:color="808080"/>
        </w:pBdr>
        <w:rPr/>
      </w:pPr>
      <w:r>
        <w:rPr/>
      </w:r>
    </w:p>
    <w:p>
      <w:pPr>
        <w:pStyle w:val="HorizontalLine"/>
        <w:pBdr>
          <w:bottom w:val="single" w:sz="24" w:space="0" w:color="808080"/>
        </w:pBdr>
        <w:rPr/>
      </w:pPr>
      <w:r>
        <w:rPr/>
      </w:r>
    </w:p>
    <w:p>
      <w:pPr>
        <w:pStyle w:val="TextBody"/>
        <w:rPr/>
      </w:pPr>
      <w:r>
        <w:rPr/>
      </w:r>
      <w:r>
        <w:br w:type="page"/>
      </w:r>
    </w:p>
    <w:p>
      <w:pPr>
        <w:pStyle w:val="TextBody"/>
        <w:spacing w:before="0" w:after="0"/>
        <w:rPr/>
      </w:pPr>
      <w:bookmarkStart w:id="381" w:name="exhibit31-1.htm"/>
      <w:bookmarkStart w:id="382" w:name="ksexhibit311"/>
      <w:bookmarkEnd w:id="381"/>
      <w:bookmarkEnd w:id="382"/>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Glynn Wilson,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3" w:name="hangingindent14"/>
      <w:bookmarkStart w:id="384" w:name="hangingindent14"/>
      <w:bookmarkEnd w:id="384"/>
    </w:p>
    <w:tbl>
      <w:tblPr>
        <w:tblW w:w="5000" w:type="pct"/>
        <w:jc w:val="center"/>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Report on Form 10-Q for the quarterly period ended March 31, 2013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5" w:name="hangingindent15"/>
      <w:bookmarkStart w:id="386" w:name="hangingindent15"/>
      <w:bookmarkEnd w:id="386"/>
    </w:p>
    <w:tbl>
      <w:tblPr>
        <w:tblW w:w="5000" w:type="pct"/>
        <w:jc w:val="center"/>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7" w:name="hangingindent16"/>
      <w:bookmarkStart w:id="388" w:name="hangingindent16"/>
      <w:bookmarkEnd w:id="388"/>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9" w:name="hangingindent17"/>
      <w:bookmarkStart w:id="390" w:name="hangingindent17"/>
      <w:bookmarkEnd w:id="390"/>
    </w:p>
    <w:tbl>
      <w:tblPr>
        <w:tblW w:w="5000" w:type="pct"/>
        <w:jc w:val="center"/>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 w:name="hangingindent18"/>
      <w:bookmarkStart w:id="392" w:name="hangingindent18"/>
      <w:bookmarkEnd w:id="392"/>
    </w:p>
    <w:tbl>
      <w:tblPr>
        <w:tblW w:w="5000" w:type="pct"/>
        <w:jc w:val="center"/>
        <w:tblInd w:w="0" w:type="dxa"/>
        <w:tblCellMar>
          <w:top w:w="0" w:type="dxa"/>
          <w:left w:w="0" w:type="dxa"/>
          <w:bottom w:w="0" w:type="dxa"/>
          <w:right w:w="0" w:type="dxa"/>
        </w:tblCellMar>
      </w:tblPr>
      <w:tblGrid>
        <w:gridCol w:w="77"/>
        <w:gridCol w:w="188"/>
        <w:gridCol w:w="9940"/>
      </w:tblGrid>
      <w:tr>
        <w:trPr/>
        <w:tc>
          <w:tcPr>
            <w:tcW w:w="7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3" w:name="hangingindent19"/>
      <w:bookmarkStart w:id="394" w:name="hangingindent19"/>
      <w:bookmarkEnd w:id="394"/>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5" w:name="hangingindent20"/>
      <w:bookmarkStart w:id="396" w:name="hangingindent20"/>
      <w:bookmarkEnd w:id="396"/>
    </w:p>
    <w:tbl>
      <w:tblPr>
        <w:tblW w:w="5000" w:type="pct"/>
        <w:jc w:val="center"/>
        <w:tblInd w:w="0" w:type="dxa"/>
        <w:tblCellMar>
          <w:top w:w="0" w:type="dxa"/>
          <w:left w:w="0" w:type="dxa"/>
          <w:bottom w:w="0" w:type="dxa"/>
          <w:right w:w="0" w:type="dxa"/>
        </w:tblCellMar>
      </w:tblPr>
      <w:tblGrid>
        <w:gridCol w:w="84"/>
        <w:gridCol w:w="195"/>
        <w:gridCol w:w="9926"/>
      </w:tblGrid>
      <w:tr>
        <w:trPr/>
        <w:tc>
          <w:tcPr>
            <w:tcW w:w="84"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 w:name="hangingindent21"/>
      <w:bookmarkStart w:id="398" w:name="hangingindent21"/>
      <w:bookmarkEnd w:id="398"/>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9" w:name="hangingindent22"/>
      <w:bookmarkStart w:id="400" w:name="hangingindent22"/>
      <w:bookmarkEnd w:id="400"/>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 w:name="hangingindent23"/>
      <w:bookmarkStart w:id="402" w:name="hangingindent23"/>
      <w:bookmarkEnd w:id="402"/>
    </w:p>
    <w:tbl>
      <w:tblPr>
        <w:tblW w:w="5000" w:type="pct"/>
        <w:jc w:val="center"/>
        <w:tblInd w:w="0" w:type="dxa"/>
        <w:tblCellMar>
          <w:top w:w="0" w:type="dxa"/>
          <w:left w:w="0" w:type="dxa"/>
          <w:bottom w:w="0" w:type="dxa"/>
          <w:right w:w="0" w:type="dxa"/>
        </w:tblCellMar>
      </w:tblPr>
      <w:tblGrid>
        <w:gridCol w:w="85"/>
        <w:gridCol w:w="196"/>
        <w:gridCol w:w="9924"/>
      </w:tblGrid>
      <w:tr>
        <w:trPr/>
        <w:tc>
          <w:tcPr>
            <w:tcW w:w="85"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3" w:name="hangingindent24"/>
      <w:bookmarkStart w:id="404" w:name="hangingindent24"/>
      <w:bookmarkEnd w:id="404"/>
    </w:p>
    <w:tbl>
      <w:tblPr>
        <w:tblW w:w="5000" w:type="pct"/>
        <w:jc w:val="center"/>
        <w:tblInd w:w="0" w:type="dxa"/>
        <w:tblCellMar>
          <w:top w:w="0" w:type="dxa"/>
          <w:left w:w="0" w:type="dxa"/>
          <w:bottom w:w="0" w:type="dxa"/>
          <w:right w:w="0" w:type="dxa"/>
        </w:tblCellMar>
      </w:tblPr>
      <w:tblGrid>
        <w:gridCol w:w="101"/>
        <w:gridCol w:w="227"/>
        <w:gridCol w:w="9877"/>
      </w:tblGrid>
      <w:tr>
        <w:trPr/>
        <w:tc>
          <w:tcPr>
            <w:tcW w:w="101" w:type="dxa"/>
            <w:tcBorders/>
            <w:shd w:fill="auto" w:val="clear"/>
          </w:tcPr>
          <w:p>
            <w:pPr>
              <w:pStyle w:val="TableContents"/>
              <w:spacing w:before="0" w:after="0"/>
              <w:rPr/>
            </w:pPr>
            <w:r>
              <w:rPr/>
              <w:t xml:space="preserve">  </w:t>
            </w:r>
          </w:p>
        </w:tc>
        <w:tc>
          <w:tcPr>
            <w:tcW w:w="2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highlight w:val="yellow"/>
        </w:rPr>
        <w:t>August 14, 2013</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 Glynn Wilson</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b/>
          <w:sz w:val="20"/>
        </w:rPr>
        <w:t>Glynn Wilson</w:t>
      </w:r>
    </w:p>
    <w:p>
      <w:pPr>
        <w:pStyle w:val="TextBody"/>
        <w:spacing w:before="0" w:after="0"/>
        <w:ind w:left="0" w:right="0" w:hanging="0"/>
        <w:jc w:val="left"/>
        <w:rPr>
          <w:rFonts w:ascii="Times New Roman" w:hAnsi="Times New Roman"/>
          <w:sz w:val="20"/>
        </w:rPr>
      </w:pPr>
      <w:r>
        <w:rPr>
          <w:rFonts w:ascii="Times New Roman" w:hAnsi="Times New Roman"/>
          <w:sz w:val="20"/>
        </w:rPr>
        <w:t>Title: Chairman, Chief Executive Officer, Principal Executive Officer and Acting Principal Accounting Officer</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HorizontalLine"/>
        <w:pBdr>
          <w:bottom w:val="single" w:sz="24" w:space="0" w:color="808080"/>
        </w:pBdr>
        <w:rPr/>
      </w:pPr>
      <w:r>
        <w:rPr/>
      </w:r>
      <w:bookmarkStart w:id="405" w:name="exhibit32-1.htm"/>
      <w:bookmarkStart w:id="406" w:name="ksexhibit321"/>
      <w:bookmarkStart w:id="407" w:name="exhibit32-1.htm"/>
      <w:bookmarkStart w:id="408" w:name="ksexhibit321"/>
      <w:bookmarkEnd w:id="407"/>
      <w:bookmarkEnd w:id="408"/>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2013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z w:val="20"/>
          <w:highlight w:val="yellow"/>
        </w:rPr>
        <w:t>August 14, 2013</w:t>
      </w:r>
      <w:r>
        <w:rPr>
          <w:rFonts w:ascii="Times New Roman" w:hAnsi="Times New Roman"/>
          <w:sz w:val="20"/>
          <w:u w:val="single"/>
        </w:rPr>
        <w: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56"/>
        <w:gridCol w:w="9049"/>
      </w:tblGrid>
      <w:tr>
        <w:trPr/>
        <w:tc>
          <w:tcPr>
            <w:tcW w:w="1156" w:type="dxa"/>
            <w:tcBorders/>
            <w:shd w:fill="auto" w:val="clear"/>
          </w:tcPr>
          <w:p>
            <w:pPr>
              <w:pStyle w:val="TableContents"/>
              <w:spacing w:before="0" w:after="283"/>
              <w:rPr/>
            </w:pPr>
            <w:r>
              <w:rPr/>
              <w:t> </w:t>
            </w:r>
          </w:p>
        </w:tc>
        <w:tc>
          <w:tcPr>
            <w:tcW w:w="9049" w:type="dxa"/>
            <w:tcBorders/>
            <w:shd w:fill="auto" w:val="clear"/>
          </w:tcPr>
          <w:p>
            <w:pPr>
              <w:pStyle w:val="TableContents"/>
              <w:spacing w:before="0" w:after="0"/>
              <w:ind w:left="720" w:right="0" w:hanging="720"/>
              <w:jc w:val="both"/>
              <w:rPr>
                <w:rFonts w:ascii="times new roman" w:hAnsi="times new roman"/>
                <w:i/>
                <w:sz w:val="20"/>
                <w:u w:val="single"/>
              </w:rPr>
            </w:pPr>
            <w:r>
              <w:rPr>
                <w:rFonts w:ascii="times new roman" w:hAnsi="times new roman"/>
                <w:i/>
                <w:sz w:val="20"/>
                <w:u w:val="single"/>
              </w:rPr>
              <w:t>/s/ Glynn Wilson</w:t>
            </w:r>
          </w:p>
        </w:tc>
      </w:tr>
      <w:tr>
        <w:trPr/>
        <w:tc>
          <w:tcPr>
            <w:tcW w:w="1156" w:type="dxa"/>
            <w:tcBorders/>
            <w:shd w:fill="auto" w:val="clear"/>
          </w:tcPr>
          <w:p>
            <w:pPr>
              <w:pStyle w:val="TableContents"/>
              <w:spacing w:before="0" w:after="283"/>
              <w:rPr/>
            </w:pPr>
            <w:r>
              <w:rPr/>
              <w:t xml:space="preserve">  </w:t>
            </w:r>
          </w:p>
        </w:tc>
        <w:tc>
          <w:tcPr>
            <w:tcW w:w="904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 and Acting Principal Accounting Officer</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2">
    <w:altName w:val="serif"/>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24703</Words>
  <CharactersWithSpaces>158382</CharactersWithSpaces>
  <Paragraphs>4760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