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12B-25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224" w:lineRule="exact"/>
        <w:rPr>
          <w:sz w:val="24"/>
          <w:szCs w:val="24"/>
          <w:color w:val="auto"/>
        </w:rPr>
      </w:pPr>
    </w:p>
    <w:p>
      <w:pPr>
        <w:ind w:right="3920" w:firstLine="8"/>
        <w:spacing w:after="0" w:line="361" w:lineRule="exact"/>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Form N-CSR For Period Ending: March 31, 2014</w:t>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 TapImmune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ind w:left="4640"/>
        <w:spacing w:after="0"/>
        <w:rPr>
          <w:sz w:val="20"/>
          <w:szCs w:val="20"/>
          <w:color w:val="auto"/>
        </w:rPr>
      </w:pPr>
      <w:r>
        <w:rPr>
          <w:rFonts w:ascii="Arial" w:cs="Arial" w:eastAsia="Arial" w:hAnsi="Arial"/>
          <w:sz w:val="18"/>
          <w:szCs w:val="18"/>
          <w:b w:val="1"/>
          <w:bCs w:val="1"/>
          <w:color w:val="auto"/>
        </w:rPr>
        <w:t>1551 Eastlake Avenue East,</w:t>
      </w:r>
    </w:p>
    <w:p>
      <w:pPr>
        <w:spacing w:after="0" w:line="27"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Suite 100, Seattle, WA</w:t>
      </w:r>
    </w:p>
    <w:p>
      <w:pPr>
        <w:spacing w:after="0" w:line="9" w:lineRule="exact"/>
        <w:rPr>
          <w:sz w:val="24"/>
          <w:szCs w:val="24"/>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(206) 504-7278</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 RULES 12B-25(B) AND (C)</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It is anticipated that the subject Quarterly Report on Form 10-Q will be filed within the next several days.</w:t>
      </w:r>
    </w:p>
    <w:p>
      <w:pPr>
        <w:spacing w:after="0" w:line="200" w:lineRule="exact"/>
        <w:rPr>
          <w:sz w:val="24"/>
          <w:szCs w:val="24"/>
          <w:color w:val="auto"/>
        </w:rPr>
      </w:pPr>
    </w:p>
    <w:p>
      <w:pPr>
        <w:spacing w:after="0" w:line="2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III: NARRATIVE</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Quarterly Report on Form 10-Q for the period ended March 31, 2014 due to administrative delays.</w:t>
      </w: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00" w:lineRule="exact"/>
        <w:rPr>
          <w:sz w:val="24"/>
          <w:szCs w:val="24"/>
          <w:color w:val="auto"/>
        </w:rPr>
      </w:pPr>
    </w:p>
    <w:p>
      <w:pPr>
        <w:spacing w:after="0" w:line="245" w:lineRule="exact"/>
        <w:rPr>
          <w:sz w:val="24"/>
          <w:szCs w:val="24"/>
          <w:color w:val="auto"/>
        </w:rPr>
      </w:pPr>
    </w:p>
    <w:p>
      <w:pPr>
        <w:ind w:right="53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Glynn Wilson: 206-504-7278</w:t>
      </w: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 X] YES [ ] NO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The Company has yet to file its annual report on Form 10-K for the fiscal year ended 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9" w:right="299" w:bottom="1440" w:gutter="0" w:footer="0" w:header="0"/>
        </w:sectPr>
      </w:pPr>
    </w:p>
    <w:bookmarkStart w:id="1" w:name="page2"/>
    <w:bookmarkEnd w:id="1"/>
    <w:p>
      <w:pPr>
        <w:ind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YES [X] NO</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620" w:type="dxa"/>
            <w:vAlign w:val="bottom"/>
            <w:gridSpan w:val="2"/>
          </w:tcPr>
          <w:p>
            <w:pPr>
              <w:ind w:left="208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20" w:type="dxa"/>
            <w:vAlign w:val="bottom"/>
          </w:tcPr>
          <w:p>
            <w:pPr>
              <w:spacing w:after="0"/>
              <w:rPr>
                <w:sz w:val="20"/>
                <w:szCs w:val="20"/>
                <w:color w:val="auto"/>
              </w:rPr>
            </w:pPr>
            <w:r>
              <w:rPr>
                <w:rFonts w:ascii="Arial" w:cs="Arial" w:eastAsia="Arial" w:hAnsi="Arial"/>
                <w:sz w:val="18"/>
                <w:szCs w:val="18"/>
                <w:color w:val="auto"/>
              </w:rPr>
              <w:t>Dated: May 14, 2014</w:t>
            </w:r>
          </w:p>
        </w:tc>
        <w:tc>
          <w:tcPr>
            <w:tcW w:w="3620" w:type="dxa"/>
            <w:vAlign w:val="bottom"/>
            <w:gridSpan w:val="2"/>
          </w:tcPr>
          <w:p>
            <w:pPr>
              <w:ind w:left="2080"/>
              <w:spacing w:after="0"/>
              <w:rPr>
                <w:sz w:val="20"/>
                <w:szCs w:val="20"/>
                <w:color w:val="auto"/>
              </w:rPr>
            </w:pPr>
            <w:r>
              <w:rPr>
                <w:rFonts w:ascii="Arial" w:cs="Arial" w:eastAsia="Arial" w:hAnsi="Arial"/>
                <w:sz w:val="18"/>
                <w:szCs w:val="18"/>
                <w:color w:val="auto"/>
                <w:w w:val="94"/>
              </w:rPr>
              <w:t>By: /s/ Glynn Wilson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w:t>
            </w: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5306695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240"/>
      </w:cols>
      <w:pgMar w:left="240" w:top="70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2020-01-27T11:22:54Z</dcterms:created>
  <dcterms:modified xsi:type="dcterms:W3CDTF">2020-01-27T11:22:54Z</dcterms:modified>
</cp:coreProperties>
</file>