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2901950</wp:posOffset>
            </wp:positionH>
            <wp:positionV relativeFrom="page">
              <wp:posOffset>311785</wp:posOffset>
            </wp:positionV>
            <wp:extent cx="176657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6570" cy="437515"/>
                    </a:xfrm>
                    <a:prstGeom prst="rect">
                      <a:avLst/>
                    </a:prstGeom>
                    <a:noFill/>
                  </pic:spPr>
                </pic:pic>
              </a:graphicData>
            </a:graphic>
          </wp:anchor>
        </w:drawing>
      </w:r>
    </w:p>
    <w:p>
      <w:pPr>
        <w:spacing w:after="0" w:line="3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 West Forsyth Street, Suite 200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Jacksonville, FL 32202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November 13,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Jeffery Gabor</w:t>
      </w:r>
    </w:p>
    <w:p>
      <w:pPr>
        <w:sectPr>
          <w:pgSz w:w="11900" w:h="16838" w:orient="portrait"/>
          <w:cols w:equalWidth="0" w:num="1">
            <w:col w:w="11320"/>
          </w:cols>
          <w:pgMar w:left="240" w:top="1440" w:right="339" w:bottom="1440" w:gutter="0" w:footer="0" w:header="0"/>
        </w:sectPr>
      </w:pPr>
    </w:p>
    <w:p>
      <w:pPr>
        <w:spacing w:after="0" w:line="225"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Marker Therapeutics, Inc. (the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333-228059</w:t>
      </w:r>
    </w:p>
    <w:p>
      <w:pPr>
        <w:spacing w:after="0" w:line="200" w:lineRule="exact"/>
        <w:rPr>
          <w:sz w:val="24"/>
          <w:szCs w:val="24"/>
          <w:color w:val="auto"/>
        </w:rPr>
      </w:pPr>
    </w:p>
    <w:p>
      <w:pPr>
        <w:sectPr>
          <w:pgSz w:w="11900" w:h="16838" w:orient="portrait"/>
          <w:cols w:equalWidth="0" w:num="2">
            <w:col w:w="900" w:space="400"/>
            <w:col w:w="10020"/>
          </w:cols>
          <w:pgMar w:left="24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Gabor:</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 accordance with Rule 461 under the Securities Act of 1933, as amended, the undersigned respectfully requests that the effective date of the above referenced Registration Statement on Form S-3, be accelerated so that it will be declared effective at 4:00 p.m., Eastern Standard Time, on Friday, November 16, 2018, or as soon thereafter as is practicable.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w:t>
      </w:r>
    </w:p>
    <w:p>
      <w:pPr>
        <w:spacing w:after="0" w:line="23" w:lineRule="exact"/>
        <w:rPr>
          <w:rFonts w:ascii="Arial" w:cs="Arial" w:eastAsia="Arial" w:hAnsi="Arial"/>
          <w:sz w:val="18"/>
          <w:szCs w:val="18"/>
          <w:color w:val="auto"/>
        </w:rPr>
      </w:pPr>
    </w:p>
    <w:p>
      <w:pPr>
        <w:ind w:left="660" w:right="60"/>
        <w:spacing w:after="0" w:line="261" w:lineRule="auto"/>
        <w:rPr>
          <w:rFonts w:ascii="Arial" w:cs="Arial" w:eastAsia="Arial" w:hAnsi="Arial"/>
          <w:sz w:val="18"/>
          <w:szCs w:val="18"/>
          <w:color w:val="auto"/>
        </w:rPr>
      </w:pPr>
      <w:r>
        <w:rPr>
          <w:rFonts w:ascii="Arial" w:cs="Arial" w:eastAsia="Arial" w:hAnsi="Arial"/>
          <w:sz w:val="18"/>
          <w:szCs w:val="18"/>
          <w:color w:val="auto"/>
        </w:rPr>
        <w:t>declaring the filing effective, does not relieve the Company from its full responsibility for the adequacy and accuracy of the disclosure in the filing; and</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type w:val="continuous"/>
        </w:sectPr>
      </w:pPr>
    </w:p>
    <w:bookmarkStart w:id="1" w:name="page2"/>
    <w:bookmarkEnd w:id="1"/>
    <w:p>
      <w:pPr>
        <w:ind w:firstLine="648"/>
        <w:spacing w:after="0" w:line="264" w:lineRule="auto"/>
        <w:rPr>
          <w:sz w:val="20"/>
          <w:szCs w:val="20"/>
          <w:color w:val="auto"/>
        </w:rPr>
      </w:pPr>
      <w:r>
        <w:rPr>
          <w:rFonts w:ascii="Arial" w:cs="Arial" w:eastAsia="Arial" w:hAnsi="Arial"/>
          <w:sz w:val="18"/>
          <w:szCs w:val="18"/>
          <w:color w:val="auto"/>
        </w:rPr>
        <w:t>We hereby authorize Mark Catchur of Shumaker, Loop &amp; Kendrick, LLP, our outside legal counsel, to orally modify or withdraw this request of acceleration. Once the Registration Statement has been declared effective, please confirm that event with Mr. Catchur at (813) 227-2264. Thank you for your assistance in this matter.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Michael Loiacono</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Mark Catchur, 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2020-01-10T23:27:55Z</dcterms:created>
  <dcterms:modified xsi:type="dcterms:W3CDTF">2020-01-10T23:27:55Z</dcterms:modified>
</cp:coreProperties>
</file>