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132715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25"/>
          <w:szCs w:val="25"/>
          <w:b w:val="1"/>
          <w:bCs w:val="1"/>
          <w:color w:val="auto"/>
        </w:rPr>
        <w:t>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36"/>
          <w:szCs w:val="36"/>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31115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(Name of Issuer)</w:t>
      </w:r>
    </w:p>
    <w:p>
      <w:pPr>
        <w:spacing w:after="0" w:line="255"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19685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70"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57055L206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(CUSIP Number)</w:t>
      </w:r>
    </w:p>
    <w:p>
      <w:pPr>
        <w:spacing w:after="0" w:line="270"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Stephanie Brecher</w:t>
      </w:r>
    </w:p>
    <w:p>
      <w:pPr>
        <w:spacing w:after="0" w:line="3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New Enterprise Associates</w:t>
      </w:r>
    </w:p>
    <w:p>
      <w:pPr>
        <w:spacing w:after="0" w:line="9"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1954 Greenspring Drive, Suite 600</w:t>
      </w:r>
    </w:p>
    <w:p>
      <w:pPr>
        <w:spacing w:after="0" w:line="9"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Timonium, MD 21093</w:t>
      </w:r>
    </w:p>
    <w:p>
      <w:pPr>
        <w:spacing w:after="0" w:line="9"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(410) 842-4000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5715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57"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May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19685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left="2"/>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highlight w:val="lightGray"/>
        </w:rPr>
        <w:t>☐</w:t>
      </w:r>
    </w:p>
    <w:p>
      <w:pPr>
        <w:spacing w:after="0" w:line="166" w:lineRule="exact"/>
        <w:rPr>
          <w:sz w:val="24"/>
          <w:szCs w:val="24"/>
          <w:color w:val="auto"/>
        </w:rPr>
      </w:pPr>
    </w:p>
    <w:p>
      <w:pPr>
        <w:ind w:left="2"/>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199" w:lineRule="exact"/>
        <w:rPr>
          <w:sz w:val="24"/>
          <w:szCs w:val="24"/>
          <w:color w:val="auto"/>
        </w:rPr>
      </w:pPr>
    </w:p>
    <w:p>
      <w:pPr>
        <w:ind w:left="2" w:hanging="2"/>
        <w:spacing w:after="0" w:line="195" w:lineRule="auto"/>
        <w:tabs>
          <w:tab w:leader="none" w:pos="128"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123190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149225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2"/>
          </w:cols>
          <w:pgMar w:left="778" w:top="689" w:right="7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57055L206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2 of 20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9" w:right="339" w:bottom="1095"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Enterprise Associates 16, L.P.</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WC</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 Limited Partnership</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10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2"/>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1,071,428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2"/>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2"/>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1,071,428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1095"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1,071,428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12.0%</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1095" w:gutter="0" w:footer="0" w:header="0"/>
          <w:type w:val="continuous"/>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57055L206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3 of 20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821" w:right="339" w:bottom="609"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NEA Partners 16, L.P.</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 Limited Partnership</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821" w:right="339" w:bottom="6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3"/>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1,071,428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3"/>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3"/>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1,071,428 Shares</w:t>
      </w:r>
    </w:p>
    <w:p>
      <w:pPr>
        <w:spacing w:after="0" w:line="200" w:lineRule="exact"/>
        <w:rPr>
          <w:sz w:val="20"/>
          <w:szCs w:val="20"/>
          <w:color w:val="auto"/>
        </w:rPr>
      </w:pPr>
    </w:p>
    <w:p>
      <w:pPr>
        <w:sectPr>
          <w:pgSz w:w="11900" w:h="16838" w:orient="portrait"/>
          <w:cols w:equalWidth="0" w:num="2">
            <w:col w:w="1480" w:space="450"/>
            <w:col w:w="9310"/>
          </w:cols>
          <w:pgMar w:left="320" w:top="821" w:right="339" w:bottom="609"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1,071,428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12.0%</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1" w:right="339" w:bottom="609" w:gutter="0" w:footer="0" w:header="0"/>
          <w:type w:val="continuous"/>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CUSIP No. 57055L206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4 of 20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822" w:right="339" w:bottom="609"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NEA 16 GP, LLC</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 Limited Liability Company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822" w:right="339" w:bottom="6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4"/>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1,071,428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4"/>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4"/>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1,071,428 Shares</w:t>
      </w:r>
    </w:p>
    <w:p>
      <w:pPr>
        <w:spacing w:after="0" w:line="200" w:lineRule="exact"/>
        <w:rPr>
          <w:sz w:val="20"/>
          <w:szCs w:val="20"/>
          <w:color w:val="auto"/>
        </w:rPr>
      </w:pPr>
    </w:p>
    <w:p>
      <w:pPr>
        <w:sectPr>
          <w:pgSz w:w="11900" w:h="16838" w:orient="portrait"/>
          <w:cols w:equalWidth="0" w:num="2">
            <w:col w:w="1480" w:space="450"/>
            <w:col w:w="9310"/>
          </w:cols>
          <w:pgMar w:left="320" w:top="822" w:right="339" w:bottom="609"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1,071,428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12.0%</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OO</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2" w:right="339" w:bottom="609" w:gutter="0" w:footer="0" w:header="0"/>
          <w:type w:val="continuous"/>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CUSIP No. 57055L206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5 of 20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822" w:right="339" w:bottom="852"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Forest Baskett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822" w:right="339" w:bottom="8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5"/>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1,071,428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5"/>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5"/>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1,071,428 Shares</w:t>
      </w:r>
    </w:p>
    <w:p>
      <w:pPr>
        <w:spacing w:after="0" w:line="200" w:lineRule="exact"/>
        <w:rPr>
          <w:sz w:val="20"/>
          <w:szCs w:val="20"/>
          <w:color w:val="auto"/>
        </w:rPr>
      </w:pPr>
    </w:p>
    <w:p>
      <w:pPr>
        <w:sectPr>
          <w:pgSz w:w="11900" w:h="16838" w:orient="portrait"/>
          <w:cols w:equalWidth="0" w:num="2">
            <w:col w:w="1480" w:space="450"/>
            <w:col w:w="9310"/>
          </w:cols>
          <w:pgMar w:left="320" w:top="822" w:right="339" w:bottom="852"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1,071,428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12.0%</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2" w:right="339" w:bottom="852" w:gutter="0" w:footer="0" w:header="0"/>
          <w:type w:val="continuous"/>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57055L206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6 of 20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822" w:right="339" w:bottom="609"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Ali Behbahani</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822" w:right="339" w:bottom="6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6"/>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1,071,428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6"/>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6"/>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1,071,428 Shares</w:t>
      </w:r>
    </w:p>
    <w:p>
      <w:pPr>
        <w:spacing w:after="0" w:line="200" w:lineRule="exact"/>
        <w:rPr>
          <w:sz w:val="20"/>
          <w:szCs w:val="20"/>
          <w:color w:val="auto"/>
        </w:rPr>
      </w:pPr>
    </w:p>
    <w:p>
      <w:pPr>
        <w:sectPr>
          <w:pgSz w:w="11900" w:h="16838" w:orient="portrait"/>
          <w:cols w:equalWidth="0" w:num="2">
            <w:col w:w="1480" w:space="450"/>
            <w:col w:w="9310"/>
          </w:cols>
          <w:pgMar w:left="320" w:top="822" w:right="339" w:bottom="609"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1,071,428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12.0%</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2" w:right="339" w:bottom="609" w:gutter="0" w:footer="0" w:header="0"/>
          <w:type w:val="continuous"/>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57055L206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7 of 20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58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ectPr>
          <w:pgSz w:w="11900" w:h="16838" w:orient="portrait"/>
          <w:cols w:equalWidth="0" w:num="1">
            <w:col w:w="11240"/>
          </w:cols>
          <w:pgMar w:left="320" w:top="578" w:right="339" w:bottom="811"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Carmen Chang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9"/>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8" w:right="339" w:bottom="81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7"/>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1,071,428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7"/>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7"/>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1,071,428 Shares</w:t>
      </w:r>
    </w:p>
    <w:p>
      <w:pPr>
        <w:spacing w:after="0" w:line="200" w:lineRule="exact"/>
        <w:rPr>
          <w:sz w:val="20"/>
          <w:szCs w:val="20"/>
          <w:color w:val="auto"/>
        </w:rPr>
      </w:pPr>
    </w:p>
    <w:p>
      <w:pPr>
        <w:sectPr>
          <w:pgSz w:w="11900" w:h="16838" w:orient="portrait"/>
          <w:cols w:equalWidth="0" w:num="2">
            <w:col w:w="1480" w:space="450"/>
            <w:col w:w="9310"/>
          </w:cols>
          <w:pgMar w:left="320" w:top="578" w:right="339" w:bottom="811"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1,071,428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12.0%</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8" w:right="339" w:bottom="811" w:gutter="0" w:footer="0" w:header="0"/>
          <w:type w:val="continuous"/>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57055L206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8 of 20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821" w:right="339" w:bottom="609"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Anthony A. Florence, Jr.</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9"/>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821" w:right="339" w:bottom="6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8"/>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1,071,428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8"/>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8"/>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1,071,428 Shares</w:t>
      </w:r>
    </w:p>
    <w:p>
      <w:pPr>
        <w:spacing w:after="0" w:line="200" w:lineRule="exact"/>
        <w:rPr>
          <w:sz w:val="20"/>
          <w:szCs w:val="20"/>
          <w:color w:val="auto"/>
        </w:rPr>
      </w:pPr>
    </w:p>
    <w:p>
      <w:pPr>
        <w:sectPr>
          <w:pgSz w:w="11900" w:h="16838" w:orient="portrait"/>
          <w:cols w:equalWidth="0" w:num="2">
            <w:col w:w="1480" w:space="450"/>
            <w:col w:w="9310"/>
          </w:cols>
          <w:pgMar w:left="320" w:top="821" w:right="339" w:bottom="609"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1,071,428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12.0%</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1" w:right="339" w:bottom="609" w:gutter="0" w:footer="0" w:header="0"/>
          <w:type w:val="continuous"/>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57055L206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9 of 20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8" w:right="339" w:bottom="1095"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Mohamad H. Makhzoumi</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8" w:right="339" w:bottom="10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9"/>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1,071,428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9"/>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9"/>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1,071,428 Shares</w:t>
      </w:r>
    </w:p>
    <w:p>
      <w:pPr>
        <w:spacing w:after="0" w:line="200" w:lineRule="exact"/>
        <w:rPr>
          <w:sz w:val="20"/>
          <w:szCs w:val="20"/>
          <w:color w:val="auto"/>
        </w:rPr>
      </w:pPr>
    </w:p>
    <w:p>
      <w:pPr>
        <w:sectPr>
          <w:pgSz w:w="11900" w:h="16838" w:orient="portrait"/>
          <w:cols w:equalWidth="0" w:num="2">
            <w:col w:w="1480" w:space="450"/>
            <w:col w:w="9310"/>
          </w:cols>
          <w:pgMar w:left="320" w:top="578" w:right="339" w:bottom="1095"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1,071,428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12.0%</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8" w:right="339" w:bottom="1095" w:gutter="0" w:footer="0" w:header="0"/>
          <w:type w:val="continuous"/>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57055L206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10 of 20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8" w:right="339" w:bottom="852"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Scott D. Sandell</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8" w:right="339" w:bottom="8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10"/>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1,071,428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10"/>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10"/>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1,071,428 Shares</w:t>
      </w:r>
    </w:p>
    <w:p>
      <w:pPr>
        <w:spacing w:after="0" w:line="200" w:lineRule="exact"/>
        <w:rPr>
          <w:sz w:val="20"/>
          <w:szCs w:val="20"/>
          <w:color w:val="auto"/>
        </w:rPr>
      </w:pPr>
    </w:p>
    <w:p>
      <w:pPr>
        <w:sectPr>
          <w:pgSz w:w="11900" w:h="16838" w:orient="portrait"/>
          <w:cols w:equalWidth="0" w:num="2">
            <w:col w:w="1480" w:space="450"/>
            <w:col w:w="9310"/>
          </w:cols>
          <w:pgMar w:left="320" w:top="578" w:right="339" w:bottom="852"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1,071,428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12.0%</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8" w:right="339" w:bottom="852" w:gutter="0" w:footer="0" w:header="0"/>
          <w:type w:val="continuous"/>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57055L206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60"/>
              <w:spacing w:after="0"/>
              <w:rPr>
                <w:sz w:val="20"/>
                <w:szCs w:val="20"/>
                <w:color w:val="auto"/>
              </w:rPr>
            </w:pPr>
            <w:r>
              <w:rPr>
                <w:rFonts w:ascii="Times New Roman" w:cs="Times New Roman" w:eastAsia="Times New Roman" w:hAnsi="Times New Roman"/>
                <w:sz w:val="18"/>
                <w:szCs w:val="18"/>
                <w:b w:val="1"/>
                <w:bCs w:val="1"/>
                <w:color w:val="auto"/>
              </w:rPr>
              <w:t>Page 11 of 20 Pages</w:t>
            </w:r>
          </w:p>
        </w:tc>
      </w:tr>
      <w:tr>
        <w:trPr>
          <w:trHeight w:val="67"/>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9" w:right="339" w:bottom="852"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Paul Walker</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8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11"/>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1,071,428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11"/>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11"/>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1,071,428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852"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1,071,428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12.0%</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852" w:gutter="0" w:footer="0" w:header="0"/>
          <w:type w:val="continuous"/>
        </w:sectPr>
      </w:pPr>
    </w:p>
    <w:bookmarkStart w:id="11" w:name="page12"/>
    <w:bookmarkEnd w:id="11"/>
    <w:p>
      <w:pPr>
        <w:ind w:left="80"/>
        <w:spacing w:after="0"/>
        <w:tabs>
          <w:tab w:leader="none" w:pos="5460" w:val="left"/>
          <w:tab w:leader="none" w:pos="9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534670</wp:posOffset>
            </wp:positionV>
            <wp:extent cx="2357120"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236601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57055L206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12 of 20 Pages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Security and Issuer</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This Amendment No. 2 (“Amendment No. 2”) to Schedule 13D amends and supplements the statement on Schedule 13D originally filed on October 25, 2018, and Amendment No. 1 thereto filed on March 26, 2021, relating to the common stock, $0.001 par value (the “Common Stock”), of Marker Therapeutics, Inc. (the “Issuer”) having its principal executive office at 9350 Kirby Drive, Suite 300, Houston, Texas 77054.</w:t>
      </w:r>
    </w:p>
    <w:p>
      <w:pPr>
        <w:spacing w:after="0" w:line="176"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Certain terms used but not defined in this Amendment No. 1 have the meanings assigned thereto in the Schedule 13D. Except as specifically provided herein, this Amendment No. 1 does not modify any of the information previously reported on the Schedule 13D.</w:t>
      </w:r>
    </w:p>
    <w:p>
      <w:pPr>
        <w:spacing w:after="0" w:line="16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This Amendment No. 2 is being filed to report that the beneficial ownership of Common Stock by the Reporting Persons (as defined below) has decreased by more than 1% as a result of an increase in the number of Common Stock outstanding and the Warrant Expiration.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Identity and Background</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This statement is being filed by:</w:t>
      </w:r>
    </w:p>
    <w:p>
      <w:pPr>
        <w:spacing w:after="0" w:line="225" w:lineRule="exact"/>
        <w:rPr>
          <w:sz w:val="20"/>
          <w:szCs w:val="20"/>
          <w:color w:val="auto"/>
        </w:rPr>
      </w:pPr>
    </w:p>
    <w:p>
      <w:pPr>
        <w:ind w:firstLine="584"/>
        <w:spacing w:after="0" w:line="282" w:lineRule="auto"/>
        <w:tabs>
          <w:tab w:leader="none" w:pos="8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Enterprise Associates 16, L.P. (“NEA 16”), NEA Partners 16, L.P. (“NEA Partners 16”), which is the sole general partner of NEA 16; and NEA 16 GP, LLC (“NEA 16 LLC” and, together with NEA Partners 16, the “Control Entities”), which is the sole general partner of NEA Partners 16; and</w:t>
      </w:r>
    </w:p>
    <w:p>
      <w:pPr>
        <w:spacing w:after="0" w:line="161" w:lineRule="exact"/>
        <w:rPr>
          <w:rFonts w:ascii="Times New Roman" w:cs="Times New Roman" w:eastAsia="Times New Roman" w:hAnsi="Times New Roman"/>
          <w:sz w:val="18"/>
          <w:szCs w:val="18"/>
          <w:color w:val="auto"/>
        </w:rPr>
      </w:pPr>
    </w:p>
    <w:p>
      <w:pPr>
        <w:jc w:val="both"/>
        <w:ind w:firstLine="584"/>
        <w:spacing w:after="0" w:line="266" w:lineRule="auto"/>
        <w:tabs>
          <w:tab w:leader="none" w:pos="8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Forest Baskett (“Baskett”), Ali Behbahani (“Behbahani”), Carmen Chang (“Chang”), Anthony A. Florence, Jr. (“Florence”), Mohamad H. Makhzoumi (“Makhzoumi”), Scott D. Sandell (“Sandell”) and Paul Walker (“Walker”) (together, the “Managers”), Joshua Makower (“Makower”) and Peter W. Sonsini (“Sonsini”). The Managers are the managers of NEA 16 LLC.</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persons named in this Item 2 are referred to individually herein as a “Reporting Person” and collectively as the “Reporting Persons.”</w:t>
      </w:r>
    </w:p>
    <w:p>
      <w:pPr>
        <w:spacing w:after="0" w:line="225" w:lineRule="exact"/>
        <w:rPr>
          <w:sz w:val="20"/>
          <w:szCs w:val="20"/>
          <w:color w:val="auto"/>
        </w:rPr>
      </w:pPr>
    </w:p>
    <w:p>
      <w:pPr>
        <w:jc w:val="both"/>
        <w:ind w:firstLine="576"/>
        <w:spacing w:after="0" w:line="269" w:lineRule="auto"/>
        <w:rPr>
          <w:sz w:val="20"/>
          <w:szCs w:val="20"/>
          <w:color w:val="auto"/>
        </w:rPr>
      </w:pPr>
      <w:r>
        <w:rPr>
          <w:rFonts w:ascii="Times New Roman" w:cs="Times New Roman" w:eastAsia="Times New Roman" w:hAnsi="Times New Roman"/>
          <w:sz w:val="18"/>
          <w:szCs w:val="18"/>
          <w:color w:val="auto"/>
        </w:rPr>
        <w:t>The address of the principal business office of NEA 16, each Control Entity and Sandell is New Enterprise Associates, 1954 Greenspring Drive, Suite 600, Timonium, MD 21093. The address of the principal business office of Baskett, Behbahani, Chang, Makhzoumi, and Walker is New Enterprise Associates, 2855 Sand Hill Road, Menlo Park, California 94025. The address of the principal business office of Florence is New Enterprise Associates, 104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10011.</w:t>
      </w:r>
    </w:p>
    <w:p>
      <w:pPr>
        <w:spacing w:after="0" w:line="5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The principal business of NEA 16 is to invest in and assist growth-oriented businesses located principally in the United States. The principal business of NEA Partners 16 is to act as the sole general partner of NEA 16. The principal business of NEA 16 LLC is to act as the sole general partner of NEA Partners 16. The principal business of each of the Managers is to manage the Control Entities, NEA 16 and a number of affiliated partnerships with similar businesses.</w:t>
      </w:r>
    </w:p>
    <w:p>
      <w:pPr>
        <w:spacing w:after="0" w:line="18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p>
      <w:pPr>
        <w:spacing w:after="0" w:line="176" w:lineRule="exact"/>
        <w:rPr>
          <w:sz w:val="20"/>
          <w:szCs w:val="20"/>
          <w:color w:val="auto"/>
        </w:rPr>
      </w:pPr>
    </w:p>
    <w:p>
      <w:pPr>
        <w:jc w:val="both"/>
        <w:ind w:right="20" w:firstLine="576"/>
        <w:spacing w:after="0" w:line="282" w:lineRule="auto"/>
        <w:rPr>
          <w:sz w:val="20"/>
          <w:szCs w:val="20"/>
          <w:color w:val="auto"/>
        </w:rPr>
      </w:pPr>
      <w:r>
        <w:rPr>
          <w:rFonts w:ascii="Times New Roman" w:cs="Times New Roman" w:eastAsia="Times New Roman" w:hAnsi="Times New Roman"/>
          <w:sz w:val="18"/>
          <w:szCs w:val="18"/>
          <w:color w:val="auto"/>
        </w:rPr>
        <w:t>NEA 16 LLC is a limited liability company organized under the laws of the State of Delaware. NEA 16 and NEA Partners 16 are limited partnerships organized under the laws of the State of Delaware. Each of the Managers is a United States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2" w:name="page13"/>
    <w:bookmarkEnd w:id="12"/>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57055L206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13 of 20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Source and Amount of Funds or Other Consideration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Purpose of Transaction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Interest in Securities of the Issuer</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1300" w:hanging="725"/>
        <w:spacing w:after="0" w:line="258"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Common Stock reported herein reflect a 1-for-10 reverse stock split effected by the Issuer on January 27, 2023 (the “Reverse Stock Split”). Prior to October 17, 2023 (the “Warrant Expiration Date”), NEA 16 held 375,000 warrants to purchase shares of Common Stock, exercisable immediately, at an exercise price of $50.00 per share with a five-year term (the “NEA 16 Warrants”). On the Warrant Expiration Date, the right of NEA 16 to exercise the NEA 16 Warrants expired by the terms of the applicable warrants and such right was not exercised by the NEA 16, in whole or in part, prior to such expiration (the “Warrant Expiration”).</w:t>
      </w:r>
    </w:p>
    <w:p>
      <w:pPr>
        <w:spacing w:after="0" w:line="183"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Reverse Stock Split and the Warrant Expiration, NEA 16 is the record owner of 1,071,428 shares of Common Stock (the “NEA 16 Shares”). As the general partner of NEA 16, NEA Partners 16 may be deemed to own beneficially the NEA 16 Shares. As the sole general partner of NEA Partners 16, NEA 16 LLC may be deemed to own beneficially the NEA 16 Shares. As members of NEA 16 LLC, each of the Managers may be deemed to own beneficially the NEA 16 Shares.</w:t>
      </w:r>
    </w:p>
    <w:p>
      <w:pPr>
        <w:spacing w:after="0" w:line="17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Reporting Person disclaims beneficial ownership of the NEA 16 Shares other than those shares which such person owns of record.</w:t>
      </w:r>
    </w:p>
    <w:p>
      <w:pPr>
        <w:spacing w:after="0" w:line="225"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outstanding Common Stock of the Issuer which may be deemed to be beneficially owned by each Reporting Person is set forth on Line 13 of such Reporting Person’s cover sheet. Such percentage was calculated based on 8,919,095 shares of Common Stock reported by the Issuer to be outstanding as of May 6, 2024 on the Issuer’s Form 10-Q filed with the Securities and Exchange Commission on May 15, 2024.</w:t>
      </w:r>
    </w:p>
    <w:p>
      <w:pPr>
        <w:spacing w:after="0" w:line="179" w:lineRule="exact"/>
        <w:rPr>
          <w:rFonts w:ascii="Times New Roman" w:cs="Times New Roman" w:eastAsia="Times New Roman" w:hAnsi="Times New Roman"/>
          <w:sz w:val="18"/>
          <w:szCs w:val="18"/>
          <w:color w:val="auto"/>
        </w:rPr>
      </w:pPr>
    </w:p>
    <w:p>
      <w:pPr>
        <w:ind w:left="1300" w:hanging="725"/>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the number of shares as to which such person has: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line 7 of cover sheets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line 8 of cover sheets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See line 9 of cover sheets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See line 10 of cover sheets</w:t>
      </w:r>
    </w:p>
    <w:p>
      <w:pPr>
        <w:spacing w:after="0" w:line="225" w:lineRule="exact"/>
        <w:rPr>
          <w:rFonts w:ascii="Times New Roman" w:cs="Times New Roman" w:eastAsia="Times New Roman" w:hAnsi="Times New Roman"/>
          <w:sz w:val="18"/>
          <w:szCs w:val="18"/>
          <w:color w:val="auto"/>
        </w:rPr>
      </w:pPr>
    </w:p>
    <w:p>
      <w:pPr>
        <w:ind w:left="1300" w:hanging="725"/>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Item 3 above, none of the Reporting Persons has effected any transaction in the Common Stock during the last 60 days.</w:t>
      </w:r>
    </w:p>
    <w:p>
      <w:pPr>
        <w:spacing w:after="0" w:line="161" w:lineRule="exact"/>
        <w:rPr>
          <w:rFonts w:ascii="Times New Roman" w:cs="Times New Roman" w:eastAsia="Times New Roman" w:hAnsi="Times New Roman"/>
          <w:sz w:val="18"/>
          <w:szCs w:val="18"/>
          <w:color w:val="auto"/>
        </w:rPr>
      </w:pPr>
    </w:p>
    <w:p>
      <w:pPr>
        <w:ind w:left="1300" w:hanging="725"/>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person is known to have the right to receive or the power to direct the receipt of dividends from, or any proceeds from the sale of, Common Stock beneficially owned by any of the Reporting Persons.</w:t>
      </w:r>
    </w:p>
    <w:p>
      <w:pPr>
        <w:spacing w:after="0" w:line="161" w:lineRule="exact"/>
        <w:rPr>
          <w:rFonts w:ascii="Times New Roman" w:cs="Times New Roman" w:eastAsia="Times New Roman" w:hAnsi="Times New Roman"/>
          <w:sz w:val="18"/>
          <w:szCs w:val="18"/>
          <w:color w:val="auto"/>
        </w:rPr>
      </w:pPr>
    </w:p>
    <w:p>
      <w:pPr>
        <w:ind w:left="1300" w:hanging="725"/>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Makower and Sonsini has ceased to own beneficially five percent or more of the Issuer’s Common Stock as a result of ceasing to be a manager of NEA 16 LLC.</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Contracts, Arrangements, Undertakings or Relationships with Respect to Securities of the Issuer</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u w:val="single" w:color="auto"/>
          <w:color w:val="auto"/>
        </w:rPr>
        <w:t>Material to be Filed as Exhibits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EE"/>
        </w:rPr>
        <w:t>Exhibit 1 – Agreement regarding filing of joint Schedule 13D.</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EE"/>
        </w:rPr>
        <w:t>Exhibit 2 – Power of Attorney regarding filings under the Securities Exchange Act of 1934, as amended</w:t>
      </w:r>
      <w:r>
        <w:rPr>
          <w:rFonts w:ascii="Times New Roman" w:cs="Times New Roman" w:eastAsia="Times New Roman" w:hAnsi="Times New Roman"/>
          <w:sz w:val="18"/>
          <w:szCs w:val="18"/>
          <w:color w:val="000000"/>
        </w:rPr>
        <w:t>.</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EE"/>
        </w:rPr>
        <w:t>Exhibit 3 – Power of Attorney on behalf of Joshua Makower regarding filings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3" w:name="page14"/>
    <w:bookmarkEnd w:id="13"/>
    <w:p>
      <w:pPr>
        <w:ind w:left="80"/>
        <w:spacing w:after="0"/>
        <w:tabs>
          <w:tab w:leader="none" w:pos="5460" w:val="left"/>
          <w:tab w:leader="none" w:pos="9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57055L206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14 of 20 Pages</w:t>
      </w:r>
    </w:p>
    <w:p>
      <w:pPr>
        <w:sectPr>
          <w:pgSz w:w="11900" w:h="16838" w:orient="portrait"/>
          <w:cols w:equalWidth="0" w:num="1">
            <w:col w:w="11240"/>
          </w:cols>
          <w:pgMar w:left="320" w:top="644" w:right="3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this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May, 2024.</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ENTERPRISE ASSOCIATES 16,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NEA PARTNERS 16, L.P.</w:t>
            </w:r>
          </w:p>
        </w:tc>
      </w:tr>
      <w:tr>
        <w:trPr>
          <w:trHeight w:val="234"/>
        </w:trPr>
        <w:tc>
          <w:tcPr>
            <w:tcW w:w="500" w:type="dxa"/>
            <w:vAlign w:val="bottom"/>
          </w:tcPr>
          <w:p>
            <w:pPr>
              <w:spacing w:after="0"/>
              <w:rPr>
                <w:sz w:val="20"/>
                <w:szCs w:val="20"/>
                <w:color w:val="auto"/>
              </w:rPr>
            </w:pPr>
          </w:p>
        </w:tc>
        <w:tc>
          <w:tcPr>
            <w:tcW w:w="5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0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NEA 16 GP, LLC</w:t>
            </w:r>
          </w:p>
        </w:tc>
      </w:tr>
      <w:tr>
        <w:trPr>
          <w:trHeight w:val="234"/>
        </w:trPr>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500"/>
        </w:trPr>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Anthony A. Florence, Jr.</w:t>
            </w:r>
          </w:p>
        </w:tc>
      </w:tr>
      <w:tr>
        <w:trPr>
          <w:trHeight w:val="234"/>
        </w:trPr>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r>
        <w:trPr>
          <w:trHeight w:val="405"/>
        </w:trPr>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Mohamad H. Makhzoumi</w:t>
            </w:r>
          </w:p>
        </w:tc>
      </w:tr>
      <w:tr>
        <w:trPr>
          <w:trHeight w:val="234"/>
        </w:trPr>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PARTNERS 16,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NEA 16 GP, LLC</w:t>
            </w:r>
          </w:p>
        </w:tc>
      </w:tr>
      <w:tr>
        <w:trPr>
          <w:trHeight w:val="234"/>
        </w:trPr>
        <w:tc>
          <w:tcPr>
            <w:tcW w:w="400" w:type="dxa"/>
            <w:vAlign w:val="bottom"/>
          </w:tcPr>
          <w:p>
            <w:pPr>
              <w:spacing w:after="0"/>
              <w:rPr>
                <w:sz w:val="20"/>
                <w:szCs w:val="20"/>
                <w:color w:val="auto"/>
              </w:rPr>
            </w:pPr>
          </w:p>
        </w:tc>
        <w:tc>
          <w:tcPr>
            <w:tcW w:w="4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05"/>
        </w:trPr>
        <w:tc>
          <w:tcPr>
            <w:tcW w:w="4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3"/>
              </w:rPr>
              <w:t>  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24"/>
                <w:szCs w:val="24"/>
                <w:color w:val="auto"/>
              </w:rPr>
            </w:pPr>
          </w:p>
        </w:tc>
      </w:tr>
      <w:tr>
        <w:trPr>
          <w:trHeight w:val="214"/>
        </w:trPr>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Anthony A. Florence, Jr.</w:t>
            </w:r>
          </w:p>
        </w:tc>
      </w:tr>
      <w:tr>
        <w:trPr>
          <w:trHeight w:val="258"/>
        </w:trPr>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17"/>
                <w:szCs w:val="17"/>
                <w:color w:val="auto"/>
              </w:rPr>
              <w:t>Managing Partner and Co-Chief Executive Officer</w:t>
            </w:r>
          </w:p>
        </w:tc>
      </w:tr>
      <w:tr>
        <w:trPr>
          <w:trHeight w:val="399"/>
        </w:trPr>
        <w:tc>
          <w:tcPr>
            <w:tcW w:w="4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3"/>
              </w:rPr>
              <w:t>  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24"/>
                <w:szCs w:val="24"/>
                <w:color w:val="auto"/>
              </w:rPr>
            </w:pPr>
          </w:p>
        </w:tc>
      </w:tr>
      <w:tr>
        <w:trPr>
          <w:trHeight w:val="218"/>
        </w:trPr>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Mohamad H. Makhzoumi</w:t>
            </w:r>
          </w:p>
        </w:tc>
      </w:tr>
      <w:tr>
        <w:trPr>
          <w:trHeight w:val="234"/>
        </w:trPr>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Managing Partner and Co-Chief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16 GP, LLC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spacing w:after="0"/>
              <w:rPr>
                <w:sz w:val="18"/>
                <w:szCs w:val="18"/>
                <w:color w:val="auto"/>
              </w:rPr>
            </w:pPr>
          </w:p>
        </w:tc>
      </w:tr>
      <w:tr>
        <w:trPr>
          <w:trHeight w:val="218"/>
        </w:trPr>
        <w:tc>
          <w:tcPr>
            <w:tcW w:w="360" w:type="dxa"/>
            <w:vAlign w:val="bottom"/>
          </w:tcPr>
          <w:p>
            <w:pPr>
              <w:spacing w:after="0"/>
              <w:rPr>
                <w:sz w:val="18"/>
                <w:szCs w:val="18"/>
                <w:color w:val="auto"/>
              </w:rPr>
            </w:pPr>
          </w:p>
        </w:tc>
        <w:tc>
          <w:tcPr>
            <w:tcW w:w="10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A. Florence, Jr.</w:t>
            </w:r>
          </w:p>
        </w:tc>
      </w:tr>
      <w:tr>
        <w:trPr>
          <w:trHeight w:val="234"/>
        </w:trPr>
        <w:tc>
          <w:tcPr>
            <w:tcW w:w="360" w:type="dxa"/>
            <w:vAlign w:val="bottom"/>
          </w:tcPr>
          <w:p>
            <w:pPr>
              <w:spacing w:after="0"/>
              <w:rPr>
                <w:sz w:val="20"/>
                <w:szCs w:val="20"/>
                <w:color w:val="auto"/>
              </w:rPr>
            </w:pPr>
          </w:p>
        </w:tc>
        <w:tc>
          <w:tcPr>
            <w:tcW w:w="10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tc>
      </w:tr>
      <w:tr>
        <w:trPr>
          <w:trHeight w:val="40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spacing w:after="0"/>
              <w:rPr>
                <w:sz w:val="24"/>
                <w:szCs w:val="24"/>
                <w:color w:val="auto"/>
              </w:rPr>
            </w:pPr>
          </w:p>
        </w:tc>
      </w:tr>
      <w:tr>
        <w:trPr>
          <w:trHeight w:val="218"/>
        </w:trPr>
        <w:tc>
          <w:tcPr>
            <w:tcW w:w="360" w:type="dxa"/>
            <w:vAlign w:val="bottom"/>
          </w:tcPr>
          <w:p>
            <w:pPr>
              <w:spacing w:after="0"/>
              <w:rPr>
                <w:sz w:val="18"/>
                <w:szCs w:val="18"/>
                <w:color w:val="auto"/>
              </w:rPr>
            </w:pPr>
          </w:p>
        </w:tc>
        <w:tc>
          <w:tcPr>
            <w:tcW w:w="10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Mohamad H. Makhzoumi</w:t>
            </w:r>
          </w:p>
        </w:tc>
      </w:tr>
      <w:tr>
        <w:trPr>
          <w:trHeight w:val="234"/>
        </w:trPr>
        <w:tc>
          <w:tcPr>
            <w:tcW w:w="360" w:type="dxa"/>
            <w:vAlign w:val="bottom"/>
          </w:tcPr>
          <w:p>
            <w:pPr>
              <w:spacing w:after="0"/>
              <w:rPr>
                <w:sz w:val="20"/>
                <w:szCs w:val="20"/>
                <w:color w:val="auto"/>
              </w:rPr>
            </w:pPr>
          </w:p>
        </w:tc>
        <w:tc>
          <w:tcPr>
            <w:tcW w:w="10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tc>
      </w:tr>
      <w:tr>
        <w:trPr>
          <w:trHeight w:val="1215"/>
        </w:trPr>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4" w:right="339" w:bottom="1440" w:gutter="0" w:footer="0" w:header="0"/>
          <w:type w:val="continuous"/>
        </w:sectPr>
      </w:pPr>
    </w:p>
    <w:bookmarkStart w:id="14" w:name="page15"/>
    <w:bookmarkEnd w:id="14"/>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b w:val="1"/>
          <w:bCs w:val="1"/>
          <w:color w:val="auto"/>
        </w:rPr>
        <w:t>CUSIP No. 57055L206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Forest Baskett</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 Behbahani</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Carmen Chang</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Mohamad H. Makhzoumi</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Makower</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W. Sonsini</w:t>
      </w:r>
    </w:p>
    <w:p>
      <w:pPr>
        <w:spacing w:after="0" w:line="200" w:lineRule="exact"/>
        <w:rPr>
          <w:sz w:val="20"/>
          <w:szCs w:val="20"/>
          <w:color w:val="auto"/>
        </w:rPr>
      </w:pPr>
    </w:p>
    <w:p>
      <w:pPr>
        <w:spacing w:after="0" w:line="223" w:lineRule="exact"/>
        <w:rPr>
          <w:sz w:val="20"/>
          <w:szCs w:val="20"/>
          <w:color w:val="auto"/>
        </w:rPr>
      </w:pPr>
    </w:p>
    <w:p>
      <w:pPr>
        <w:jc w:val="right"/>
        <w:ind w:right="28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7" w:lineRule="exact"/>
        <w:rPr>
          <w:sz w:val="20"/>
          <w:szCs w:val="20"/>
          <w:color w:val="auto"/>
        </w:rPr>
      </w:pPr>
    </w:p>
    <w:p>
      <w:pPr>
        <w:jc w:val="right"/>
        <w:ind w:right="2860"/>
        <w:spacing w:after="0"/>
        <w:rPr>
          <w:sz w:val="20"/>
          <w:szCs w:val="20"/>
          <w:color w:val="auto"/>
        </w:rPr>
      </w:pPr>
      <w:r>
        <w:rPr>
          <w:rFonts w:ascii="Times New Roman" w:cs="Times New Roman" w:eastAsia="Times New Roman" w:hAnsi="Times New Roman"/>
          <w:sz w:val="17"/>
          <w:szCs w:val="17"/>
          <w:color w:val="auto"/>
        </w:rPr>
        <w:t>Paul Walker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20" w:type="dxa"/>
        <w:tblCellMar>
          <w:top w:w="0" w:type="dxa"/>
          <w:left w:w="0" w:type="dxa"/>
          <w:bottom w:w="0" w:type="dxa"/>
          <w:right w:w="0" w:type="dxa"/>
        </w:tblCellMar>
      </w:tblPr>
      <w:tr>
        <w:trPr>
          <w:trHeight w:val="297"/>
        </w:trPr>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15 of 20 Pages</w:t>
            </w:r>
          </w:p>
        </w:tc>
      </w:tr>
      <w:tr>
        <w:trPr>
          <w:trHeight w:val="68"/>
        </w:trPr>
        <w:tc>
          <w:tcPr>
            <w:tcW w:w="206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Zachary Bambach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3417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Zachary Bambach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attorney-in-fact</w:t>
      </w:r>
    </w:p>
    <w:p>
      <w:pPr>
        <w:spacing w:after="0" w:line="200" w:lineRule="exact"/>
        <w:rPr>
          <w:sz w:val="20"/>
          <w:szCs w:val="20"/>
          <w:color w:val="auto"/>
        </w:rPr>
      </w:pPr>
    </w:p>
    <w:p>
      <w:pPr>
        <w:sectPr>
          <w:pgSz w:w="11900" w:h="16838" w:orient="portrait"/>
          <w:cols w:equalWidth="0" w:num="2">
            <w:col w:w="3740" w:space="720"/>
            <w:col w:w="6780"/>
          </w:cols>
          <w:pgMar w:left="320" w:top="579" w:right="339" w:bottom="1440" w:gutter="0" w:footer="0" w:header="0"/>
        </w:sectPr>
      </w:pPr>
    </w:p>
    <w:p>
      <w:pPr>
        <w:spacing w:after="0" w:line="22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This Amendment No. 2 to Schedule 13D was executed by Zachary Bambach on behalf of the individuals listed above pursuant to Powers of Attorney, copies of which are attached as Exhibit 2 and 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type w:val="continuous"/>
        </w:sectPr>
      </w:pPr>
    </w:p>
    <w:bookmarkStart w:id="15" w:name="page16"/>
    <w:bookmarkEnd w:id="15"/>
    <w:p>
      <w:pPr>
        <w:ind w:left="80"/>
        <w:spacing w:after="0"/>
        <w:tabs>
          <w:tab w:leader="none" w:pos="5460" w:val="left"/>
          <w:tab w:leader="none" w:pos="9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448945</wp:posOffset>
            </wp:positionV>
            <wp:extent cx="2357120"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2366010"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57055L206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16 of 20 Pages</w:t>
      </w:r>
    </w:p>
    <w:p>
      <w:pPr>
        <w:sectPr>
          <w:pgSz w:w="11900" w:h="16838" w:orient="portrait"/>
          <w:cols w:equalWidth="0" w:num="1">
            <w:col w:w="11240"/>
          </w:cols>
          <w:pgMar w:left="320" w:top="752" w:right="339" w:bottom="1440" w:gutter="0" w:footer="0" w:header="0"/>
        </w:sect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Rule 13d-1(k)(1) under the Securities Exchange Act of 1934, the undersigned hereby agree that only one statement containing the information required by Schedule 13D need be filed with respect to the ownership by each of the undersigned of shares of stock of Marker Therapeutics,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this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May, 2024.</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ENTERPRISE ASSOCIATES 16,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NEA PARTNERS 16, L.P.</w:t>
            </w:r>
          </w:p>
        </w:tc>
      </w:tr>
      <w:tr>
        <w:trPr>
          <w:trHeight w:val="234"/>
        </w:trPr>
        <w:tc>
          <w:tcPr>
            <w:tcW w:w="500" w:type="dxa"/>
            <w:vAlign w:val="bottom"/>
          </w:tcPr>
          <w:p>
            <w:pPr>
              <w:spacing w:after="0"/>
              <w:rPr>
                <w:sz w:val="20"/>
                <w:szCs w:val="20"/>
                <w:color w:val="auto"/>
              </w:rPr>
            </w:pPr>
          </w:p>
        </w:tc>
        <w:tc>
          <w:tcPr>
            <w:tcW w:w="5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0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NEA 16 GP, LLC</w:t>
            </w:r>
          </w:p>
        </w:tc>
      </w:tr>
      <w:tr>
        <w:trPr>
          <w:trHeight w:val="234"/>
        </w:trPr>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99"/>
        </w:trPr>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Anthony A. Florence, Jr.</w:t>
            </w:r>
          </w:p>
        </w:tc>
      </w:tr>
      <w:tr>
        <w:trPr>
          <w:trHeight w:val="234"/>
        </w:trPr>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r>
        <w:trPr>
          <w:trHeight w:val="405"/>
        </w:trPr>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Mohamad H. Makhzoumi</w:t>
            </w:r>
          </w:p>
        </w:tc>
      </w:tr>
      <w:tr>
        <w:trPr>
          <w:trHeight w:val="234"/>
        </w:trPr>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PARTNERS 16,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NEA 16 GP, LLC</w:t>
            </w:r>
          </w:p>
        </w:tc>
      </w:tr>
      <w:tr>
        <w:trPr>
          <w:trHeight w:val="234"/>
        </w:trPr>
        <w:tc>
          <w:tcPr>
            <w:tcW w:w="400" w:type="dxa"/>
            <w:vAlign w:val="bottom"/>
          </w:tcPr>
          <w:p>
            <w:pPr>
              <w:spacing w:after="0"/>
              <w:rPr>
                <w:sz w:val="20"/>
                <w:szCs w:val="20"/>
                <w:color w:val="auto"/>
              </w:rPr>
            </w:pPr>
          </w:p>
        </w:tc>
        <w:tc>
          <w:tcPr>
            <w:tcW w:w="4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05"/>
        </w:trPr>
        <w:tc>
          <w:tcPr>
            <w:tcW w:w="4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3"/>
              </w:rPr>
              <w:t>  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24"/>
                <w:szCs w:val="24"/>
                <w:color w:val="auto"/>
              </w:rPr>
            </w:pPr>
          </w:p>
        </w:tc>
      </w:tr>
      <w:tr>
        <w:trPr>
          <w:trHeight w:val="214"/>
        </w:trPr>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Anthony A. Florence, Jr.</w:t>
            </w:r>
          </w:p>
        </w:tc>
      </w:tr>
      <w:tr>
        <w:trPr>
          <w:trHeight w:val="258"/>
        </w:trPr>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17"/>
                <w:szCs w:val="17"/>
                <w:color w:val="auto"/>
              </w:rPr>
              <w:t>Managing Partner and Co-Chief Executive Officer</w:t>
            </w:r>
          </w:p>
        </w:tc>
      </w:tr>
      <w:tr>
        <w:trPr>
          <w:trHeight w:val="399"/>
        </w:trPr>
        <w:tc>
          <w:tcPr>
            <w:tcW w:w="4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3"/>
              </w:rPr>
              <w:t>  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24"/>
                <w:szCs w:val="24"/>
                <w:color w:val="auto"/>
              </w:rPr>
            </w:pPr>
          </w:p>
        </w:tc>
      </w:tr>
      <w:tr>
        <w:trPr>
          <w:trHeight w:val="218"/>
        </w:trPr>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Mohamad H. Makhzoumi</w:t>
            </w:r>
          </w:p>
        </w:tc>
      </w:tr>
      <w:tr>
        <w:trPr>
          <w:trHeight w:val="234"/>
        </w:trPr>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Managing Partner and Co-Chief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16 GP, LLC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spacing w:after="0"/>
              <w:rPr>
                <w:sz w:val="17"/>
                <w:szCs w:val="17"/>
                <w:color w:val="auto"/>
              </w:rPr>
            </w:pPr>
          </w:p>
        </w:tc>
      </w:tr>
      <w:tr>
        <w:trPr>
          <w:trHeight w:val="218"/>
        </w:trPr>
        <w:tc>
          <w:tcPr>
            <w:tcW w:w="360" w:type="dxa"/>
            <w:vAlign w:val="bottom"/>
          </w:tcPr>
          <w:p>
            <w:pPr>
              <w:spacing w:after="0"/>
              <w:rPr>
                <w:sz w:val="18"/>
                <w:szCs w:val="18"/>
                <w:color w:val="auto"/>
              </w:rPr>
            </w:pPr>
          </w:p>
        </w:tc>
        <w:tc>
          <w:tcPr>
            <w:tcW w:w="10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A. Florence, Jr.</w:t>
            </w:r>
          </w:p>
        </w:tc>
      </w:tr>
      <w:tr>
        <w:trPr>
          <w:trHeight w:val="234"/>
        </w:trPr>
        <w:tc>
          <w:tcPr>
            <w:tcW w:w="360" w:type="dxa"/>
            <w:vAlign w:val="bottom"/>
          </w:tcPr>
          <w:p>
            <w:pPr>
              <w:spacing w:after="0"/>
              <w:rPr>
                <w:sz w:val="20"/>
                <w:szCs w:val="20"/>
                <w:color w:val="auto"/>
              </w:rPr>
            </w:pPr>
          </w:p>
        </w:tc>
        <w:tc>
          <w:tcPr>
            <w:tcW w:w="10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tc>
      </w:tr>
      <w:tr>
        <w:trPr>
          <w:trHeight w:val="40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spacing w:after="0"/>
              <w:rPr>
                <w:sz w:val="24"/>
                <w:szCs w:val="24"/>
                <w:color w:val="auto"/>
              </w:rPr>
            </w:pPr>
          </w:p>
        </w:tc>
      </w:tr>
      <w:tr>
        <w:trPr>
          <w:trHeight w:val="218"/>
        </w:trPr>
        <w:tc>
          <w:tcPr>
            <w:tcW w:w="360" w:type="dxa"/>
            <w:vAlign w:val="bottom"/>
          </w:tcPr>
          <w:p>
            <w:pPr>
              <w:spacing w:after="0"/>
              <w:rPr>
                <w:sz w:val="18"/>
                <w:szCs w:val="18"/>
                <w:color w:val="auto"/>
              </w:rPr>
            </w:pPr>
          </w:p>
        </w:tc>
        <w:tc>
          <w:tcPr>
            <w:tcW w:w="10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Mohamad H. Makhzoumi</w:t>
            </w:r>
          </w:p>
        </w:tc>
      </w:tr>
      <w:tr>
        <w:trPr>
          <w:trHeight w:val="234"/>
        </w:trPr>
        <w:tc>
          <w:tcPr>
            <w:tcW w:w="360" w:type="dxa"/>
            <w:vAlign w:val="bottom"/>
          </w:tcPr>
          <w:p>
            <w:pPr>
              <w:spacing w:after="0"/>
              <w:rPr>
                <w:sz w:val="20"/>
                <w:szCs w:val="20"/>
                <w:color w:val="auto"/>
              </w:rPr>
            </w:pPr>
          </w:p>
        </w:tc>
        <w:tc>
          <w:tcPr>
            <w:tcW w:w="10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tc>
      </w:tr>
      <w:tr>
        <w:trPr>
          <w:trHeight w:val="1647"/>
        </w:trPr>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2" w:right="339" w:bottom="1440" w:gutter="0" w:footer="0" w:header="0"/>
          <w:type w:val="continuous"/>
        </w:sectPr>
      </w:pPr>
    </w:p>
    <w:bookmarkStart w:id="16" w:name="page17"/>
    <w:bookmarkEnd w:id="16"/>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66010" cy="24003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b w:val="1"/>
          <w:bCs w:val="1"/>
          <w:color w:val="auto"/>
        </w:rPr>
        <w:t>CUSIP No. 57055L206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Forest Baskett</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 Behbahani</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Carmen Chang</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Mohamad H. Makhzoumi</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Makower</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W. Sonsini</w:t>
      </w:r>
    </w:p>
    <w:p>
      <w:pPr>
        <w:spacing w:after="0" w:line="200" w:lineRule="exact"/>
        <w:rPr>
          <w:sz w:val="20"/>
          <w:szCs w:val="20"/>
          <w:color w:val="auto"/>
        </w:rPr>
      </w:pPr>
    </w:p>
    <w:p>
      <w:pPr>
        <w:spacing w:after="0" w:line="223" w:lineRule="exact"/>
        <w:rPr>
          <w:sz w:val="20"/>
          <w:szCs w:val="20"/>
          <w:color w:val="auto"/>
        </w:rPr>
      </w:pPr>
    </w:p>
    <w:p>
      <w:pPr>
        <w:jc w:val="right"/>
        <w:ind w:right="28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jc w:val="right"/>
        <w:ind w:right="2860"/>
        <w:spacing w:after="0"/>
        <w:rPr>
          <w:sz w:val="20"/>
          <w:szCs w:val="20"/>
          <w:color w:val="auto"/>
        </w:rPr>
      </w:pPr>
      <w:r>
        <w:rPr>
          <w:rFonts w:ascii="Times New Roman" w:cs="Times New Roman" w:eastAsia="Times New Roman" w:hAnsi="Times New Roman"/>
          <w:sz w:val="17"/>
          <w:szCs w:val="17"/>
          <w:color w:val="auto"/>
        </w:rPr>
        <w:t>Paul Walker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20" w:type="dxa"/>
        <w:tblCellMar>
          <w:top w:w="0" w:type="dxa"/>
          <w:left w:w="0" w:type="dxa"/>
          <w:bottom w:w="0" w:type="dxa"/>
          <w:right w:w="0" w:type="dxa"/>
        </w:tblCellMar>
      </w:tblPr>
      <w:tr>
        <w:trPr>
          <w:trHeight w:val="297"/>
        </w:trPr>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17 of 20 Pages</w:t>
            </w:r>
          </w:p>
        </w:tc>
      </w:tr>
      <w:tr>
        <w:trPr>
          <w:trHeight w:val="68"/>
        </w:trPr>
        <w:tc>
          <w:tcPr>
            <w:tcW w:w="206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Zachary Bambach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3417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4175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Zachary Bambach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attorney-in-fact</w:t>
      </w:r>
    </w:p>
    <w:p>
      <w:pPr>
        <w:spacing w:after="0" w:line="200" w:lineRule="exact"/>
        <w:rPr>
          <w:sz w:val="20"/>
          <w:szCs w:val="20"/>
          <w:color w:val="auto"/>
        </w:rPr>
      </w:pPr>
    </w:p>
    <w:p>
      <w:pPr>
        <w:sectPr>
          <w:pgSz w:w="11900" w:h="16838" w:orient="portrait"/>
          <w:cols w:equalWidth="0" w:num="2">
            <w:col w:w="3740" w:space="720"/>
            <w:col w:w="6780"/>
          </w:cols>
          <w:pgMar w:left="320" w:top="579"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Agreement relating to Schedule 13D was executed by Zachary Bambach on behalf of the individuals listed above pursuant to a Powers of Attorney, copies of which are attached hereto as Exhibit 2 and 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type w:val="continuous"/>
        </w:sectPr>
      </w:pPr>
    </w:p>
    <w:bookmarkStart w:id="17" w:name="page18"/>
    <w:bookmarkEnd w:id="17"/>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57055L206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18 of 20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86"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7"/>
          <w:szCs w:val="17"/>
          <w:b w:val="1"/>
          <w:bCs w:val="1"/>
          <w:u w:val="single" w:color="auto"/>
          <w:color w:val="auto"/>
        </w:rPr>
        <w:t>EXHIBIT 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the undersigned hereby constitutes and appoints Zachary Bambach, Nicole Hatcher and Stephanie Brecher, and each of them, with full power to act without the others, his or her true and lawful attorney-in-fact, with full power of substitution, to sign any and all instruments, certificates and documents that may be necessary, desirable or appropriate to be executed on behalf of himself as an individual or in his or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including, without limitation, Forms 3, 4 and 5 and Schedules 13D and 13G (and any amendments thereto), and to file the same, with all exhibits thereto, and any other documents in connection therewith, with the Securities and Exchange Commission (the “SEC”), including, but not limited to, signing a Form ID for and on behalf of the undersigned and filing such Form ID with the SEC,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or she might or could do in person, thereby ratifying and confirming all that said attorney-in-fact, or his or her substitutes, may lawfully do or cause to be done by virtue hereof. This power of attorney is perpetual, unless revoked by the undersigned in a signed writing delivered to each of the foregoing attorneys-in-fact.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as of the 29th day of February, 2024.</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Peter J. Barris</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Peter J. Barris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Forest Baskett</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Forest Baskett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Ali Behbahani</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Ali Behbahani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Ronald D. Bernal</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Ronald D.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Ann Bordetsky</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Ann Bordetsky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Carmen Chang</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Carmen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Philip Chopin</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Philip Chopin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Anthony A. Florence, Jr.</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Jonathan Golden</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Jonathan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Scott Gottlieb</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Gottlieb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8" w:name="page19"/>
    <w:bookmarkEnd w:id="18"/>
    <w:p>
      <w:pPr>
        <w:spacing w:after="0"/>
        <w:tabs>
          <w:tab w:leader="none" w:pos="5380" w:val="left"/>
          <w:tab w:leader="none" w:pos="93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57055L206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19 of 20 Pages</w:t>
      </w:r>
    </w:p>
    <w:p>
      <w:pPr>
        <w:sectPr>
          <w:pgSz w:w="11900" w:h="16838" w:orient="portrait"/>
          <w:cols w:equalWidth="0" w:num="1">
            <w:col w:w="10900"/>
          </w:cols>
          <w:pgMar w:left="400" w:top="644"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Mark Hawkins</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Mark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Jeffrey R. Immelt</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Jeffrey R. Immelt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Aaron Jacobson</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Aaron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Patrick J. Kerins</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Patrick J. Kerins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Hilarie Koplow-McAdams</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Hilarie Koplow-McAdams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Vanessa Larco</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Vanessa Larco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Julio C. Lopez</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Julio C.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Tiffany Le</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Tiffany 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Mohamad H. Makhzoumi</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Mohamad H. Makhzoumi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Edward T. Mathers</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Edward T. 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Gregory Papadopoulos</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Gregory Papadopoulos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Kavita Patel</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Kavita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Scott D. Sandell</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A. Brooke Seawell</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A. Brooke Seawell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Peter Sonsini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17145</wp:posOffset>
            </wp:positionV>
            <wp:extent cx="21431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Peter Sonsini</w:t>
      </w:r>
    </w:p>
    <w:p>
      <w:pPr>
        <w:spacing w:after="0" w:line="2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Melissa Taunton</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Melissa Taunton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Paul E. Walker</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Paul E.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Rick Yang</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565785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0900"/>
          </w:cols>
          <w:pgMar w:left="400" w:top="644" w:right="599" w:bottom="1440" w:gutter="0" w:footer="0" w:header="0"/>
          <w:type w:val="continuous"/>
        </w:sectPr>
      </w:pPr>
    </w:p>
    <w:bookmarkStart w:id="19" w:name="page20"/>
    <w:bookmarkEnd w:id="19"/>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57055L206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20 of 20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KNOW ALL MEN BY THESE PRESENTS, that the undersigned hereby constitutes and appoints Zachary Bambach, Nicole Hatcher and Stephanie Brecher, and each of them, with full power to act without the others, his or her true and lawful attorney-in-fact, with full power of substitution, to sign any and all instruments, certificates and documents that may be necessary, desirable or appropriate to be executed on behalf of himself as an individual or in his or her capacity as a direct or indirect general partner, director, officer or manager or former general partner, director, officer or manager of any New Enterprise Associates partnership, corporation or limited liability company, solely with respect to the following entities: Black Diamond Therapeutics, Inc., Inventiva S.A., Marker Therapeutics, Monte Rosa Therapeutics, Inc., and Reneo Pharmaceuticals, Inc. (the “Covered Entities”), pursuant to section 13 or 16 of the Securities Exchange Act of 1934, as amended (the “Exchange Act”), and any and all regulations promulgated thereunder, including, without limitation, Forms 3, 4 and 5 and Schedules 13D and 13G (and any amendments thereto),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or she might or could do in person, thereby ratifying and confirming all that said attorney-in-fact, or his or her substitutes, may lawfully do or cause to be done by virtue hereof. This power of attorney will last for the duration of the outstanding filing obligations related to the undersigned and NEA Management Company, LLC, and its affiliates. Upon the removal of the undersigned from all outstanding Form 3, 4, and 5, Schedule 13D and 13G or any other similarly related obligatory filings related to the Covered Entities, the power provided herein shall be revoked.</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as of the 2nd day of May, 2024.</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Joshua Makower</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Joshua Makower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3557905</wp:posOffset>
            </wp:positionV>
            <wp:extent cx="71323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sectPr>
      <w:pgSz w:w="11900" w:h="16838" w:orient="portrait"/>
      <w:cols w:equalWidth="0" w:num="1">
        <w:col w:w="11240"/>
      </w:cols>
      <w:pgMar w:left="320" w:top="5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7"/>
    </w:lvl>
    <w:lvl w:ilvl="1">
      <w:lvlJc w:val="left"/>
      <w:lvlText w:val="0"/>
      <w:numFmt w:val="bullet"/>
      <w:start w:val="1"/>
    </w:lvl>
  </w:abstractNum>
  <w:abstractNum w:abstractNumId="2">
    <w:nsid w:val="7545E146"/>
    <w:multiLevelType w:val="hybridMultilevel"/>
    <w:lvl w:ilvl="0">
      <w:lvlJc w:val="left"/>
      <w:lvlText w:val="%1."/>
      <w:numFmt w:val="decimal"/>
      <w:start w:val="7"/>
    </w:lvl>
    <w:lvl w:ilvl="1">
      <w:lvlJc w:val="left"/>
      <w:lvlText w:val="0"/>
      <w:numFmt w:val="bullet"/>
      <w:start w:val="1"/>
    </w:lvl>
  </w:abstractNum>
  <w:abstractNum w:abstractNumId="3">
    <w:nsid w:val="515F007C"/>
    <w:multiLevelType w:val="hybridMultilevel"/>
    <w:lvl w:ilvl="0">
      <w:lvlJc w:val="left"/>
      <w:lvlText w:val="%1."/>
      <w:numFmt w:val="decimal"/>
      <w:start w:val="7"/>
    </w:lvl>
    <w:lvl w:ilvl="1">
      <w:lvlJc w:val="left"/>
      <w:lvlText w:val="0"/>
      <w:numFmt w:val="bullet"/>
      <w:start w:val="1"/>
    </w:lvl>
  </w:abstractNum>
  <w:abstractNum w:abstractNumId="4">
    <w:nsid w:val="5BD062C2"/>
    <w:multiLevelType w:val="hybridMultilevel"/>
    <w:lvl w:ilvl="0">
      <w:lvlJc w:val="left"/>
      <w:lvlText w:val="%1."/>
      <w:numFmt w:val="decimal"/>
      <w:start w:val="7"/>
    </w:lvl>
    <w:lvl w:ilvl="1">
      <w:lvlJc w:val="left"/>
      <w:lvlText w:val="0"/>
      <w:numFmt w:val="bullet"/>
      <w:start w:val="1"/>
    </w:lvl>
  </w:abstractNum>
  <w:abstractNum w:abstractNumId="5">
    <w:nsid w:val="12200854"/>
    <w:multiLevelType w:val="hybridMultilevel"/>
    <w:lvl w:ilvl="0">
      <w:lvlJc w:val="left"/>
      <w:lvlText w:val="%1."/>
      <w:numFmt w:val="decimal"/>
      <w:start w:val="7"/>
    </w:lvl>
    <w:lvl w:ilvl="1">
      <w:lvlJc w:val="left"/>
      <w:lvlText w:val="0"/>
      <w:numFmt w:val="bullet"/>
      <w:start w:val="1"/>
    </w:lvl>
  </w:abstractNum>
  <w:abstractNum w:abstractNumId="6">
    <w:nsid w:val="4DB127F8"/>
    <w:multiLevelType w:val="hybridMultilevel"/>
    <w:lvl w:ilvl="0">
      <w:lvlJc w:val="left"/>
      <w:lvlText w:val="%1."/>
      <w:numFmt w:val="decimal"/>
      <w:start w:val="7"/>
    </w:lvl>
    <w:lvl w:ilvl="1">
      <w:lvlJc w:val="left"/>
      <w:lvlText w:val="0"/>
      <w:numFmt w:val="bullet"/>
      <w:start w:val="1"/>
    </w:lvl>
  </w:abstractNum>
  <w:abstractNum w:abstractNumId="7">
    <w:nsid w:val="216231B"/>
    <w:multiLevelType w:val="hybridMultilevel"/>
    <w:lvl w:ilvl="0">
      <w:lvlJc w:val="left"/>
      <w:lvlText w:val="%1."/>
      <w:numFmt w:val="decimal"/>
      <w:start w:val="7"/>
    </w:lvl>
    <w:lvl w:ilvl="1">
      <w:lvlJc w:val="left"/>
      <w:lvlText w:val="0"/>
      <w:numFmt w:val="bullet"/>
      <w:start w:val="1"/>
    </w:lvl>
  </w:abstractNum>
  <w:abstractNum w:abstractNumId="8">
    <w:nsid w:val="1F16E9E8"/>
    <w:multiLevelType w:val="hybridMultilevel"/>
    <w:lvl w:ilvl="0">
      <w:lvlJc w:val="left"/>
      <w:lvlText w:val="%1."/>
      <w:numFmt w:val="decimal"/>
      <w:start w:val="7"/>
    </w:lvl>
    <w:lvl w:ilvl="1">
      <w:lvlJc w:val="left"/>
      <w:lvlText w:val="0"/>
      <w:numFmt w:val="bullet"/>
      <w:start w:val="1"/>
    </w:lvl>
  </w:abstractNum>
  <w:abstractNum w:abstractNumId="9">
    <w:nsid w:val="1190CDE7"/>
    <w:multiLevelType w:val="hybridMultilevel"/>
    <w:lvl w:ilvl="0">
      <w:lvlJc w:val="left"/>
      <w:lvlText w:val="%1."/>
      <w:numFmt w:val="decimal"/>
      <w:start w:val="7"/>
    </w:lvl>
    <w:lvl w:ilvl="1">
      <w:lvlJc w:val="left"/>
      <w:lvlText w:val="0"/>
      <w:numFmt w:val="bullet"/>
      <w:start w:val="1"/>
    </w:lvl>
  </w:abstractNum>
  <w:abstractNum w:abstractNumId="10">
    <w:nsid w:val="66EF438D"/>
    <w:multiLevelType w:val="hybridMultilevel"/>
    <w:lvl w:ilvl="0">
      <w:lvlJc w:val="left"/>
      <w:lvlText w:val="%1."/>
      <w:numFmt w:val="decimal"/>
      <w:start w:val="7"/>
    </w:lvl>
    <w:lvl w:ilvl="1">
      <w:lvlJc w:val="left"/>
      <w:lvlText w:val="0"/>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2024-05-17T17:28:18Z</dcterms:created>
  <dcterms:modified xsi:type="dcterms:W3CDTF">2024-05-17T17:28:18Z</dcterms:modified>
</cp:coreProperties>
</file>