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TapImmune Inc.</w:t>
      </w:r>
    </w:p>
    <w:p>
      <w:pPr>
        <w:spacing w:after="0" w:line="2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876033309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ind w:left="2180" w:hanging="457"/>
        <w:spacing w:after="0"/>
        <w:tabs>
          <w:tab w:leader="none" w:pos="2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2180" w:hanging="457"/>
        <w:spacing w:after="0"/>
        <w:tabs>
          <w:tab w:leader="none" w:pos="2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11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4"/>
          <w:szCs w:val="24"/>
          <w:color w:val="auto"/>
        </w:rPr>
      </w:pPr>
    </w:p>
    <w:p>
      <w:pPr>
        <w:ind w:firstLine="495"/>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firstLine="495"/>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2"/>
        </w:trPr>
        <w:tc>
          <w:tcPr>
            <w:tcW w:w="23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5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NAMES OF REPORTING PERSONS</w:t>
            </w:r>
          </w:p>
        </w:tc>
        <w:tc>
          <w:tcPr>
            <w:tcW w:w="2120" w:type="dxa"/>
            <w:vAlign w:val="bottom"/>
            <w:tcBorders>
              <w:top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Iroquois Capital Management L.L.C.</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5400" w:type="dxa"/>
            <w:vAlign w:val="bottom"/>
            <w:gridSpan w:val="2"/>
            <w:vMerge w:val="continue"/>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bottom w:val="single" w:sz="8" w:color="auto"/>
              <w:right w:val="single" w:sz="8" w:color="auto"/>
            </w:tcBorders>
          </w:tcPr>
          <w:p>
            <w:pPr>
              <w:spacing w:after="0"/>
              <w:rPr>
                <w:sz w:val="10"/>
                <w:szCs w:val="10"/>
                <w:color w:val="auto"/>
              </w:rPr>
            </w:pPr>
          </w:p>
        </w:tc>
        <w:tc>
          <w:tcPr>
            <w:tcW w:w="54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Pr>
          <w:p>
            <w:pPr>
              <w:ind w:left="340"/>
              <w:spacing w:after="0"/>
              <w:rPr>
                <w:sz w:val="20"/>
                <w:szCs w:val="20"/>
                <w:color w:val="auto"/>
              </w:rPr>
            </w:pPr>
            <w:r>
              <w:rPr>
                <w:rFonts w:ascii="Arial" w:cs="Arial" w:eastAsia="Arial" w:hAnsi="Arial"/>
                <w:sz w:val="18"/>
                <w:szCs w:val="18"/>
                <w:color w:val="auto"/>
              </w:rPr>
              <w:t>(a) o</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120" w:type="dxa"/>
            <w:vAlign w:val="bottom"/>
            <w:vMerge w:val="restart"/>
          </w:tcPr>
          <w:p>
            <w:pPr>
              <w:ind w:left="340"/>
              <w:spacing w:after="0"/>
              <w:rPr>
                <w:sz w:val="20"/>
                <w:szCs w:val="20"/>
                <w:color w:val="auto"/>
              </w:rPr>
            </w:pPr>
            <w:r>
              <w:rPr>
                <w:rFonts w:ascii="Arial" w:cs="Arial" w:eastAsia="Arial" w:hAnsi="Arial"/>
                <w:sz w:val="18"/>
                <w:szCs w:val="18"/>
                <w:color w:val="auto"/>
              </w:rPr>
              <w:t>(b) o</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170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5400" w:type="dxa"/>
            <w:vAlign w:val="bottom"/>
            <w:tcBorders>
              <w:bottom w:val="single" w:sz="8" w:color="auto"/>
            </w:tcBorders>
            <w:gridSpan w:val="2"/>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Delaware</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5</w:t>
            </w:r>
          </w:p>
        </w:tc>
        <w:tc>
          <w:tcPr>
            <w:tcW w:w="37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6</w:t>
            </w:r>
          </w:p>
        </w:tc>
        <w:tc>
          <w:tcPr>
            <w:tcW w:w="37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3,750,000 shares of Common Stock issuable upon exercise of Series A, D and E Warrants (See Item</w:t>
            </w: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00" w:type="dxa"/>
            <w:vAlign w:val="bottom"/>
            <w:tcBorders>
              <w:right w:val="single" w:sz="8" w:color="auto"/>
            </w:tcBorders>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2,500,000 shares of Common Stock issuable upon exercise of Series C Warrants (See Item 4)*</w:t>
            </w:r>
          </w:p>
        </w:tc>
        <w:tc>
          <w:tcPr>
            <w:tcW w:w="0" w:type="dxa"/>
            <w:vAlign w:val="bottom"/>
          </w:tcPr>
          <w:p>
            <w:pPr>
              <w:spacing w:after="0"/>
              <w:rPr>
                <w:sz w:val="1"/>
                <w:szCs w:val="1"/>
                <w:color w:val="auto"/>
              </w:rPr>
            </w:pPr>
          </w:p>
        </w:tc>
      </w:tr>
      <w:tr>
        <w:trPr>
          <w:trHeight w:val="109"/>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auto"/>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ind w:left="760"/>
              <w:spacing w:after="0" w:line="303" w:lineRule="exact"/>
              <w:rPr>
                <w:sz w:val="20"/>
                <w:szCs w:val="20"/>
                <w:color w:val="auto"/>
              </w:rPr>
            </w:pPr>
            <w:r>
              <w:rPr>
                <w:rFonts w:ascii="Arial" w:cs="Arial" w:eastAsia="Arial" w:hAnsi="Arial"/>
                <w:sz w:val="29"/>
                <w:szCs w:val="29"/>
                <w:b w:val="1"/>
                <w:bCs w:val="1"/>
                <w:color w:val="auto"/>
              </w:rPr>
              <w:t>7</w:t>
            </w: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20" w:type="dxa"/>
            <w:vAlign w:val="bottom"/>
            <w:tcBorders>
              <w:left w:val="single" w:sz="8" w:color="auto"/>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37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8</w:t>
            </w: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37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3,750,000 shares of Common Stock issuable upon exercise of Series A, D and E Warrants (See Item</w:t>
            </w: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2,500,000 shares of Common Stock issuable upon exercise of Series C Warrants (See Item 4)*</w:t>
            </w: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5820" w:type="dxa"/>
            <w:vAlign w:val="bottom"/>
            <w:tcBorders>
              <w:bottom w:val="single" w:sz="8" w:color="auto"/>
            </w:tcBorders>
            <w:gridSpan w:val="2"/>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540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w w:val="89"/>
              </w:rPr>
              <w:t>3,750,000 shares of Common Stock issuable upon exercise of Series A, D and E Warrants (See Item 4)*</w:t>
            </w: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w w:val="98"/>
              </w:rPr>
              <w:t>2,500,000 shares of Common Stock issuable upon exercise of Series C Warrants (See Item 4)*</w:t>
            </w: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5820" w:type="dxa"/>
            <w:vAlign w:val="bottom"/>
            <w:tcBorders>
              <w:bottom w:val="single" w:sz="8" w:color="auto"/>
            </w:tcBorders>
            <w:gridSpan w:val="2"/>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9.9% (See Item 4)*</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OO</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32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more fully described in Item 4, the Series A, D and E Warrants are subject to a 4.9% blocker and the Series C Warrants are subject to a 9.9% blocker and the percentage set forth in row (11) gives effect to such blockers.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2"/>
        </w:trPr>
        <w:tc>
          <w:tcPr>
            <w:tcW w:w="23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5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NAMES OF REPORTING PERSONS</w:t>
            </w:r>
          </w:p>
        </w:tc>
        <w:tc>
          <w:tcPr>
            <w:tcW w:w="2120" w:type="dxa"/>
            <w:vAlign w:val="bottom"/>
            <w:tcBorders>
              <w:top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Joshua Silverman</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bottom w:val="single" w:sz="8" w:color="auto"/>
              <w:right w:val="single" w:sz="8" w:color="auto"/>
            </w:tcBorders>
          </w:tcPr>
          <w:p>
            <w:pPr>
              <w:spacing w:after="0"/>
              <w:rPr>
                <w:sz w:val="10"/>
                <w:szCs w:val="10"/>
                <w:color w:val="auto"/>
              </w:rPr>
            </w:pPr>
          </w:p>
        </w:tc>
        <w:tc>
          <w:tcPr>
            <w:tcW w:w="54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Pr>
          <w:p>
            <w:pPr>
              <w:ind w:left="340"/>
              <w:spacing w:after="0"/>
              <w:rPr>
                <w:sz w:val="20"/>
                <w:szCs w:val="20"/>
                <w:color w:val="auto"/>
              </w:rPr>
            </w:pPr>
            <w:r>
              <w:rPr>
                <w:rFonts w:ascii="Arial" w:cs="Arial" w:eastAsia="Arial" w:hAnsi="Arial"/>
                <w:sz w:val="18"/>
                <w:szCs w:val="18"/>
                <w:color w:val="auto"/>
              </w:rPr>
              <w:t>(a) o</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120" w:type="dxa"/>
            <w:vAlign w:val="bottom"/>
            <w:vMerge w:val="restart"/>
          </w:tcPr>
          <w:p>
            <w:pPr>
              <w:ind w:left="340"/>
              <w:spacing w:after="0"/>
              <w:rPr>
                <w:sz w:val="20"/>
                <w:szCs w:val="20"/>
                <w:color w:val="auto"/>
              </w:rPr>
            </w:pPr>
            <w:r>
              <w:rPr>
                <w:rFonts w:ascii="Arial" w:cs="Arial" w:eastAsia="Arial" w:hAnsi="Arial"/>
                <w:sz w:val="18"/>
                <w:szCs w:val="18"/>
                <w:color w:val="auto"/>
              </w:rPr>
              <w:t>(b) o</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170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5400" w:type="dxa"/>
            <w:vAlign w:val="bottom"/>
            <w:tcBorders>
              <w:bottom w:val="single" w:sz="8" w:color="auto"/>
            </w:tcBorders>
            <w:gridSpan w:val="2"/>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United States of America</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5400" w:type="dxa"/>
            <w:vAlign w:val="bottom"/>
            <w:gridSpan w:val="2"/>
            <w:vMerge w:val="continue"/>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5</w:t>
            </w:r>
          </w:p>
        </w:tc>
        <w:tc>
          <w:tcPr>
            <w:tcW w:w="37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6</w:t>
            </w:r>
          </w:p>
        </w:tc>
        <w:tc>
          <w:tcPr>
            <w:tcW w:w="37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3,750,000 shares of Common Stock issuable upon exercise of Series A, D and E Warrants (See Item</w:t>
            </w: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00" w:type="dxa"/>
            <w:vAlign w:val="bottom"/>
            <w:tcBorders>
              <w:right w:val="single" w:sz="8" w:color="auto"/>
            </w:tcBorders>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2,500,000 shares of Common Stock issuable upon exercise of Series C Warrants (See Item 4)*</w:t>
            </w:r>
          </w:p>
        </w:tc>
        <w:tc>
          <w:tcPr>
            <w:tcW w:w="0" w:type="dxa"/>
            <w:vAlign w:val="bottom"/>
          </w:tcPr>
          <w:p>
            <w:pPr>
              <w:spacing w:after="0"/>
              <w:rPr>
                <w:sz w:val="1"/>
                <w:szCs w:val="1"/>
                <w:color w:val="auto"/>
              </w:rPr>
            </w:pPr>
          </w:p>
        </w:tc>
      </w:tr>
      <w:tr>
        <w:trPr>
          <w:trHeight w:val="109"/>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auto"/>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ind w:left="760"/>
              <w:spacing w:after="0" w:line="303" w:lineRule="exact"/>
              <w:rPr>
                <w:sz w:val="20"/>
                <w:szCs w:val="20"/>
                <w:color w:val="auto"/>
              </w:rPr>
            </w:pPr>
            <w:r>
              <w:rPr>
                <w:rFonts w:ascii="Arial" w:cs="Arial" w:eastAsia="Arial" w:hAnsi="Arial"/>
                <w:sz w:val="29"/>
                <w:szCs w:val="29"/>
                <w:b w:val="1"/>
                <w:bCs w:val="1"/>
                <w:color w:val="auto"/>
              </w:rPr>
              <w:t>7</w:t>
            </w: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20" w:type="dxa"/>
            <w:vAlign w:val="bottom"/>
            <w:tcBorders>
              <w:left w:val="single" w:sz="8" w:color="auto"/>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37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8</w:t>
            </w: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37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3,750,000 shares of Common Stock issuable upon exercise of Series A, D and E Warrants (See Item</w:t>
            </w: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2,500,000 shares of Common Stock issuable upon exercise of Series C Warrants (See Item 4)*</w:t>
            </w: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5820" w:type="dxa"/>
            <w:vAlign w:val="bottom"/>
            <w:tcBorders>
              <w:bottom w:val="single" w:sz="8" w:color="auto"/>
            </w:tcBorders>
            <w:gridSpan w:val="2"/>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540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w w:val="89"/>
              </w:rPr>
              <w:t>3,750,000 shares of Common Stock issuable upon exercise of Series A, D and E Warrants (See Item 4)*</w:t>
            </w: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w w:val="98"/>
              </w:rPr>
              <w:t>2,500,000 shares of Common Stock issuable upon exercise of Series C Warrants (See Item 4)*</w:t>
            </w: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5820" w:type="dxa"/>
            <w:vAlign w:val="bottom"/>
            <w:tcBorders>
              <w:bottom w:val="single" w:sz="8" w:color="auto"/>
            </w:tcBorders>
            <w:gridSpan w:val="2"/>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9.9% (See Item 4)*</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IN; HC</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32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more fully described in Item 4, the Series A, D and E Warrants are subject to a 4.9% blocker and the Series C Warrants are subject to a 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2"/>
        </w:trPr>
        <w:tc>
          <w:tcPr>
            <w:tcW w:w="23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5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NAMES OF REPORTING PERSONS</w:t>
            </w:r>
          </w:p>
        </w:tc>
        <w:tc>
          <w:tcPr>
            <w:tcW w:w="2120" w:type="dxa"/>
            <w:vAlign w:val="bottom"/>
            <w:tcBorders>
              <w:top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Richard Abbe</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bottom w:val="single" w:sz="8" w:color="auto"/>
              <w:right w:val="single" w:sz="8" w:color="auto"/>
            </w:tcBorders>
          </w:tcPr>
          <w:p>
            <w:pPr>
              <w:spacing w:after="0"/>
              <w:rPr>
                <w:sz w:val="10"/>
                <w:szCs w:val="10"/>
                <w:color w:val="auto"/>
              </w:rPr>
            </w:pPr>
          </w:p>
        </w:tc>
        <w:tc>
          <w:tcPr>
            <w:tcW w:w="54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Pr>
          <w:p>
            <w:pPr>
              <w:ind w:left="340"/>
              <w:spacing w:after="0"/>
              <w:rPr>
                <w:sz w:val="20"/>
                <w:szCs w:val="20"/>
                <w:color w:val="auto"/>
              </w:rPr>
            </w:pPr>
            <w:r>
              <w:rPr>
                <w:rFonts w:ascii="Arial" w:cs="Arial" w:eastAsia="Arial" w:hAnsi="Arial"/>
                <w:sz w:val="18"/>
                <w:szCs w:val="18"/>
                <w:color w:val="auto"/>
              </w:rPr>
              <w:t>(a) o</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120" w:type="dxa"/>
            <w:vAlign w:val="bottom"/>
            <w:vMerge w:val="restart"/>
          </w:tcPr>
          <w:p>
            <w:pPr>
              <w:ind w:left="340"/>
              <w:spacing w:after="0"/>
              <w:rPr>
                <w:sz w:val="20"/>
                <w:szCs w:val="20"/>
                <w:color w:val="auto"/>
              </w:rPr>
            </w:pPr>
            <w:r>
              <w:rPr>
                <w:rFonts w:ascii="Arial" w:cs="Arial" w:eastAsia="Arial" w:hAnsi="Arial"/>
                <w:sz w:val="18"/>
                <w:szCs w:val="18"/>
                <w:color w:val="auto"/>
              </w:rPr>
              <w:t>(b) o</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170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5400" w:type="dxa"/>
            <w:vAlign w:val="bottom"/>
            <w:tcBorders>
              <w:bottom w:val="single" w:sz="8" w:color="auto"/>
            </w:tcBorders>
            <w:gridSpan w:val="2"/>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United States of America</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5400" w:type="dxa"/>
            <w:vAlign w:val="bottom"/>
            <w:gridSpan w:val="2"/>
            <w:vMerge w:val="continue"/>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5</w:t>
            </w:r>
          </w:p>
        </w:tc>
        <w:tc>
          <w:tcPr>
            <w:tcW w:w="37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979,990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1,249,990 shares of Common Stock issuable upon exercise of Series A, D and E Warrants (See Item</w:t>
            </w: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499,995 shares of Common Stock issuable upon exercise of Series C Warrants (See Item 4)*</w:t>
            </w: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6</w:t>
            </w:r>
          </w:p>
        </w:tc>
        <w:tc>
          <w:tcPr>
            <w:tcW w:w="37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3,750,000 shares of Common Stock issuable upon exercise of Series A, D and E Warrants (See Item</w:t>
            </w: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00" w:type="dxa"/>
            <w:vAlign w:val="bottom"/>
            <w:tcBorders>
              <w:right w:val="single" w:sz="8" w:color="auto"/>
            </w:tcBorders>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2,500,000 shares of Common Stock issuable upon exercise of Series C Warrants (See Item 4)*</w:t>
            </w:r>
          </w:p>
        </w:tc>
        <w:tc>
          <w:tcPr>
            <w:tcW w:w="0" w:type="dxa"/>
            <w:vAlign w:val="bottom"/>
          </w:tcPr>
          <w:p>
            <w:pPr>
              <w:spacing w:after="0"/>
              <w:rPr>
                <w:sz w:val="1"/>
                <w:szCs w:val="1"/>
                <w:color w:val="auto"/>
              </w:rPr>
            </w:pPr>
          </w:p>
        </w:tc>
      </w:tr>
      <w:tr>
        <w:trPr>
          <w:trHeight w:val="109"/>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auto"/>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ind w:left="760"/>
              <w:spacing w:after="0" w:line="303" w:lineRule="exact"/>
              <w:rPr>
                <w:sz w:val="20"/>
                <w:szCs w:val="20"/>
                <w:color w:val="auto"/>
              </w:rPr>
            </w:pPr>
            <w:r>
              <w:rPr>
                <w:rFonts w:ascii="Arial" w:cs="Arial" w:eastAsia="Arial" w:hAnsi="Arial"/>
                <w:sz w:val="29"/>
                <w:szCs w:val="29"/>
                <w:b w:val="1"/>
                <w:bCs w:val="1"/>
                <w:color w:val="auto"/>
              </w:rPr>
              <w:t>7</w:t>
            </w: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700" w:type="dxa"/>
            <w:vAlign w:val="bottom"/>
            <w:tcBorders>
              <w:right w:val="single" w:sz="8" w:color="auto"/>
            </w:tcBorders>
            <w:vMerge w:val="continue"/>
          </w:tcPr>
          <w:p>
            <w:pPr>
              <w:spacing w:after="0"/>
              <w:rPr>
                <w:sz w:val="11"/>
                <w:szCs w:val="11"/>
                <w:color w:val="auto"/>
              </w:rPr>
            </w:pPr>
          </w:p>
        </w:tc>
        <w:tc>
          <w:tcPr>
            <w:tcW w:w="37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auto"/>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979,990 shares of Common Stock</w:t>
            </w: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11"/>
                <w:szCs w:val="11"/>
                <w:color w:val="auto"/>
              </w:rPr>
            </w:pPr>
          </w:p>
        </w:tc>
        <w:tc>
          <w:tcPr>
            <w:tcW w:w="37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auto"/>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7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w w:val="90"/>
              </w:rPr>
              <w:t>1,249,990 shares of Common Stock issuable upon exercise of Series A, D and E Warrants (See Item</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spacing w:after="0"/>
              <w:rPr>
                <w:sz w:val="11"/>
                <w:szCs w:val="11"/>
                <w:color w:val="auto"/>
              </w:rPr>
            </w:pPr>
          </w:p>
        </w:tc>
        <w:tc>
          <w:tcPr>
            <w:tcW w:w="74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3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499,995 shares of Common Stock issuable upon exercise of Series C Warrants (See Item 4)*</w:t>
            </w: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vMerge w:val="restart"/>
          </w:tcPr>
          <w:p>
            <w:pPr>
              <w:ind w:left="760"/>
              <w:spacing w:after="0"/>
              <w:rPr>
                <w:sz w:val="20"/>
                <w:szCs w:val="20"/>
                <w:color w:val="auto"/>
              </w:rPr>
            </w:pPr>
            <w:r>
              <w:rPr>
                <w:rFonts w:ascii="Arial" w:cs="Arial" w:eastAsia="Arial" w:hAnsi="Arial"/>
                <w:sz w:val="29"/>
                <w:szCs w:val="29"/>
                <w:b w:val="1"/>
                <w:bCs w:val="1"/>
                <w:color w:val="auto"/>
              </w:rPr>
              <w:t>8</w:t>
            </w:r>
          </w:p>
        </w:tc>
        <w:tc>
          <w:tcPr>
            <w:tcW w:w="37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2,231,124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3,750,000 shares of Common Stock issuable upon exercise of Series A, D and E Warrants (See Item</w:t>
            </w: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2,500,000 shares of Common Stock issuable upon exercise of Series C Warrants (See Item 4)*</w:t>
            </w: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5820" w:type="dxa"/>
            <w:vAlign w:val="bottom"/>
            <w:tcBorders>
              <w:bottom w:val="single" w:sz="8" w:color="auto"/>
            </w:tcBorders>
            <w:gridSpan w:val="2"/>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3,211,114 shares of Common Stock</w:t>
            </w: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20" w:type="dxa"/>
            <w:vAlign w:val="bottom"/>
            <w:tcBorders>
              <w:left w:val="single" w:sz="8" w:color="auto"/>
              <w:right w:val="single" w:sz="8" w:color="auto"/>
            </w:tcBorders>
          </w:tcPr>
          <w:p>
            <w:pPr>
              <w:spacing w:after="0"/>
              <w:rPr>
                <w:sz w:val="6"/>
                <w:szCs w:val="6"/>
                <w:color w:val="auto"/>
              </w:rPr>
            </w:pPr>
          </w:p>
        </w:tc>
        <w:tc>
          <w:tcPr>
            <w:tcW w:w="540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w w:val="89"/>
              </w:rPr>
              <w:t>4,999,990 shares of Common Stock issuable upon exercise of Series A, D and E Warrants (See Item 4)*</w:t>
            </w: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w w:val="98"/>
              </w:rPr>
              <w:t>2,999,995 shares of Common Stock issuable upon exercise of Series C Warrants (See Item 4)*</w:t>
            </w: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5820" w:type="dxa"/>
            <w:vAlign w:val="bottom"/>
            <w:tcBorders>
              <w:bottom w:val="single" w:sz="8" w:color="auto"/>
            </w:tcBorders>
            <w:gridSpan w:val="2"/>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32"/>
        </w:trPr>
        <w:tc>
          <w:tcPr>
            <w:tcW w:w="232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9.9% (See Item 4)*</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IN; HC</w:t>
            </w:r>
          </w:p>
        </w:tc>
        <w:tc>
          <w:tcPr>
            <w:tcW w:w="3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tcPr>
          <w:p>
            <w:pPr>
              <w:spacing w:after="0"/>
              <w:rPr>
                <w:sz w:val="7"/>
                <w:szCs w:val="7"/>
                <w:color w:val="auto"/>
              </w:rPr>
            </w:pPr>
          </w:p>
        </w:tc>
        <w:tc>
          <w:tcPr>
            <w:tcW w:w="170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32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more fully described in Item 4, the Series A, D and E Warrants are subject to a 4.9% blocker and the Series C Warrants are subject to a 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color w:val="auto"/>
        </w:rPr>
        <w:t>This Amendment No. 1 (this “Amendment”) amends the statement on Schedule 13G filed on March 13, 2015 (the “Original Schedule 13G”) with respect to the Common Stock, $0.001 par value (the “Common Stock”) of TapImmune Inc., a Nevada corporation (the “Company”). Capitalized terms used herein and not otherwise defined in this Amendment have the meanings set forth in the Original Schedule 13G. This Amendment amends and restates Item 4 in its entirety as set forth below.</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040" w:right="100"/>
        <w:spacing w:after="0" w:line="272" w:lineRule="auto"/>
        <w:rPr>
          <w:sz w:val="20"/>
          <w:szCs w:val="20"/>
          <w:color w:val="auto"/>
        </w:rPr>
      </w:pPr>
      <w:r>
        <w:rPr>
          <w:rFonts w:ascii="Arial" w:cs="Arial" w:eastAsia="Arial" w:hAnsi="Arial"/>
          <w:sz w:val="17"/>
          <w:szCs w:val="17"/>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64,618,762 shares of Common Stock issued and outstanding as of November 16, 2015, as represented in the Company’s Quarterly Report on Form 10-Q filed with the Securities and Exchange Commission on November 16, 2015, an additional 5,712,000 shares of Common Stock subsequently issued, as indicated in the Current Report on Form 8-K filed with the Securities and Exchange Commission on December 11, 2015, and assumes the exercise of the reported warrants (the “Reported Warrants”) subject to the Blockers (as defined below).</w:t>
      </w:r>
    </w:p>
    <w:p>
      <w:pPr>
        <w:spacing w:after="0" w:line="178" w:lineRule="exact"/>
        <w:rPr>
          <w:sz w:val="20"/>
          <w:szCs w:val="20"/>
          <w:color w:val="auto"/>
        </w:rPr>
      </w:pPr>
    </w:p>
    <w:p>
      <w:pPr>
        <w:ind w:left="1040"/>
        <w:spacing w:after="0" w:line="293" w:lineRule="auto"/>
        <w:rPr>
          <w:sz w:val="20"/>
          <w:szCs w:val="20"/>
          <w:color w:val="auto"/>
        </w:rPr>
      </w:pPr>
      <w:r>
        <w:rPr>
          <w:rFonts w:ascii="Arial" w:cs="Arial" w:eastAsia="Arial" w:hAnsi="Arial"/>
          <w:sz w:val="16"/>
          <w:szCs w:val="16"/>
          <w:color w:val="auto"/>
        </w:rPr>
        <w:t>Pursuant to the terms of the Reported Warrants, the Reporting Persons cannot exercise (i) any of the Reported Warrants that are Series A, Series D or Series E Warrants if the Reporting Persons would beneficially own, after any such exercise, more than 4.9% of the outstanding shares of Common Stock or (ii) any of the Reported Warrants that are Series C Warrants if the Reporting Persons would beneficially own, after any such exercise, more than 9.9% of the outstanding shares of Common Stock (the applicable “Blockers”), and the percentage set forth in Row 11 of the cover page for each Reporting Person gives effect to the applicable Blockers. Consequently, as of the date of the event which requires the filing of this statement, the Reporting Persons were not able to exercise all of the Reported Warrants due to the applicable Blockers.</w:t>
      </w:r>
    </w:p>
    <w:p>
      <w:pPr>
        <w:spacing w:after="0" w:line="165" w:lineRule="exact"/>
        <w:rPr>
          <w:sz w:val="20"/>
          <w:szCs w:val="20"/>
          <w:color w:val="auto"/>
        </w:rPr>
      </w:pPr>
    </w:p>
    <w:p>
      <w:pPr>
        <w:ind w:left="1040" w:right="60"/>
        <w:spacing w:after="0" w:line="253" w:lineRule="auto"/>
        <w:rPr>
          <w:sz w:val="20"/>
          <w:szCs w:val="20"/>
          <w:color w:val="auto"/>
        </w:rPr>
      </w:pPr>
      <w:r>
        <w:rPr>
          <w:rFonts w:ascii="Arial" w:cs="Arial" w:eastAsia="Arial" w:hAnsi="Arial"/>
          <w:sz w:val="18"/>
          <w:szCs w:val="18"/>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Reported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Reported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hereby disclaims any beneficial ownership of any such shares of Common Stock except to the extent of their pecuniary interest therein.</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2016</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18"/>
          <w:szCs w:val="18"/>
          <w:color w:val="auto"/>
        </w:rPr>
        <w:t>By:</w:t>
        <w:tab/>
        <w:t>/s/ Joshua Silverman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2821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-130810</wp:posOffset>
            </wp:positionV>
            <wp:extent cx="3044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-130810</wp:posOffset>
            </wp:positionV>
            <wp:extent cx="3044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120"/>
      </w:cols>
      <w:pgMar w:left="240" w:top="40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2020-01-19T13:10:16Z</dcterms:created>
  <dcterms:modified xsi:type="dcterms:W3CDTF">2020-01-19T13:10:16Z</dcterms:modified>
</cp:coreProperties>
</file>