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Vera 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MARKER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 HOLCOMBE BLVD, TMC PARTNERS OFFICE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Marker Therapeutics, Inc.</w:t>
              </w:r>
            </w:hyperlink>
            <w:r>
              <w:rPr/>
              <w:t xml:space="preserve"> [ </w:t>
            </w:r>
            <w:r>
              <w:rPr>
                <w:rFonts w:ascii="Times;serif" w:hAnsi="Times;serif"/>
                <w:color w:val="0000FF"/>
                <w:sz w:val="24"/>
                <w:shd w:fill="FFFFFF" w:val="clear"/>
              </w:rPr>
              <w:t>MRKR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0.9877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options granted under the Company's 2020 Omnibus Stock Ownership Plan. One fourth of the shares vest on the first anniversary of the grant date and the remainder of the shares subsequently vest in equal annual installments over the second, third and fourth anniversary of the grant date upon the continued performance of services by the Reporting Person to the Company through the vesting dates. The option exercise price is the closing price on the date of the grant, October 31,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Julio C. Esquivel as Attorney-In-Fact for Juan Vera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5495" TargetMode="External"/><Relationship Id="rId5" Type="http://schemas.openxmlformats.org/officeDocument/2006/relationships/hyperlink" Target="http://www.sec.gov/cgi-bin/browse-edgar?action=getcompany&amp;CIK=0001094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3576</Characters>
  <CharactersWithSpaces>4174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