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March 3, 2021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3200 Southwest Freeway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Suite 2500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8"/>
        </w:trPr>
        <w:tc>
          <w:tcPr>
            <w:tcW w:w="1000" w:type="dxa"/>
            <w:vAlign w:val="bottom"/>
          </w:tcPr>
          <w:p>
            <w:pPr>
              <w:spacing w:after="0"/>
              <w:rPr>
                <w:sz w:val="17"/>
                <w:szCs w:val="17"/>
                <w:color w:val="auto"/>
              </w:rPr>
            </w:pPr>
          </w:p>
        </w:tc>
        <w:tc>
          <w:tcPr>
            <w:tcW w:w="116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1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0" w:type="dxa"/>
            <w:vAlign w:val="bottom"/>
            <w:gridSpan w:val="4"/>
          </w:tcPr>
          <w:p>
            <w:pPr>
              <w:jc w:val="right"/>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77027</w:t>
            </w:r>
          </w:p>
        </w:tc>
        <w:tc>
          <w:tcPr>
            <w:tcW w:w="800" w:type="dxa"/>
            <w:vAlign w:val="bottom"/>
          </w:tcPr>
          <w:p>
            <w:pPr>
              <w:spacing w:after="0"/>
              <w:rPr>
                <w:sz w:val="17"/>
                <w:szCs w:val="17"/>
                <w:color w:val="auto"/>
              </w:rPr>
            </w:pPr>
          </w:p>
        </w:tc>
      </w:tr>
      <w:tr>
        <w:trPr>
          <w:trHeight w:val="20"/>
        </w:trPr>
        <w:tc>
          <w:tcPr>
            <w:tcW w:w="33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Trading</w:t>
            </w:r>
          </w:p>
        </w:tc>
        <w:tc>
          <w:tcPr>
            <w:tcW w:w="436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Symbol(s)</w:t>
            </w:r>
          </w:p>
        </w:tc>
        <w:tc>
          <w:tcPr>
            <w:tcW w:w="43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70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MRKR</w:t>
            </w:r>
          </w:p>
        </w:tc>
        <w:tc>
          <w:tcPr>
            <w:tcW w:w="43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5"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On March 3, 2021,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entitled “Marker Therapeutics Announces Dosing of First Patient in Phase 2 Trial of MT-401 in Acute Myeloid Leukemia Following Stem Cell Transplant.” A copy of the press release is furnished herewith as Exhibit 99.1 and is incorporated herein by reference.</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4"/>
                <w:szCs w:val="24"/>
                <w:color w:val="auto"/>
              </w:rPr>
            </w:pPr>
          </w:p>
        </w:tc>
        <w:tc>
          <w:tcPr>
            <w:tcW w:w="9040" w:type="dxa"/>
            <w:vAlign w:val="bottom"/>
          </w:tcPr>
          <w:p>
            <w:pPr>
              <w:spacing w:after="0"/>
              <w:rPr>
                <w:sz w:val="24"/>
                <w:szCs w:val="24"/>
                <w:color w:val="auto"/>
              </w:rPr>
            </w:pPr>
          </w:p>
        </w:tc>
      </w:tr>
      <w:tr>
        <w:trPr>
          <w:trHeight w:val="39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237"/>
        </w:trPr>
        <w:tc>
          <w:tcPr>
            <w:tcW w:w="88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420" w:type="dxa"/>
            <w:vAlign w:val="bottom"/>
          </w:tcPr>
          <w:p>
            <w:pPr>
              <w:spacing w:after="0"/>
              <w:rPr>
                <w:sz w:val="20"/>
                <w:szCs w:val="20"/>
                <w:color w:val="auto"/>
              </w:rPr>
            </w:pPr>
          </w:p>
        </w:tc>
        <w:tc>
          <w:tcPr>
            <w:tcW w:w="9940" w:type="dxa"/>
            <w:vAlign w:val="bottom"/>
            <w:gridSpan w:val="2"/>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March 3, 2021</w:t>
              </w:r>
            </w:hyperlink>
          </w:p>
        </w:tc>
      </w:tr>
      <w:tr>
        <w:trPr>
          <w:trHeight w:val="459"/>
        </w:trPr>
        <w:tc>
          <w:tcPr>
            <w:tcW w:w="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696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 2021</w:t>
            </w:r>
          </w:p>
        </w:tc>
        <w:tc>
          <w:tcPr>
            <w:tcW w:w="696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By: /s/ Anthony Kim</w:t>
            </w:r>
          </w:p>
        </w:tc>
      </w:tr>
      <w:tr>
        <w:trPr>
          <w:trHeight w:val="189"/>
        </w:trPr>
        <w:tc>
          <w:tcPr>
            <w:tcW w:w="4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9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Anthony Kim</w:t>
            </w:r>
          </w:p>
        </w:tc>
      </w:tr>
      <w:tr>
        <w:trPr>
          <w:trHeight w:val="236"/>
        </w:trPr>
        <w:tc>
          <w:tcPr>
            <w:tcW w:w="4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459"/>
        </w:trPr>
        <w:tc>
          <w:tcPr>
            <w:tcW w:w="4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328420"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84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40" w:right="80" w:hanging="3147"/>
        <w:spacing w:after="0" w:line="500" w:lineRule="auto"/>
        <w:rPr>
          <w:sz w:val="20"/>
          <w:szCs w:val="20"/>
          <w:color w:val="auto"/>
        </w:rPr>
      </w:pPr>
      <w:r>
        <w:rPr>
          <w:rFonts w:ascii="Times New Roman" w:cs="Times New Roman" w:eastAsia="Times New Roman" w:hAnsi="Times New Roman"/>
          <w:sz w:val="18"/>
          <w:szCs w:val="18"/>
          <w:b w:val="1"/>
          <w:bCs w:val="1"/>
          <w:color w:val="auto"/>
        </w:rPr>
        <w:t xml:space="preserve">Marker Therapeutics Announces Dosing of First Patient in Phase 2 Trial of MT-401 in Acute Myeloid Leukemia Following Stem Cell Transplant </w:t>
      </w:r>
      <w:r>
        <w:rPr>
          <w:rFonts w:ascii="Times New Roman" w:cs="Times New Roman" w:eastAsia="Times New Roman" w:hAnsi="Times New Roman"/>
          <w:sz w:val="18"/>
          <w:szCs w:val="18"/>
          <w:b w:val="1"/>
          <w:bCs w:val="1"/>
          <w:i w:val="1"/>
          <w:iCs w:val="1"/>
          <w:color w:val="auto"/>
        </w:rPr>
        <w:t>Topline readout of active disease group in AML trial expected in Q1 2022</w:t>
      </w:r>
    </w:p>
    <w:p>
      <w:pPr>
        <w:spacing w:after="0" w:line="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7"/>
          <w:szCs w:val="17"/>
          <w:b w:val="1"/>
          <w:bCs w:val="1"/>
          <w:color w:val="auto"/>
        </w:rPr>
        <w:t>Houston, TX – March 3, 2021</w:t>
      </w:r>
      <w:r>
        <w:rPr>
          <w:rFonts w:ascii="Times New Roman" w:cs="Times New Roman" w:eastAsia="Times New Roman" w:hAnsi="Times New Roman"/>
          <w:sz w:val="17"/>
          <w:szCs w:val="17"/>
          <w:color w:val="auto"/>
        </w:rPr>
        <w:t>– Marker Therapeutics, Inc. (NASDAQ:MRKR), a clinical-stage immuno-oncology company specializing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of next-generation T cell-based immunotherapies for the treatment of hematological malignancies and solid tumor indications, today announced it has treated the first patient in the Company’s Phase 2 trial of MT-401, its lead MultiTAA-specific T cell product candidate. The trial is enrolling patients with acute myeloid leukemia (AML) following an allogeneic stem cell transplant in both the adjuvant and active disease settings.</w:t>
      </w:r>
    </w:p>
    <w:p>
      <w:pPr>
        <w:spacing w:after="0" w:line="16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are pleased to have dosed the first patient with MT-401 in our Company-sponsored clinical trial, particularly in a patient population in which there remains a critical unmet need,” said Mythili Koneru, M.D., Ph.D., Chief Medical Officer of Marker Therapeutics. “Today, adult patients with post-transplant AML have a 25 percent chance of 5-year survival. In various investigator-sponsored Phase 1 trials at the Baylor College of Medicine, our MultiTAA-specific T cell therapies have been generally well-tolerated and demonstrated durable anti-cancer responses across a broad range of cancers— including post-transplant AML. Based on these results, we believe that MT-401 has the potential to become a meaningful treatment option for patients suffering from this disease.”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AML Post-Transplant Study</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as a multicenter, Phase 2 trial to be conducted at approximately 20 top cancer centers across the 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total enrollment of 160 patients:</w:t>
      </w:r>
    </w:p>
    <w:p>
      <w:pPr>
        <w:spacing w:after="0" w:line="9" w:lineRule="exact"/>
        <w:rPr>
          <w:rFonts w:ascii="Times New Roman" w:cs="Times New Roman" w:eastAsia="Times New Roman" w:hAnsi="Times New Roman"/>
          <w:sz w:val="18"/>
          <w:szCs w:val="18"/>
          <w:color w:val="auto"/>
        </w:rPr>
      </w:pPr>
    </w:p>
    <w:p>
      <w:pPr>
        <w:ind w:left="1300" w:right="840" w:hanging="320"/>
        <w:spacing w:after="0" w:line="250"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patients in the adjuvant disease group, randomized 1:1 to either MT-401 at 90 days post-transplant versus standard of care (observation)</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patients in the active disease group as part of a single arm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objective of relapse-free survival (RFS) for adjuvant disease group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objectives of complete response (CR) and duration of complete response (DOCR) for active disease group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readout of active disease group expected in Q1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To receive future press releases via email, please visit: https://www.markertherapeutics.com/email-alerts.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 Disclaimer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and success of our clinical trials, including the Phase 2 trial of MT-401,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Solebury Trout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Korb</w:t>
      </w:r>
    </w:p>
    <w:p>
      <w:pPr>
        <w:spacing w:after="0" w:line="9" w:lineRule="exact"/>
        <w:rPr>
          <w:sz w:val="20"/>
          <w:szCs w:val="20"/>
          <w:color w:val="auto"/>
        </w:rPr>
      </w:pPr>
    </w:p>
    <w:p>
      <w:pPr>
        <w:ind w:right="934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378-2923 bkorb@soleburytrout.com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Solebury Trout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Bonanno</w:t>
      </w:r>
    </w:p>
    <w:p>
      <w:pPr>
        <w:spacing w:after="0" w:line="9" w:lineRule="exact"/>
        <w:rPr>
          <w:sz w:val="20"/>
          <w:szCs w:val="20"/>
          <w:color w:val="auto"/>
        </w:rPr>
      </w:pPr>
    </w:p>
    <w:p>
      <w:pPr>
        <w:ind w:right="9060" w:firstLine="8"/>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450-0349 abonanno@soleburytrout.com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decimal"/>
      <w:start w:val="646"/>
    </w:lvl>
  </w:abstractNum>
  <w:abstractNum w:abstractNumId="3">
    <w:nsid w:val="625558EC"/>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2021-03-03T06:42:54Z</dcterms:created>
  <dcterms:modified xsi:type="dcterms:W3CDTF">2021-03-03T06:42:54Z</dcterms:modified>
</cp:coreProperties>
</file>