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876033309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360" w:hanging="302"/>
        <w:spacing w:after="0"/>
        <w:tabs>
          <w:tab w:leader="none" w:pos="5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360" w:hanging="297"/>
        <w:spacing w:after="0"/>
        <w:tabs>
          <w:tab w:leader="none" w:pos="5360" w:val="left"/>
        </w:tabs>
        <w:numPr>
          <w:ilvl w:val="2"/>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360" w:hanging="302"/>
        <w:spacing w:after="0"/>
        <w:tabs>
          <w:tab w:leader="none" w:pos="53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rFonts w:ascii="MS PGothic" w:cs="MS PGothic" w:eastAsia="MS PGothic" w:hAnsi="MS PGothic"/>
          <w:sz w:val="18"/>
          <w:szCs w:val="18"/>
          <w:color w:val="auto"/>
        </w:rPr>
      </w:pPr>
    </w:p>
    <w:p>
      <w:pPr>
        <w:ind w:left="360" w:hanging="351"/>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559435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876033309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p>
      <w:pPr>
        <w:ind w:left="660" w:right="8580" w:hanging="395"/>
        <w:spacing w:after="0" w:line="440"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Names of Reporting Persons Brio Capital Master Fund Ltd.</w:t>
      </w:r>
    </w:p>
    <w:p>
      <w:pPr>
        <w:ind w:left="660" w:hanging="39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rFonts w:ascii="Arial" w:cs="Arial" w:eastAsia="Arial" w:hAnsi="Arial"/>
          <w:sz w:val="18"/>
          <w:szCs w:val="18"/>
          <w:color w:val="auto"/>
        </w:rPr>
      </w:pPr>
    </w:p>
    <w:p>
      <w:pPr>
        <w:ind w:left="940" w:hanging="284"/>
        <w:spacing w:after="0" w:line="207" w:lineRule="exact"/>
        <w:tabs>
          <w:tab w:leader="none" w:pos="94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57" w:lineRule="exact"/>
        <w:rPr>
          <w:rFonts w:ascii="Arial" w:cs="Arial" w:eastAsia="Arial" w:hAnsi="Arial"/>
          <w:sz w:val="18"/>
          <w:szCs w:val="18"/>
          <w:color w:val="auto"/>
        </w:rPr>
      </w:pPr>
    </w:p>
    <w:p>
      <w:pPr>
        <w:ind w:left="960" w:hanging="304"/>
        <w:spacing w:after="0" w:line="207" w:lineRule="exact"/>
        <w:tabs>
          <w:tab w:leader="none" w:pos="96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7" w:lineRule="exact"/>
        <w:rPr>
          <w:rFonts w:ascii="Arial" w:cs="Arial" w:eastAsia="Arial" w:hAnsi="Arial"/>
          <w:sz w:val="18"/>
          <w:szCs w:val="18"/>
          <w:color w:val="auto"/>
        </w:rPr>
      </w:pPr>
    </w:p>
    <w:p>
      <w:pPr>
        <w:ind w:left="660" w:hanging="395"/>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60" w:lineRule="exact"/>
        <w:rPr>
          <w:rFonts w:ascii="Arial" w:cs="Arial" w:eastAsia="Arial" w:hAnsi="Arial"/>
          <w:sz w:val="18"/>
          <w:szCs w:val="18"/>
          <w:color w:val="auto"/>
        </w:rPr>
      </w:pPr>
    </w:p>
    <w:p>
      <w:pPr>
        <w:ind w:left="660" w:right="8140" w:hanging="395"/>
        <w:spacing w:after="0" w:line="39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Cayman Islands</w:t>
      </w:r>
    </w:p>
    <w:p>
      <w:pPr>
        <w:ind w:left="1960" w:hanging="399"/>
        <w:spacing w:after="0"/>
        <w:tabs>
          <w:tab w:leader="none" w:pos="19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-1562735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1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738,847 shares of common stock*</w:t>
            </w:r>
          </w:p>
        </w:tc>
        <w:tc>
          <w:tcPr>
            <w:tcW w:w="0" w:type="dxa"/>
            <w:vAlign w:val="bottom"/>
          </w:tcPr>
          <w:p>
            <w:pPr>
              <w:spacing w:after="0"/>
              <w:rPr>
                <w:sz w:val="1"/>
                <w:szCs w:val="1"/>
                <w:color w:val="auto"/>
              </w:rPr>
            </w:pPr>
          </w:p>
        </w:tc>
      </w:tr>
      <w:tr>
        <w:trPr>
          <w:trHeight w:val="215"/>
        </w:trPr>
        <w:tc>
          <w:tcPr>
            <w:tcW w:w="1120" w:type="dxa"/>
            <w:vAlign w:val="bottom"/>
          </w:tcPr>
          <w:p>
            <w:pPr>
              <w:jc w:val="center"/>
              <w:ind w:right="90"/>
              <w:spacing w:after="0"/>
              <w:rPr>
                <w:sz w:val="20"/>
                <w:szCs w:val="20"/>
                <w:color w:val="auto"/>
              </w:rPr>
            </w:pPr>
            <w:r>
              <w:rPr>
                <w:rFonts w:ascii="Arial" w:cs="Arial" w:eastAsia="Arial" w:hAnsi="Arial"/>
                <w:sz w:val="18"/>
                <w:szCs w:val="18"/>
                <w:color w:val="auto"/>
                <w:w w:val="92"/>
              </w:rPr>
              <w:t>Number of</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9600" w:type="dxa"/>
            <w:vAlign w:val="bottom"/>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Arial" w:cs="Arial" w:eastAsia="Arial" w:hAnsi="Arial"/>
                <w:sz w:val="18"/>
                <w:szCs w:val="18"/>
                <w:color w:val="auto"/>
                <w:w w:val="84"/>
              </w:rPr>
              <w:t>Shares</w:t>
            </w:r>
          </w:p>
        </w:tc>
        <w:tc>
          <w:tcPr>
            <w:tcW w:w="520" w:type="dxa"/>
            <w:vAlign w:val="bottom"/>
          </w:tcPr>
          <w:p>
            <w:pPr>
              <w:spacing w:after="0"/>
              <w:rPr>
                <w:sz w:val="18"/>
                <w:szCs w:val="18"/>
                <w:color w:val="auto"/>
              </w:rPr>
            </w:pPr>
          </w:p>
        </w:tc>
        <w:tc>
          <w:tcPr>
            <w:tcW w:w="9600" w:type="dxa"/>
            <w:vAlign w:val="bottom"/>
            <w:vMerge w:val="restart"/>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1120" w:type="dxa"/>
            <w:vAlign w:val="bottom"/>
          </w:tcPr>
          <w:p>
            <w:pPr>
              <w:jc w:val="center"/>
              <w:ind w:right="70"/>
              <w:spacing w:after="0"/>
              <w:rPr>
                <w:sz w:val="20"/>
                <w:szCs w:val="20"/>
                <w:color w:val="auto"/>
              </w:rPr>
            </w:pPr>
            <w:r>
              <w:rPr>
                <w:rFonts w:ascii="Arial" w:cs="Arial" w:eastAsia="Arial" w:hAnsi="Arial"/>
                <w:sz w:val="18"/>
                <w:szCs w:val="18"/>
                <w:color w:val="auto"/>
                <w:w w:val="96"/>
              </w:rPr>
              <w:t>Beneficially</w:t>
            </w:r>
          </w:p>
        </w:tc>
        <w:tc>
          <w:tcPr>
            <w:tcW w:w="520" w:type="dxa"/>
            <w:vAlign w:val="bottom"/>
            <w:tcBorders>
              <w:bottom w:val="single" w:sz="8" w:color="auto"/>
            </w:tcBorders>
          </w:tcPr>
          <w:p>
            <w:pPr>
              <w:spacing w:after="0"/>
              <w:rPr>
                <w:sz w:val="19"/>
                <w:szCs w:val="19"/>
                <w:color w:val="auto"/>
              </w:rPr>
            </w:pPr>
          </w:p>
        </w:tc>
        <w:tc>
          <w:tcPr>
            <w:tcW w:w="96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2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1"/>
              </w:rPr>
              <w:t>Owned</w:t>
            </w:r>
          </w:p>
        </w:tc>
        <w:tc>
          <w:tcPr>
            <w:tcW w:w="520" w:type="dxa"/>
            <w:vAlign w:val="bottom"/>
          </w:tcPr>
          <w:p>
            <w:pPr>
              <w:jc w:val="right"/>
              <w:ind w:right="30"/>
              <w:spacing w:after="0" w:line="189" w:lineRule="exact"/>
              <w:rPr>
                <w:sz w:val="20"/>
                <w:szCs w:val="20"/>
                <w:color w:val="auto"/>
              </w:rPr>
            </w:pPr>
            <w:r>
              <w:rPr>
                <w:rFonts w:ascii="Arial" w:cs="Arial" w:eastAsia="Arial" w:hAnsi="Arial"/>
                <w:sz w:val="18"/>
                <w:szCs w:val="18"/>
                <w:color w:val="auto"/>
              </w:rPr>
              <w:t>7.</w:t>
            </w:r>
          </w:p>
        </w:tc>
        <w:tc>
          <w:tcPr>
            <w:tcW w:w="9600" w:type="dxa"/>
            <w:vAlign w:val="bottom"/>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jc w:val="center"/>
              <w:ind w:right="90"/>
              <w:spacing w:after="0"/>
              <w:rPr>
                <w:sz w:val="20"/>
                <w:szCs w:val="20"/>
                <w:color w:val="auto"/>
              </w:rPr>
            </w:pPr>
            <w:r>
              <w:rPr>
                <w:rFonts w:ascii="Arial" w:cs="Arial" w:eastAsia="Arial" w:hAnsi="Arial"/>
                <w:sz w:val="18"/>
                <w:szCs w:val="18"/>
                <w:color w:val="auto"/>
                <w:w w:val="92"/>
              </w:rPr>
              <w:t>By Each</w:t>
            </w:r>
          </w:p>
        </w:tc>
        <w:tc>
          <w:tcPr>
            <w:tcW w:w="520" w:type="dxa"/>
            <w:vAlign w:val="bottom"/>
          </w:tcPr>
          <w:p>
            <w:pPr>
              <w:spacing w:after="0"/>
              <w:rPr>
                <w:sz w:val="18"/>
                <w:szCs w:val="18"/>
                <w:color w:val="auto"/>
              </w:rPr>
            </w:pPr>
          </w:p>
        </w:tc>
        <w:tc>
          <w:tcPr>
            <w:tcW w:w="9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jc w:val="center"/>
              <w:ind w:right="70"/>
              <w:spacing w:after="0"/>
              <w:rPr>
                <w:sz w:val="20"/>
                <w:szCs w:val="20"/>
                <w:color w:val="auto"/>
              </w:rPr>
            </w:pPr>
            <w:r>
              <w:rPr>
                <w:rFonts w:ascii="Arial" w:cs="Arial" w:eastAsia="Arial" w:hAnsi="Arial"/>
                <w:sz w:val="18"/>
                <w:szCs w:val="18"/>
                <w:color w:val="auto"/>
                <w:w w:val="92"/>
              </w:rPr>
              <w:t>Reporting</w:t>
            </w:r>
          </w:p>
        </w:tc>
        <w:tc>
          <w:tcPr>
            <w:tcW w:w="5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738,847 shares of common stock*</w:t>
            </w:r>
          </w:p>
        </w:tc>
        <w:tc>
          <w:tcPr>
            <w:tcW w:w="0" w:type="dxa"/>
            <w:vAlign w:val="bottom"/>
          </w:tcPr>
          <w:p>
            <w:pPr>
              <w:spacing w:after="0"/>
              <w:rPr>
                <w:sz w:val="1"/>
                <w:szCs w:val="1"/>
                <w:color w:val="auto"/>
              </w:rPr>
            </w:pPr>
          </w:p>
        </w:tc>
      </w:tr>
      <w:tr>
        <w:trPr>
          <w:trHeight w:val="230"/>
        </w:trPr>
        <w:tc>
          <w:tcPr>
            <w:tcW w:w="1120" w:type="dxa"/>
            <w:vAlign w:val="bottom"/>
          </w:tcPr>
          <w:p>
            <w:pPr>
              <w:jc w:val="center"/>
              <w:ind w:right="90"/>
              <w:spacing w:after="0"/>
              <w:rPr>
                <w:sz w:val="20"/>
                <w:szCs w:val="20"/>
                <w:color w:val="auto"/>
              </w:rPr>
            </w:pPr>
            <w:r>
              <w:rPr>
                <w:rFonts w:ascii="Arial" w:cs="Arial" w:eastAsia="Arial" w:hAnsi="Arial"/>
                <w:sz w:val="18"/>
                <w:szCs w:val="18"/>
                <w:color w:val="auto"/>
                <w:w w:val="91"/>
              </w:rPr>
              <w:t>Person With:</w:t>
            </w:r>
          </w:p>
        </w:tc>
        <w:tc>
          <w:tcPr>
            <w:tcW w:w="520" w:type="dxa"/>
            <w:vAlign w:val="bottom"/>
          </w:tcPr>
          <w:p>
            <w:pPr>
              <w:spacing w:after="0"/>
              <w:rPr>
                <w:sz w:val="20"/>
                <w:szCs w:val="20"/>
                <w:color w:val="auto"/>
              </w:rPr>
            </w:pPr>
          </w:p>
        </w:tc>
        <w:tc>
          <w:tcPr>
            <w:tcW w:w="9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8890</wp:posOffset>
            </wp:positionV>
            <wp:extent cx="642302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7145"/>
                    </a:xfrm>
                    <a:prstGeom prst="rect">
                      <a:avLst/>
                    </a:prstGeom>
                    <a:noFill/>
                  </pic:spPr>
                </pic:pic>
              </a:graphicData>
            </a:graphic>
          </wp:anchor>
        </w:drawing>
      </w:r>
    </w:p>
    <w:p>
      <w:pPr>
        <w:spacing w:after="0" w:line="6" w:lineRule="exact"/>
        <w:rPr>
          <w:sz w:val="20"/>
          <w:szCs w:val="20"/>
          <w:color w:val="auto"/>
        </w:rPr>
      </w:pPr>
    </w:p>
    <w:p>
      <w:pPr>
        <w:ind w:left="1960" w:right="7600" w:hanging="399"/>
        <w:spacing w:after="0" w:line="391"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Dispositive Power 0</w:t>
      </w:r>
    </w:p>
    <w:p>
      <w:pPr>
        <w:ind w:left="660" w:right="5960" w:hanging="395"/>
        <w:spacing w:after="0" w:line="38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738,847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220"/>
        <w:spacing w:after="0" w:line="176" w:lineRule="exact"/>
        <w:tabs>
          <w:tab w:leader="none" w:pos="640" w:val="left"/>
          <w:tab w:leader="none" w:pos="6140" w:val="left"/>
        </w:tabs>
        <w:rPr>
          <w:sz w:val="20"/>
          <w:szCs w:val="20"/>
          <w:color w:val="auto"/>
        </w:rPr>
      </w:pPr>
      <w:r>
        <w:rPr>
          <w:rFonts w:ascii="Arial" w:cs="Arial" w:eastAsia="Arial" w:hAnsi="Arial"/>
          <w:sz w:val="17"/>
          <w:szCs w:val="17"/>
          <w:color w:val="auto"/>
        </w:rPr>
        <w:t>10.</w:t>
        <w:tab/>
        <w:t>Check Box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60" w:hanging="437"/>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8.8%</w:t>
      </w:r>
    </w:p>
    <w:p>
      <w:pPr>
        <w:spacing w:after="0" w:line="36" w:lineRule="exact"/>
        <w:rPr>
          <w:rFonts w:ascii="Arial" w:cs="Arial" w:eastAsia="Arial" w:hAnsi="Arial"/>
          <w:sz w:val="18"/>
          <w:szCs w:val="18"/>
          <w:color w:val="auto"/>
        </w:rPr>
      </w:pPr>
    </w:p>
    <w:p>
      <w:pPr>
        <w:ind w:left="660" w:hanging="440"/>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52" w:lineRule="exact"/>
        <w:rPr>
          <w:rFonts w:ascii="Arial" w:cs="Arial" w:eastAsia="Arial" w:hAnsi="Arial"/>
          <w:sz w:val="18"/>
          <w:szCs w:val="18"/>
          <w:color w:val="auto"/>
        </w:rPr>
      </w:pPr>
    </w:p>
    <w:p>
      <w:pPr>
        <w:ind w:left="360" w:hanging="351"/>
        <w:spacing w:after="0" w:line="277" w:lineRule="auto"/>
        <w:rPr>
          <w:rFonts w:ascii="Arial" w:cs="Arial" w:eastAsia="Arial" w:hAnsi="Arial"/>
          <w:sz w:val="18"/>
          <w:szCs w:val="18"/>
          <w:color w:val="auto"/>
        </w:rPr>
      </w:pPr>
      <w:r>
        <w:rPr>
          <w:rFonts w:ascii="Arial" w:cs="Arial" w:eastAsia="Arial" w:hAnsi="Arial"/>
          <w:sz w:val="18"/>
          <w:szCs w:val="18"/>
          <w:color w:val="auto"/>
        </w:rPr>
        <w:t>* Assuming exercise of all Series C Warrants and Series F Warrants but excludes Series D Warrants and Series E Warrants, which are subject to a 4.90% blocker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Tapimmune,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the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1551 Eastlake Avenue East, Suite 100, Seattle, Washington 98102</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Names of Person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Brio Capital Master Fund Ltd.</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the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Brio Capital Management LLC, 100 Merrick Road, Suite 401 W. Rockville Center, NY 11570.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Cayman Islands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$0.001 par value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876033309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 xml:space="preserve">If this statement is filed pursuant to Rules </w:t>
      </w:r>
      <w:r>
        <w:rPr>
          <w:rFonts w:ascii="Arial" w:cs="Arial" w:eastAsia="Arial" w:hAnsi="Arial"/>
          <w:sz w:val="16"/>
          <w:szCs w:val="16"/>
          <w:b w:val="1"/>
          <w:bCs w:val="1"/>
          <w:u w:val="single" w:color="auto"/>
          <w:color w:val="auto"/>
        </w:rPr>
        <w:t>13d-1(b),</w:t>
      </w:r>
      <w:r>
        <w:rPr>
          <w:rFonts w:ascii="Arial" w:cs="Arial" w:eastAsia="Arial" w:hAnsi="Arial"/>
          <w:sz w:val="16"/>
          <w:szCs w:val="16"/>
          <w:b w:val="1"/>
          <w:bCs w:val="1"/>
          <w:color w:val="auto"/>
        </w:rPr>
        <w:t xml:space="preserve"> or </w:t>
      </w:r>
      <w:r>
        <w:rPr>
          <w:rFonts w:ascii="Arial" w:cs="Arial" w:eastAsia="Arial" w:hAnsi="Arial"/>
          <w:sz w:val="16"/>
          <w:szCs w:val="16"/>
          <w:b w:val="1"/>
          <w:bCs w:val="1"/>
          <w:u w:val="single" w:color="auto"/>
          <w:color w:val="auto"/>
        </w:rPr>
        <w:t>13d-2(b)</w:t>
      </w:r>
      <w:r>
        <w:rPr>
          <w:rFonts w:ascii="Arial" w:cs="Arial" w:eastAsia="Arial" w:hAnsi="Arial"/>
          <w:sz w:val="16"/>
          <w:szCs w:val="16"/>
          <w:b w:val="1"/>
          <w:bCs w:val="1"/>
          <w:color w:val="auto"/>
        </w:rPr>
        <w:t xml:space="preserve"> or (c), check whether the person filing is a:</w:t>
      </w:r>
    </w:p>
    <w:p>
      <w:pPr>
        <w:spacing w:after="0" w:line="229" w:lineRule="exact"/>
        <w:rPr>
          <w:sz w:val="20"/>
          <w:szCs w:val="20"/>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(a) Broker or Dealer registered under Section 15 of the Exchange Act.</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(b) Bank as defined in Section 3(a)(b) or the Exchange Act.</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 Insurance company as defined in Section 3(a)(19) of the Exchange Act.</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(d) Investment company registered under Section 8 of the Investment Company Act.</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(e) An Investment adviser in accordance with Rule 13d-1 (b)(1)(ii)(e).</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 An employee benefit plan or endowment fund in accordance with Rule 13d 1(b)(1)(ii)(f).</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(g) A Parent Holding Company or control person in accordance with Rule 13d 1(b)(1)(ii)(g).</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(h) A Savings Association as defined in Section 3(b) of the Federal Deposit Insurance Act.</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6"/>
          <w:szCs w:val="16"/>
          <w:color w:val="auto"/>
        </w:rPr>
      </w:pPr>
      <w:r>
        <w:rPr>
          <w:rFonts w:ascii="Arial" w:cs="Arial" w:eastAsia="Arial" w:hAnsi="Arial"/>
          <w:sz w:val="16"/>
          <w:szCs w:val="16"/>
          <w:color w:val="auto"/>
        </w:rPr>
        <w:t>(i) A Church Plan that is excluded from the definition of an investment company under Section 3(c)(14) of the Investment Company Act.</w:t>
      </w:r>
    </w:p>
    <w:p>
      <w:pPr>
        <w:spacing w:after="0" w:line="248" w:lineRule="exact"/>
        <w:rPr>
          <w:rFonts w:ascii="MS PGothic" w:cs="MS PGothic" w:eastAsia="MS PGothic" w:hAnsi="MS PGothic"/>
          <w:sz w:val="16"/>
          <w:szCs w:val="16"/>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(j) Group, in accordance with Rule 13d-1 (b)(1)(ii)(j).</w:t>
      </w:r>
    </w:p>
    <w:p>
      <w:pPr>
        <w:spacing w:after="0" w:line="225" w:lineRule="exact"/>
        <w:rPr>
          <w:rFonts w:ascii="MS PGothic" w:cs="MS PGothic" w:eastAsia="MS PGothic" w:hAnsi="MS PGothic"/>
          <w:sz w:val="18"/>
          <w:szCs w:val="18"/>
          <w:color w:val="auto"/>
        </w:rPr>
      </w:pPr>
    </w:p>
    <w:p>
      <w:pPr>
        <w:ind w:left="1240" w:hanging="260"/>
        <w:spacing w:after="0"/>
        <w:tabs>
          <w:tab w:leader="none" w:pos="12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904" w:right="5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3, 2017</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Brio Capital Master Fund Ltd.,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Cayman Islands Exempted Company</w:t>
      </w:r>
    </w:p>
    <w:p>
      <w:pPr>
        <w:spacing w:after="0" w:line="211" w:lineRule="exact"/>
        <w:rPr>
          <w:sz w:val="20"/>
          <w:szCs w:val="20"/>
          <w:color w:val="auto"/>
        </w:rPr>
      </w:pPr>
    </w:p>
    <w:p>
      <w:pPr>
        <w:jc w:val="right"/>
        <w:ind w:right="200"/>
        <w:spacing w:after="0"/>
        <w:rPr>
          <w:sz w:val="20"/>
          <w:szCs w:val="20"/>
          <w:color w:val="auto"/>
        </w:rPr>
      </w:pPr>
      <w:r>
        <w:rPr>
          <w:rFonts w:ascii="Arial" w:cs="Arial" w:eastAsia="Arial" w:hAnsi="Arial"/>
          <w:sz w:val="18"/>
          <w:szCs w:val="18"/>
          <w:color w:val="auto"/>
        </w:rPr>
        <w:t>By: Brio Capital Management LLC, its Investment Manager</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Shaye Hirsch</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Shaye Hirsch</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18 U.S.C. 1001)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
    <w:nsid w:val="238E1F29"/>
    <w:multiLevelType w:val="hybridMultilevel"/>
    <w:lvl w:ilvl="0">
      <w:lvlJc w:val="left"/>
      <w:lvlText w:val="%1"/>
      <w:numFmt w:val="decimal"/>
      <w:start w:val="1"/>
    </w:lvl>
    <w:lvl w:ilvl="1">
      <w:lvlJc w:val="left"/>
      <w:lvlText w:val="%2."/>
      <w:numFmt w:val="decimal"/>
      <w:start w:val="8"/>
    </w:lvl>
  </w:abstractNum>
  <w:abstractNum w:abstractNumId="3">
    <w:nsid w:val="46E87CCD"/>
    <w:multiLevelType w:val="hybridMultilevel"/>
    <w:lvl w:ilvl="0">
      <w:lvlJc w:val="left"/>
      <w:lvlText w:val="%1."/>
      <w:numFmt w:val="decimal"/>
      <w:start w:val="9"/>
    </w:lvl>
    <w:lvl w:ilvl="1">
      <w:lvlJc w:val="left"/>
      <w:lvlText w:val="%2"/>
      <w:numFmt w:val="decimal"/>
      <w:start w:val="1"/>
    </w:lvl>
  </w:abstractNum>
  <w:abstractNum w:abstractNumId="4">
    <w:nsid w:val="3D1B58BA"/>
    <w:multiLevelType w:val="hybridMultilevel"/>
    <w:lvl w:ilvl="0">
      <w:lvlJc w:val="left"/>
      <w:lvlText w:val="*"/>
      <w:numFmt w:val="bullet"/>
      <w:start w:val="1"/>
    </w:lvl>
    <w:lvl w:ilvl="1">
      <w:lvlJc w:val="left"/>
      <w:lvlText w:val="%2."/>
      <w:numFmt w:val="decimal"/>
      <w:start w:val="1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2020-01-16T05:08:45Z</dcterms:created>
  <dcterms:modified xsi:type="dcterms:W3CDTF">2020-01-16T05:08:45Z</dcterms:modified>
</cp:coreProperties>
</file>