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ind w:left="660"/>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10-Q</w:t>
      </w:r>
    </w:p>
    <w:p>
      <w:pPr>
        <w:spacing w:after="0" w:line="24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 xml:space="preserve">Quarterly Report Under Section 13 or 15(d) of the Securities Exchange Act of 1934 for the quarterly period ended </w:t>
      </w:r>
      <w:r>
        <w:rPr>
          <w:rFonts w:ascii="Arial" w:cs="Arial" w:eastAsia="Arial" w:hAnsi="Arial"/>
          <w:sz w:val="18"/>
          <w:szCs w:val="18"/>
          <w:b w:val="1"/>
          <w:bCs w:val="1"/>
          <w:u w:val="single" w:color="auto"/>
          <w:color w:val="auto"/>
        </w:rPr>
        <w:t>September 30, 2014</w:t>
      </w:r>
    </w:p>
    <w:p>
      <w:pPr>
        <w:spacing w:after="0" w:line="256" w:lineRule="exact"/>
        <w:rPr>
          <w:sz w:val="24"/>
          <w:szCs w:val="24"/>
          <w:color w:val="auto"/>
        </w:rPr>
      </w:pPr>
    </w:p>
    <w:p>
      <w:pPr>
        <w:ind w:left="4340" w:right="1380" w:hanging="4332"/>
        <w:spacing w:after="0" w:line="559" w:lineRule="auto"/>
        <w:tabs>
          <w:tab w:leader="none" w:pos="58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Under Section 13 or 15(d) of the Securities Exchange Act of 1934 for the transition period from _____ to _____. Commission File Number: </w:t>
      </w:r>
      <w:r>
        <w:rPr>
          <w:rFonts w:ascii="Arial" w:cs="Arial" w:eastAsia="Arial" w:hAnsi="Arial"/>
          <w:sz w:val="18"/>
          <w:szCs w:val="18"/>
          <w:b w:val="1"/>
          <w:bCs w:val="1"/>
          <w:u w:val="single" w:color="auto"/>
          <w:color w:val="auto"/>
        </w:rPr>
        <w:t>000-27239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TAPIMMUNE INC.</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ind w:left="4500"/>
              <w:spacing w:after="0"/>
              <w:rPr>
                <w:sz w:val="20"/>
                <w:szCs w:val="20"/>
                <w:color w:val="auto"/>
              </w:rPr>
            </w:pPr>
            <w:r>
              <w:rPr>
                <w:rFonts w:ascii="Arial" w:cs="Arial" w:eastAsia="Arial" w:hAnsi="Arial"/>
                <w:sz w:val="18"/>
                <w:szCs w:val="18"/>
                <w:color w:val="auto"/>
                <w:w w:val="91"/>
              </w:rPr>
              <w:t>(Name of registrant in its charter)</w:t>
            </w:r>
          </w:p>
        </w:tc>
        <w:tc>
          <w:tcPr>
            <w:tcW w:w="380" w:type="dxa"/>
            <w:vAlign w:val="bottom"/>
          </w:tcPr>
          <w:p>
            <w:pPr>
              <w:spacing w:after="0"/>
              <w:rPr>
                <w:sz w:val="17"/>
                <w:szCs w:val="17"/>
                <w:color w:val="auto"/>
              </w:rPr>
            </w:pPr>
          </w:p>
        </w:tc>
        <w:tc>
          <w:tcPr>
            <w:tcW w:w="4100" w:type="dxa"/>
            <w:vAlign w:val="bottom"/>
          </w:tcPr>
          <w:p>
            <w:pPr>
              <w:spacing w:after="0"/>
              <w:rPr>
                <w:sz w:val="17"/>
                <w:szCs w:val="17"/>
                <w:color w:val="auto"/>
              </w:rPr>
            </w:pPr>
          </w:p>
        </w:tc>
      </w:tr>
      <w:tr>
        <w:trPr>
          <w:trHeight w:val="241"/>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4480" w:type="dxa"/>
            <w:vAlign w:val="bottom"/>
            <w:gridSpan w:val="2"/>
          </w:tcPr>
          <w:p>
            <w:pPr>
              <w:jc w:val="right"/>
              <w:ind w:right="1530"/>
              <w:spacing w:after="0"/>
              <w:rPr>
                <w:sz w:val="20"/>
                <w:szCs w:val="20"/>
                <w:color w:val="auto"/>
              </w:rPr>
            </w:pPr>
            <w:r>
              <w:rPr>
                <w:rFonts w:ascii="Arial" w:cs="Arial" w:eastAsia="Arial" w:hAnsi="Arial"/>
                <w:sz w:val="18"/>
                <w:szCs w:val="18"/>
                <w:b w:val="1"/>
                <w:bCs w:val="1"/>
                <w:color w:val="auto"/>
              </w:rPr>
              <w:t>88-0277072</w:t>
            </w:r>
          </w:p>
        </w:tc>
      </w:tr>
      <w:tr>
        <w:trPr>
          <w:trHeight w:val="230"/>
        </w:trPr>
        <w:tc>
          <w:tcPr>
            <w:tcW w:w="6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89"/>
              </w:rPr>
              <w:t>1551 Eastlake Avenue East, Suite 100</w:t>
            </w: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41"/>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89"/>
              </w:rPr>
              <w:t>Seattle, Washington</w:t>
            </w:r>
          </w:p>
        </w:tc>
        <w:tc>
          <w:tcPr>
            <w:tcW w:w="4480" w:type="dxa"/>
            <w:vAlign w:val="bottom"/>
            <w:gridSpan w:val="2"/>
          </w:tcPr>
          <w:p>
            <w:pPr>
              <w:jc w:val="right"/>
              <w:ind w:right="1730"/>
              <w:spacing w:after="0"/>
              <w:rPr>
                <w:sz w:val="20"/>
                <w:szCs w:val="20"/>
                <w:color w:val="auto"/>
              </w:rPr>
            </w:pPr>
            <w:r>
              <w:rPr>
                <w:rFonts w:ascii="Arial" w:cs="Arial" w:eastAsia="Arial" w:hAnsi="Arial"/>
                <w:sz w:val="18"/>
                <w:szCs w:val="18"/>
                <w:b w:val="1"/>
                <w:bCs w:val="1"/>
                <w:color w:val="auto"/>
              </w:rPr>
              <w:t>98102</w:t>
            </w:r>
          </w:p>
        </w:tc>
      </w:tr>
      <w:tr>
        <w:trPr>
          <w:trHeight w:val="230"/>
        </w:trPr>
        <w:tc>
          <w:tcPr>
            <w:tcW w:w="6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25"/>
        </w:trPr>
        <w:tc>
          <w:tcPr>
            <w:tcW w:w="6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(206) 504 7278</w:t>
            </w: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30"/>
        </w:trPr>
        <w:tc>
          <w:tcPr>
            <w:tcW w:w="6940" w:type="dxa"/>
            <w:vAlign w:val="bottom"/>
          </w:tcPr>
          <w:p>
            <w:pPr>
              <w:jc w:val="center"/>
              <w:spacing w:after="0"/>
              <w:rPr>
                <w:sz w:val="20"/>
                <w:szCs w:val="20"/>
                <w:color w:val="auto"/>
              </w:rPr>
            </w:pPr>
            <w:r>
              <w:rPr>
                <w:rFonts w:ascii="Arial" w:cs="Arial" w:eastAsia="Arial" w:hAnsi="Arial"/>
                <w:sz w:val="18"/>
                <w:szCs w:val="18"/>
                <w:color w:val="auto"/>
                <w:w w:val="88"/>
              </w:rPr>
              <w:t>(Issuer's telephone number)</w:t>
            </w:r>
          </w:p>
        </w:tc>
        <w:tc>
          <w:tcPr>
            <w:tcW w:w="380" w:type="dxa"/>
            <w:vAlign w:val="bottom"/>
          </w:tcPr>
          <w:p>
            <w:pPr>
              <w:spacing w:after="0"/>
              <w:rPr>
                <w:sz w:val="20"/>
                <w:szCs w:val="20"/>
                <w:color w:val="auto"/>
              </w:rPr>
            </w:pPr>
          </w:p>
        </w:tc>
        <w:tc>
          <w:tcPr>
            <w:tcW w:w="4100" w:type="dxa"/>
            <w:vAlign w:val="bottom"/>
          </w:tcPr>
          <w:p>
            <w:pPr>
              <w:spacing w:after="0"/>
              <w:rPr>
                <w:sz w:val="20"/>
                <w:szCs w:val="20"/>
                <w:color w:val="auto"/>
              </w:rPr>
            </w:pPr>
          </w:p>
        </w:tc>
      </w:tr>
    </w:tbl>
    <w:p>
      <w:pPr>
        <w:spacing w:after="0" w:line="18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S</w:t>
      </w:r>
      <w:r>
        <w:rPr>
          <w:rFonts w:ascii="Arial" w:cs="Arial" w:eastAsia="Arial" w:hAnsi="Arial"/>
          <w:sz w:val="18"/>
          <w:szCs w:val="18"/>
          <w:color w:val="auto"/>
        </w:rPr>
        <w:t xml:space="preserve">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S No o</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420"/>
          </w:cols>
          <w:pgMar w:left="240" w:top="1287"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o Large 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o Accelerated filer</w:t>
      </w:r>
    </w:p>
    <w:p>
      <w:pPr>
        <w:spacing w:after="0" w:line="200" w:lineRule="exact"/>
        <w:rPr>
          <w:sz w:val="24"/>
          <w:szCs w:val="24"/>
          <w:color w:val="auto"/>
        </w:rPr>
      </w:pPr>
    </w:p>
    <w:p>
      <w:pPr>
        <w:sectPr>
          <w:pgSz w:w="11900" w:h="16838" w:orient="portrait"/>
          <w:cols w:equalWidth="0" w:num="2">
            <w:col w:w="4900" w:space="720"/>
            <w:col w:w="5800"/>
          </w:cols>
          <w:pgMar w:left="240" w:top="1287"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o Non-accelerated filer (Do not check</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6"/>
          <w:szCs w:val="16"/>
          <w:color w:val="auto"/>
        </w:rPr>
        <w:t>Smaller reporting company</w:t>
      </w:r>
    </w:p>
    <w:p>
      <w:pPr>
        <w:spacing w:after="0" w:line="204" w:lineRule="exact"/>
        <w:rPr>
          <w:sz w:val="24"/>
          <w:szCs w:val="24"/>
          <w:color w:val="auto"/>
        </w:rPr>
      </w:pPr>
    </w:p>
    <w:p>
      <w:pPr>
        <w:sectPr>
          <w:pgSz w:w="11900" w:h="16838" w:orient="portrait"/>
          <w:cols w:equalWidth="0" w:num="2">
            <w:col w:w="4800" w:space="720"/>
            <w:col w:w="5900"/>
          </w:cols>
          <w:pgMar w:left="240" w:top="1287" w:right="239" w:bottom="1440" w:gutter="0" w:footer="0" w:header="0"/>
          <w:type w:val="continuous"/>
        </w:sectPr>
      </w:pPr>
    </w:p>
    <w:p>
      <w:pPr>
        <w:spacing w:after="0" w:line="75"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if smaller reporting company)</w:t>
      </w:r>
    </w:p>
    <w:p>
      <w:pPr>
        <w:sectPr>
          <w:pgSz w:w="11900" w:h="16838" w:orient="portrait"/>
          <w:cols w:equalWidth="0" w:num="1">
            <w:col w:w="11420"/>
          </w:cols>
          <w:pgMar w:left="240" w:top="1287" w:right="239" w:bottom="1440" w:gutter="0" w:footer="0" w:header="0"/>
          <w:type w:val="continuous"/>
        </w:sect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Yes o  No </w:t>
      </w:r>
      <w:r>
        <w:rPr>
          <w:rFonts w:ascii="Arial" w:cs="Arial" w:eastAsia="Arial" w:hAnsi="Arial"/>
          <w:sz w:val="18"/>
          <w:szCs w:val="18"/>
          <w:b w:val="1"/>
          <w:bCs w:val="1"/>
          <w:color w:val="auto"/>
        </w:rPr>
        <w:t>S</w:t>
      </w: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As of November 17, 2014, the Company had 19,603,815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568960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8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PART I – FINANCIAL INFORMATION</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4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Page</w:t>
            </w:r>
          </w:p>
        </w:tc>
      </w:tr>
      <w:tr>
        <w:trPr>
          <w:trHeight w:val="432"/>
        </w:trPr>
        <w:tc>
          <w:tcPr>
            <w:tcW w:w="9980" w:type="dxa"/>
            <w:vAlign w:val="bottom"/>
          </w:tcPr>
          <w:p>
            <w:pPr>
              <w:spacing w:after="0"/>
              <w:rPr>
                <w:sz w:val="20"/>
                <w:szCs w:val="20"/>
                <w:color w:val="auto"/>
              </w:rPr>
            </w:pPr>
            <w:r>
              <w:rPr>
                <w:rFonts w:ascii="Arial" w:cs="Arial" w:eastAsia="Arial" w:hAnsi="Arial"/>
                <w:sz w:val="18"/>
                <w:szCs w:val="18"/>
                <w:color w:val="auto"/>
              </w:rPr>
              <w:t>Condensed Interim Financial Statements</w:t>
            </w:r>
          </w:p>
        </w:tc>
        <w:tc>
          <w:tcPr>
            <w:tcW w:w="1440" w:type="dxa"/>
            <w:vAlign w:val="bottom"/>
          </w:tcPr>
          <w:p>
            <w:pPr>
              <w:spacing w:after="0"/>
              <w:rPr>
                <w:sz w:val="24"/>
                <w:szCs w:val="24"/>
                <w:color w:val="auto"/>
              </w:rPr>
            </w:pPr>
          </w:p>
        </w:tc>
      </w:tr>
      <w:tr>
        <w:trPr>
          <w:trHeight w:val="432"/>
        </w:trPr>
        <w:tc>
          <w:tcPr>
            <w:tcW w:w="9980" w:type="dxa"/>
            <w:vAlign w:val="bottom"/>
          </w:tcPr>
          <w:p>
            <w:pPr>
              <w:spacing w:after="0"/>
              <w:rPr>
                <w:sz w:val="20"/>
                <w:szCs w:val="20"/>
                <w:color w:val="auto"/>
              </w:rPr>
            </w:pPr>
            <w:r>
              <w:rPr>
                <w:rFonts w:ascii="Arial" w:cs="Arial" w:eastAsia="Arial" w:hAnsi="Arial"/>
                <w:sz w:val="18"/>
                <w:szCs w:val="18"/>
                <w:color w:val="auto"/>
              </w:rPr>
              <w:t>Condensed Consolidated Balance Sheets as of September 30, 2014 (Unaudited) and December 31, 2013</w:t>
            </w: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9"/>
              </w:rPr>
              <w:t>3</w:t>
            </w:r>
          </w:p>
        </w:tc>
      </w:tr>
      <w:tr>
        <w:trPr>
          <w:trHeight w:val="432"/>
        </w:trPr>
        <w:tc>
          <w:tcPr>
            <w:tcW w:w="9980" w:type="dxa"/>
            <w:vAlign w:val="bottom"/>
          </w:tcPr>
          <w:p>
            <w:pPr>
              <w:spacing w:after="0"/>
              <w:rPr>
                <w:sz w:val="20"/>
                <w:szCs w:val="20"/>
                <w:color w:val="auto"/>
              </w:rPr>
            </w:pPr>
            <w:r>
              <w:rPr>
                <w:rFonts w:ascii="Arial" w:cs="Arial" w:eastAsia="Arial" w:hAnsi="Arial"/>
                <w:sz w:val="18"/>
                <w:szCs w:val="18"/>
                <w:color w:val="auto"/>
                <w:w w:val="93"/>
              </w:rPr>
              <w:t>Condensed Consolidated Statements of Operations for the Three and Nine Months Ended September 30, 2014 and 2013 (Unaudited)</w:t>
            </w: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9"/>
              </w:rPr>
              <w:t>4</w:t>
            </w:r>
          </w:p>
        </w:tc>
      </w:tr>
      <w:tr>
        <w:trPr>
          <w:trHeight w:val="432"/>
        </w:trPr>
        <w:tc>
          <w:tcPr>
            <w:tcW w:w="9980" w:type="dxa"/>
            <w:vAlign w:val="bottom"/>
          </w:tcPr>
          <w:p>
            <w:pPr>
              <w:spacing w:after="0"/>
              <w:rPr>
                <w:sz w:val="20"/>
                <w:szCs w:val="20"/>
                <w:color w:val="auto"/>
              </w:rPr>
            </w:pPr>
            <w:r>
              <w:rPr>
                <w:rFonts w:ascii="Arial" w:cs="Arial" w:eastAsia="Arial" w:hAnsi="Arial"/>
                <w:sz w:val="18"/>
                <w:szCs w:val="18"/>
                <w:color w:val="auto"/>
                <w:w w:val="95"/>
              </w:rPr>
              <w:t>Condensed Consolidated Statement of Stockholders' Deficit for the Nine Months Ended September 30, 2014 and 2013 (Unaudited)</w:t>
            </w: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9"/>
              </w:rPr>
              <w:t>5</w:t>
            </w:r>
          </w:p>
        </w:tc>
      </w:tr>
      <w:tr>
        <w:trPr>
          <w:trHeight w:val="432"/>
        </w:trPr>
        <w:tc>
          <w:tcPr>
            <w:tcW w:w="9980" w:type="dxa"/>
            <w:vAlign w:val="bottom"/>
          </w:tcPr>
          <w:p>
            <w:pPr>
              <w:spacing w:after="0"/>
              <w:rPr>
                <w:sz w:val="20"/>
                <w:szCs w:val="20"/>
                <w:color w:val="auto"/>
              </w:rPr>
            </w:pPr>
            <w:r>
              <w:rPr>
                <w:rFonts w:ascii="Arial" w:cs="Arial" w:eastAsia="Arial" w:hAnsi="Arial"/>
                <w:sz w:val="18"/>
                <w:szCs w:val="18"/>
                <w:color w:val="auto"/>
              </w:rPr>
              <w:t>Condensed Consolidated Statements of Cash Flows for the Nine Months Ended September 30, 2014 and 2013 (Unaudited)</w:t>
            </w: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9"/>
              </w:rPr>
              <w:t>6</w:t>
            </w:r>
          </w:p>
        </w:tc>
      </w:tr>
      <w:tr>
        <w:trPr>
          <w:trHeight w:val="432"/>
        </w:trPr>
        <w:tc>
          <w:tcPr>
            <w:tcW w:w="9980" w:type="dxa"/>
            <w:vAlign w:val="bottom"/>
          </w:tcPr>
          <w:p>
            <w:pPr>
              <w:spacing w:after="0"/>
              <w:rPr>
                <w:sz w:val="20"/>
                <w:szCs w:val="20"/>
                <w:color w:val="auto"/>
              </w:rPr>
            </w:pPr>
            <w:r>
              <w:rPr>
                <w:rFonts w:ascii="Arial" w:cs="Arial" w:eastAsia="Arial" w:hAnsi="Arial"/>
                <w:sz w:val="18"/>
                <w:szCs w:val="18"/>
                <w:color w:val="auto"/>
              </w:rPr>
              <w:t>Unaudited Notes to Condensed Consolidated Financial Statements</w:t>
            </w: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9"/>
              </w:rPr>
              <w:t>7</w:t>
            </w:r>
          </w:p>
        </w:tc>
      </w:tr>
      <w:tr>
        <w:trPr>
          <w:trHeight w:val="223"/>
        </w:trPr>
        <w:tc>
          <w:tcPr>
            <w:tcW w:w="9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1145"/>
        </w:trPr>
        <w:tc>
          <w:tcPr>
            <w:tcW w:w="99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88"/>
              </w:rPr>
              <w:t>September 30,</w:t>
            </w: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920" w:type="dxa"/>
            <w:vAlign w:val="bottom"/>
            <w:gridSpan w:val="4"/>
            <w:vMerge w:val="restart"/>
          </w:tcPr>
          <w:p>
            <w:pPr>
              <w:ind w:left="5320"/>
              <w:spacing w:after="0"/>
              <w:rPr>
                <w:sz w:val="20"/>
                <w:szCs w:val="20"/>
                <w:color w:val="auto"/>
              </w:rPr>
            </w:pPr>
            <w:r>
              <w:rPr>
                <w:rFonts w:ascii="Arial" w:cs="Arial" w:eastAsia="Arial" w:hAnsi="Arial"/>
                <w:sz w:val="18"/>
                <w:szCs w:val="18"/>
                <w:b w:val="1"/>
                <w:bCs w:val="1"/>
                <w:color w:val="auto"/>
              </w:rPr>
              <w:t>ASSETS</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920" w:type="dxa"/>
            <w:vAlign w:val="bottom"/>
            <w:gridSpan w:val="4"/>
            <w:vMerge w:val="continue"/>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Cash</w:t>
            </w:r>
          </w:p>
        </w:tc>
        <w:tc>
          <w:tcPr>
            <w:tcW w:w="3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613,645</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48,589</w:t>
            </w: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Prepaid expenses and deposits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30,004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15,004</w:t>
            </w:r>
          </w:p>
        </w:tc>
        <w:tc>
          <w:tcPr>
            <w:tcW w:w="0" w:type="dxa"/>
            <w:vAlign w:val="bottom"/>
          </w:tcPr>
          <w:p>
            <w:pPr>
              <w:spacing w:after="0"/>
              <w:rPr>
                <w:sz w:val="1"/>
                <w:szCs w:val="1"/>
                <w:color w:val="auto"/>
              </w:rPr>
            </w:pPr>
          </w:p>
        </w:tc>
      </w:tr>
      <w:tr>
        <w:trPr>
          <w:trHeight w:val="230"/>
        </w:trPr>
        <w:tc>
          <w:tcPr>
            <w:tcW w:w="5520" w:type="dxa"/>
            <w:vAlign w:val="bottom"/>
          </w:tcPr>
          <w:p>
            <w:pPr>
              <w:ind w:left="100"/>
              <w:spacing w:after="0"/>
              <w:rPr>
                <w:sz w:val="20"/>
                <w:szCs w:val="20"/>
                <w:color w:val="auto"/>
              </w:rPr>
            </w:pPr>
            <w:r>
              <w:rPr>
                <w:rFonts w:ascii="Arial" w:cs="Arial" w:eastAsia="Arial" w:hAnsi="Arial"/>
                <w:sz w:val="18"/>
                <w:szCs w:val="18"/>
                <w:color w:val="auto"/>
              </w:rPr>
              <w:t>Deferred financing costs</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13,439</w:t>
            </w:r>
          </w:p>
        </w:tc>
        <w:tc>
          <w:tcPr>
            <w:tcW w:w="0" w:type="dxa"/>
            <w:vAlign w:val="bottom"/>
          </w:tcPr>
          <w:p>
            <w:pPr>
              <w:spacing w:after="0"/>
              <w:rPr>
                <w:sz w:val="1"/>
                <w:szCs w:val="1"/>
                <w:color w:val="auto"/>
              </w:rPr>
            </w:pPr>
          </w:p>
        </w:tc>
      </w:tr>
      <w:tr>
        <w:trPr>
          <w:trHeight w:val="27"/>
        </w:trPr>
        <w:tc>
          <w:tcPr>
            <w:tcW w:w="5520" w:type="dxa"/>
            <w:vAlign w:val="bottom"/>
            <w:shd w:val="clear" w:color="auto" w:fill="000000"/>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643,649</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77,032</w:t>
            </w:r>
          </w:p>
        </w:tc>
        <w:tc>
          <w:tcPr>
            <w:tcW w:w="0" w:type="dxa"/>
            <w:vAlign w:val="bottom"/>
          </w:tcPr>
          <w:p>
            <w:pPr>
              <w:spacing w:after="0"/>
              <w:rPr>
                <w:sz w:val="1"/>
                <w:szCs w:val="1"/>
                <w:color w:val="auto"/>
              </w:rPr>
            </w:pPr>
          </w:p>
        </w:tc>
      </w:tr>
      <w:tr>
        <w:trPr>
          <w:trHeight w:val="21"/>
        </w:trPr>
        <w:tc>
          <w:tcPr>
            <w:tcW w:w="8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8920" w:type="dxa"/>
            <w:vAlign w:val="bottom"/>
            <w:gridSpan w:val="4"/>
          </w:tcPr>
          <w:p>
            <w:pPr>
              <w:ind w:left="3680"/>
              <w:spacing w:after="0"/>
              <w:rPr>
                <w:sz w:val="20"/>
                <w:szCs w:val="20"/>
                <w:color w:val="auto"/>
              </w:rPr>
            </w:pPr>
            <w:r>
              <w:rPr>
                <w:rFonts w:ascii="Arial" w:cs="Arial" w:eastAsia="Arial" w:hAnsi="Arial"/>
                <w:sz w:val="18"/>
                <w:szCs w:val="18"/>
                <w:b w:val="1"/>
                <w:bCs w:val="1"/>
                <w:color w:val="auto"/>
              </w:rPr>
              <w:t>LIABILITIES AND STOCKHOLDERS’ DEFICIT</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80"/>
              <w:spacing w:after="0"/>
              <w:rPr>
                <w:sz w:val="20"/>
                <w:szCs w:val="20"/>
                <w:color w:val="auto"/>
              </w:rPr>
            </w:pPr>
            <w:r>
              <w:rPr>
                <w:rFonts w:ascii="Arial" w:cs="Arial" w:eastAsia="Arial" w:hAnsi="Arial"/>
                <w:sz w:val="18"/>
                <w:szCs w:val="18"/>
                <w:color w:val="auto"/>
              </w:rPr>
              <w:t>Accounts payable and accrued liabilities</w:t>
            </w:r>
          </w:p>
        </w:tc>
        <w:tc>
          <w:tcPr>
            <w:tcW w:w="3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671,016</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3,778,401</w:t>
            </w: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Research agreement obligations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492,365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Derivative liability – conversion option</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582,300</w:t>
            </w: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Derivative liability – warrants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83,521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140,504</w:t>
            </w: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Convertible notes payable</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3,161,977</w:t>
            </w: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Loans payable, related party (2013 - $5,200)</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42,200</w:t>
            </w: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Promissory notes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52,942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277,942</w:t>
            </w:r>
          </w:p>
        </w:tc>
        <w:tc>
          <w:tcPr>
            <w:tcW w:w="0" w:type="dxa"/>
            <w:vAlign w:val="bottom"/>
          </w:tcPr>
          <w:p>
            <w:pPr>
              <w:spacing w:after="0"/>
              <w:rPr>
                <w:sz w:val="1"/>
                <w:szCs w:val="1"/>
                <w:color w:val="auto"/>
              </w:rPr>
            </w:pPr>
          </w:p>
        </w:tc>
      </w:tr>
      <w:tr>
        <w:trPr>
          <w:trHeight w:val="237"/>
        </w:trPr>
        <w:tc>
          <w:tcPr>
            <w:tcW w:w="5520" w:type="dxa"/>
            <w:vAlign w:val="bottom"/>
          </w:tcPr>
          <w:p>
            <w:pPr>
              <w:ind w:left="100"/>
              <w:spacing w:after="0"/>
              <w:rPr>
                <w:sz w:val="20"/>
                <w:szCs w:val="20"/>
                <w:color w:val="auto"/>
              </w:rPr>
            </w:pPr>
            <w:r>
              <w:rPr>
                <w:rFonts w:ascii="Arial" w:cs="Arial" w:eastAsia="Arial" w:hAnsi="Arial"/>
                <w:sz w:val="18"/>
                <w:szCs w:val="18"/>
                <w:color w:val="auto"/>
              </w:rPr>
              <w:t>Due to related parties</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369,346</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1,299,844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8,845,035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20" w:type="dxa"/>
            <w:vAlign w:val="bottom"/>
            <w:gridSpan w:val="4"/>
          </w:tcPr>
          <w:p>
            <w:pPr>
              <w:spacing w:after="0"/>
              <w:rPr>
                <w:sz w:val="20"/>
                <w:szCs w:val="20"/>
                <w:color w:val="auto"/>
              </w:rPr>
            </w:pPr>
            <w:r>
              <w:rPr>
                <w:rFonts w:ascii="Arial" w:cs="Arial" w:eastAsia="Arial" w:hAnsi="Arial"/>
                <w:sz w:val="18"/>
                <w:szCs w:val="18"/>
                <w:color w:val="auto"/>
              </w:rPr>
              <w:t>Convertible preferred stock, $0.001 par value — 10,000,000 shares authorized:</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4"/>
          </w:tcPr>
          <w:p>
            <w:pPr>
              <w:ind w:left="180"/>
              <w:spacing w:after="0"/>
              <w:rPr>
                <w:sz w:val="20"/>
                <w:szCs w:val="20"/>
                <w:color w:val="auto"/>
              </w:rPr>
            </w:pPr>
            <w:r>
              <w:rPr>
                <w:rFonts w:ascii="Arial" w:cs="Arial" w:eastAsia="Arial" w:hAnsi="Arial"/>
                <w:sz w:val="18"/>
                <w:szCs w:val="18"/>
                <w:color w:val="auto"/>
                <w:w w:val="92"/>
              </w:rPr>
              <w:t>Series A, $0.001 par value, 1,250,000 shares designated, -0- shares issued and outstanding as of September 30, 2014</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and December 31, 2013</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w w:val="88"/>
              </w:rPr>
              <w:t>Series B, $0.001 par value, 1,500,000 shares designated, -0- shares issued</w:t>
            </w:r>
          </w:p>
        </w:tc>
        <w:tc>
          <w:tcPr>
            <w:tcW w:w="3400" w:type="dxa"/>
            <w:vAlign w:val="bottom"/>
            <w:gridSpan w:val="3"/>
          </w:tcPr>
          <w:p>
            <w:pPr>
              <w:jc w:val="right"/>
              <w:ind w:right="230"/>
              <w:spacing w:after="0"/>
              <w:rPr>
                <w:sz w:val="20"/>
                <w:szCs w:val="20"/>
                <w:color w:val="auto"/>
              </w:rPr>
            </w:pPr>
            <w:r>
              <w:rPr>
                <w:rFonts w:ascii="Arial" w:cs="Arial" w:eastAsia="Arial" w:hAnsi="Arial"/>
                <w:sz w:val="18"/>
                <w:szCs w:val="18"/>
                <w:color w:val="auto"/>
                <w:w w:val="89"/>
              </w:rPr>
              <w:t>and outstanding as of September 30, 2014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Common stock, $0.001 par value, 500,000,000 shares authorized</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19,603,815 shares issued and outstanding (2013 – 1,465,712)</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19,604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84,484,316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46,430,750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Shares to be issued</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468,675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284,750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Accumulated deficit</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(85,573,221)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(55,426,635)</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(55,569)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(58,334)</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(656,195)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(8,768,003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4"/>
                <w:szCs w:val="24"/>
                <w:color w:val="auto"/>
              </w:rPr>
            </w:pPr>
          </w:p>
        </w:tc>
        <w:tc>
          <w:tcPr>
            <w:tcW w:w="3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643,649</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77,032</w:t>
            </w:r>
          </w:p>
        </w:tc>
        <w:tc>
          <w:tcPr>
            <w:tcW w:w="0" w:type="dxa"/>
            <w:vAlign w:val="bottom"/>
          </w:tcPr>
          <w:p>
            <w:pPr>
              <w:spacing w:after="0"/>
              <w:rPr>
                <w:sz w:val="1"/>
                <w:szCs w:val="1"/>
                <w:color w:val="auto"/>
              </w:rPr>
            </w:pPr>
          </w:p>
        </w:tc>
      </w:tr>
      <w:tr>
        <w:trPr>
          <w:trHeight w:val="21"/>
        </w:trPr>
        <w:tc>
          <w:tcPr>
            <w:tcW w:w="552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18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6"/>
          </w:tcPr>
          <w:p>
            <w:pPr>
              <w:jc w:val="right"/>
              <w:ind w:right="620"/>
              <w:spacing w:after="0"/>
              <w:rPr>
                <w:sz w:val="20"/>
                <w:szCs w:val="20"/>
                <w:color w:val="auto"/>
              </w:rPr>
            </w:pPr>
            <w:r>
              <w:rPr>
                <w:rFonts w:ascii="Arial" w:cs="Arial" w:eastAsia="Arial" w:hAnsi="Arial"/>
                <w:sz w:val="18"/>
                <w:szCs w:val="18"/>
                <w:color w:val="auto"/>
              </w:rPr>
              <w:t>Nine Months Ended</w:t>
            </w:r>
          </w:p>
        </w:tc>
      </w:tr>
      <w:tr>
        <w:trPr>
          <w:trHeight w:val="237"/>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r>
      <w:tr>
        <w:trPr>
          <w:trHeight w:val="223"/>
        </w:trPr>
        <w:tc>
          <w:tcPr>
            <w:tcW w:w="5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2013</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Consulting fees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681,795</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57,679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1,564,710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207,814</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322,742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70,466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626,457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365,898</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Management fees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41,250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62,249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93,750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206,738</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305,422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69,938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614,264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455,226</w:t>
            </w:r>
          </w:p>
        </w:tc>
      </w:tr>
      <w:tr>
        <w:trPr>
          <w:trHeight w:val="237"/>
        </w:trPr>
        <w:tc>
          <w:tcPr>
            <w:tcW w:w="59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32,500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77,500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218,778</w:t>
            </w:r>
          </w:p>
        </w:tc>
      </w:tr>
      <w:tr>
        <w:trPr>
          <w:trHeight w:val="223"/>
        </w:trPr>
        <w:tc>
          <w:tcPr>
            <w:tcW w:w="59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1,383,709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290,332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2,976,681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1,454,454</w:t>
            </w:r>
          </w:p>
        </w:tc>
        <w:tc>
          <w:tcPr>
            <w:tcW w:w="100" w:type="dxa"/>
            <w:vAlign w:val="bottom"/>
          </w:tcPr>
          <w:p>
            <w:pPr>
              <w:spacing w:after="0"/>
              <w:rPr>
                <w:sz w:val="19"/>
                <w:szCs w:val="19"/>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(1,383,709)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(290,332)</w:t>
            </w: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(2,976,681)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(1,454,454)</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Foreign exchange (loss) gain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5,896</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Changes in fair value of derivative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(74,062)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266,077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243,475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2,144,566</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Accretion of interest on convertible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(646,765)</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(492,296)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(934,261)</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Interest and finance charges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(22,957)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(83,247)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(139,840)</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Loss on debt financing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(104,000)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(200,000)</w:t>
            </w:r>
          </w:p>
        </w:tc>
      </w:t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Loss on settlement of debt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(94,640)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(168,392)</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(26,837,837)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(1,478,792)</w:t>
            </w:r>
          </w:p>
        </w:tc>
      </w:tr>
      <w:tr>
        <w:trPr>
          <w:trHeight w:val="27"/>
        </w:trPr>
        <w:tc>
          <w:tcPr>
            <w:tcW w:w="5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9"/>
        </w:trPr>
        <w:tc>
          <w:tcPr>
            <w:tcW w:w="5960" w:type="dxa"/>
            <w:vAlign w:val="bottom"/>
          </w:tcPr>
          <w:p>
            <w:pPr>
              <w:spacing w:after="0"/>
              <w:rPr>
                <w:sz w:val="20"/>
                <w:szCs w:val="20"/>
                <w:color w:val="auto"/>
              </w:rPr>
            </w:pPr>
            <w:r>
              <w:rPr>
                <w:rFonts w:ascii="Arial" w:cs="Arial" w:eastAsia="Arial" w:hAnsi="Arial"/>
                <w:sz w:val="18"/>
                <w:szCs w:val="18"/>
                <w:b w:val="1"/>
                <w:bCs w:val="1"/>
                <w:color w:val="auto"/>
              </w:rPr>
              <w:t>Net Loss for the Period</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(1,567,836)</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(966,369)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(30,146,586)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(2,056,885)</w:t>
            </w:r>
          </w:p>
        </w:tc>
      </w:tr>
      <w:tr>
        <w:trPr>
          <w:trHeight w:val="634"/>
        </w:trPr>
        <w:tc>
          <w:tcPr>
            <w:tcW w:w="5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Foreign exchange translation adjustment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(1,402)</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2,765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1,803</w:t>
            </w:r>
          </w:p>
        </w:tc>
      </w:tr>
      <w:tr>
        <w:trPr>
          <w:trHeight w:val="21"/>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96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(1,564,864)</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(967,771)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(30,143,821)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(2,055,082)</w:t>
            </w:r>
          </w:p>
        </w:tc>
      </w:tr>
      <w:tr>
        <w:trPr>
          <w:trHeight w:val="21"/>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5960" w:type="dxa"/>
            <w:vAlign w:val="bottom"/>
          </w:tcPr>
          <w:p>
            <w:pPr>
              <w:spacing w:after="0"/>
              <w:rPr>
                <w:sz w:val="20"/>
                <w:szCs w:val="20"/>
                <w:color w:val="auto"/>
              </w:rPr>
            </w:pPr>
            <w:r>
              <w:rPr>
                <w:rFonts w:ascii="Arial" w:cs="Arial" w:eastAsia="Arial" w:hAnsi="Arial"/>
                <w:sz w:val="18"/>
                <w:szCs w:val="18"/>
                <w:b w:val="1"/>
                <w:bCs w:val="1"/>
                <w:color w:val="auto"/>
              </w:rPr>
              <w:t>Basic and Diluted Net Loss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per Share</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(0.76)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r>
      <w:tr>
        <w:trPr>
          <w:trHeight w:val="21"/>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5960" w:type="dxa"/>
            <w:vAlign w:val="bottom"/>
          </w:tcPr>
          <w:p>
            <w:pPr>
              <w:spacing w:after="0"/>
              <w:rPr>
                <w:sz w:val="20"/>
                <w:szCs w:val="20"/>
                <w:color w:val="auto"/>
              </w:rPr>
            </w:pPr>
            <w:r>
              <w:rPr>
                <w:rFonts w:ascii="Arial" w:cs="Arial" w:eastAsia="Arial" w:hAnsi="Arial"/>
                <w:sz w:val="18"/>
                <w:szCs w:val="18"/>
                <w:b w:val="1"/>
                <w:bCs w:val="1"/>
                <w:color w:val="auto"/>
              </w:rPr>
              <w:t>Weighted Average Number of</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Common Shares Outstanding</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17,310,708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1,266,188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13,292,886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1,026,354</w:t>
            </w:r>
          </w:p>
        </w:tc>
      </w:tr>
      <w:tr>
        <w:trPr>
          <w:trHeight w:val="21"/>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DEFICIT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6"/>
          </w:tcPr>
          <w:p>
            <w:pPr>
              <w:ind w:left="720"/>
              <w:spacing w:after="0"/>
              <w:rPr>
                <w:sz w:val="20"/>
                <w:szCs w:val="20"/>
                <w:color w:val="auto"/>
              </w:rPr>
            </w:pPr>
            <w:r>
              <w:rPr>
                <w:rFonts w:ascii="Arial" w:cs="Arial" w:eastAsia="Arial" w:hAnsi="Arial"/>
                <w:sz w:val="18"/>
                <w:szCs w:val="18"/>
                <w:color w:val="auto"/>
              </w:rPr>
              <w:t>Common Stock</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Paid In</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Shares to be</w:t>
            </w:r>
          </w:p>
        </w:tc>
        <w:tc>
          <w:tcPr>
            <w:tcW w:w="1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Accumulated</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Comprehensive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Amount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Capital</w:t>
            </w:r>
          </w:p>
        </w:tc>
        <w:tc>
          <w:tcPr>
            <w:tcW w:w="1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Issued</w:t>
            </w:r>
          </w:p>
        </w:tc>
        <w:tc>
          <w:tcPr>
            <w:tcW w:w="12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Deficit</w:t>
            </w:r>
          </w:p>
        </w:tc>
        <w:tc>
          <w:tcPr>
            <w:tcW w:w="24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Loss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r>
      <w:tr>
        <w:trPr>
          <w:trHeight w:val="418"/>
        </w:trPr>
        <w:tc>
          <w:tcPr>
            <w:tcW w:w="1960" w:type="dxa"/>
            <w:vAlign w:val="bottom"/>
            <w:gridSpan w:val="2"/>
          </w:tcPr>
          <w:p>
            <w:pPr>
              <w:spacing w:after="0"/>
              <w:rPr>
                <w:sz w:val="20"/>
                <w:szCs w:val="20"/>
                <w:color w:val="auto"/>
              </w:rPr>
            </w:pPr>
            <w:r>
              <w:rPr>
                <w:rFonts w:ascii="Arial" w:cs="Arial" w:eastAsia="Arial" w:hAnsi="Arial"/>
                <w:sz w:val="18"/>
                <w:szCs w:val="18"/>
                <w:color w:val="auto"/>
              </w:rPr>
              <w:t>Balance, December 31,</w:t>
            </w: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1,465,712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1,466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   46,430,750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284,750</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  (55,426,635)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(58,334)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(8,768,003)</w:t>
            </w:r>
          </w:p>
        </w:tc>
      </w:tr>
      <w:tr>
        <w:trPr>
          <w:trHeight w:val="418"/>
        </w:trPr>
        <w:tc>
          <w:tcPr>
            <w:tcW w:w="1960" w:type="dxa"/>
            <w:vAlign w:val="bottom"/>
            <w:gridSpan w:val="2"/>
          </w:tcPr>
          <w:p>
            <w:pPr>
              <w:spacing w:after="0"/>
              <w:rPr>
                <w:sz w:val="20"/>
                <w:szCs w:val="20"/>
                <w:color w:val="auto"/>
              </w:rPr>
            </w:pPr>
            <w:r>
              <w:rPr>
                <w:rFonts w:ascii="Arial" w:cs="Arial" w:eastAsia="Arial" w:hAnsi="Arial"/>
                <w:sz w:val="18"/>
                <w:szCs w:val="18"/>
                <w:color w:val="auto"/>
              </w:rPr>
              <w:t>Convertible notes,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promissory notes, loan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and accrued interest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converted into common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stock</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14,386,030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14,395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32,235,799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32,250,194</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Conversion of accounts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payable to common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stock</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1,279,032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1,271</w:t>
            </w:r>
          </w:p>
        </w:tc>
        <w:tc>
          <w:tcPr>
            <w:tcW w:w="1120" w:type="dxa"/>
            <w:vAlign w:val="bottom"/>
          </w:tcPr>
          <w:p>
            <w:pPr>
              <w:jc w:val="right"/>
              <w:spacing w:after="0"/>
              <w:rPr>
                <w:sz w:val="20"/>
                <w:szCs w:val="20"/>
                <w:color w:val="auto"/>
              </w:rPr>
            </w:pPr>
            <w:r>
              <w:rPr>
                <w:rFonts w:ascii="Arial" w:cs="Arial" w:eastAsia="Arial" w:hAnsi="Arial"/>
                <w:sz w:val="18"/>
                <w:szCs w:val="18"/>
                <w:color w:val="auto"/>
              </w:rPr>
              <w:t>2,892,041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3,013,312</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w w:val="96"/>
              </w:rPr>
              <w:t>Private placement (net of</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finders’ fee)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2,157,042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2,157</w:t>
            </w:r>
          </w:p>
        </w:tc>
        <w:tc>
          <w:tcPr>
            <w:tcW w:w="1120" w:type="dxa"/>
            <w:vAlign w:val="bottom"/>
          </w:tcPr>
          <w:p>
            <w:pPr>
              <w:jc w:val="right"/>
              <w:spacing w:after="0"/>
              <w:rPr>
                <w:sz w:val="20"/>
                <w:szCs w:val="20"/>
                <w:color w:val="auto"/>
              </w:rPr>
            </w:pPr>
            <w:r>
              <w:rPr>
                <w:rFonts w:ascii="Arial" w:cs="Arial" w:eastAsia="Arial" w:hAnsi="Arial"/>
                <w:sz w:val="18"/>
                <w:szCs w:val="18"/>
                <w:color w:val="auto"/>
              </w:rPr>
              <w:t>2,095,343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2,097,500</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translation adjustment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2,765</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Stock- based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316,000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315</w:t>
            </w:r>
          </w:p>
        </w:tc>
        <w:tc>
          <w:tcPr>
            <w:tcW w:w="1120" w:type="dxa"/>
            <w:vAlign w:val="bottom"/>
          </w:tcPr>
          <w:p>
            <w:pPr>
              <w:jc w:val="right"/>
              <w:spacing w:after="0"/>
              <w:rPr>
                <w:sz w:val="20"/>
                <w:szCs w:val="20"/>
                <w:color w:val="auto"/>
              </w:rPr>
            </w:pPr>
            <w:r>
              <w:rPr>
                <w:rFonts w:ascii="Arial" w:cs="Arial" w:eastAsia="Arial" w:hAnsi="Arial"/>
                <w:sz w:val="18"/>
                <w:szCs w:val="18"/>
                <w:color w:val="auto"/>
              </w:rPr>
              <w:t>830,383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63,925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894,623</w:t>
            </w:r>
          </w:p>
        </w:tc>
      </w:tr>
      <w:tr>
        <w:trPr>
          <w:trHeight w:val="237"/>
        </w:trPr>
        <w:tc>
          <w:tcPr>
            <w:tcW w:w="19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(30,146,586)</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(30,146,586)</w:t>
            </w:r>
          </w:p>
        </w:tc>
      </w:tr>
      <w:tr>
        <w:trPr>
          <w:trHeight w:val="202"/>
        </w:trPr>
        <w:tc>
          <w:tcPr>
            <w:tcW w:w="1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Balance, September 30,</w:t>
            </w: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19,603,816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19,604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84,484,316</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468,675</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(85,573,221)</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(55,569)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(656,195)</w:t>
            </w:r>
          </w:p>
        </w:tc>
      </w:tr>
      <w:tr>
        <w:trPr>
          <w:trHeight w:val="21"/>
        </w:trPr>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i w:val="1"/>
          <w:iCs w:val="1"/>
          <w:color w:val="auto"/>
        </w:rPr>
        <w:t>TAPIMMUNE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6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2"/>
              </w:rPr>
              <w:t>Nine Months</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2"/>
              </w:rPr>
              <w:t>Nine Months</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Ended</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September 30,</w:t>
            </w:r>
          </w:p>
        </w:tc>
        <w:tc>
          <w:tcPr>
            <w:tcW w:w="6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r>
      <w:tr>
        <w:trPr>
          <w:trHeight w:val="237"/>
        </w:trPr>
        <w:tc>
          <w:tcPr>
            <w:tcW w:w="20" w:type="dxa"/>
            <w:vAlign w:val="bottom"/>
          </w:tcPr>
          <w:p>
            <w:pPr>
              <w:spacing w:after="0"/>
              <w:rPr>
                <w:sz w:val="20"/>
                <w:szCs w:val="20"/>
                <w:color w:val="auto"/>
              </w:rPr>
            </w:pPr>
          </w:p>
        </w:tc>
        <w:tc>
          <w:tcPr>
            <w:tcW w:w="8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(30,146,586)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(2,056,885)</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Adjustments to reconcile net loss to</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net cash from operating activities: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Non-cash loss on debt financing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Changes in fair value of derivative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(243,475)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(2,144,566)</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Loss on settlement of debt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26,837,837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1,478,792</w:t>
            </w:r>
          </w:p>
        </w:tc>
      </w:tr>
      <w:tr>
        <w:trPr>
          <w:trHeight w:val="216"/>
        </w:trPr>
        <w:tc>
          <w:tcPr>
            <w:tcW w:w="20" w:type="dxa"/>
            <w:vAlign w:val="bottom"/>
          </w:tcPr>
          <w:p>
            <w:pPr>
              <w:spacing w:after="0"/>
              <w:rPr>
                <w:sz w:val="18"/>
                <w:szCs w:val="18"/>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Accretion of interest on convertible debt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492,296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934,261</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1,265,625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121,685</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Prepaid expenses and deposits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(103,950)</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Deferred financing costs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23,368</w:t>
            </w:r>
          </w:p>
        </w:tc>
      </w:tr>
      <w:tr>
        <w:trPr>
          <w:trHeight w:val="216"/>
        </w:trPr>
        <w:tc>
          <w:tcPr>
            <w:tcW w:w="20" w:type="dxa"/>
            <w:vAlign w:val="bottom"/>
          </w:tcPr>
          <w:p>
            <w:pPr>
              <w:spacing w:after="0"/>
              <w:rPr>
                <w:sz w:val="18"/>
                <w:szCs w:val="18"/>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291,359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716,371</w:t>
            </w:r>
          </w:p>
        </w:tc>
      </w:tr>
      <w:tr>
        <w:trPr>
          <w:trHeight w:val="237"/>
        </w:trPr>
        <w:tc>
          <w:tcPr>
            <w:tcW w:w="20" w:type="dxa"/>
            <w:vAlign w:val="bottom"/>
          </w:tcPr>
          <w:p>
            <w:pPr>
              <w:spacing w:after="0"/>
              <w:rPr>
                <w:sz w:val="20"/>
                <w:szCs w:val="20"/>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Research agreement obligations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76,367</w:t>
            </w:r>
          </w:p>
        </w:tc>
      </w:tr>
      <w:tr>
        <w:trPr>
          <w:trHeight w:val="198"/>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NET CASH USED IN</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(1,517,944)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(754,557)</w:t>
            </w: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18"/>
        </w:trPr>
        <w:tc>
          <w:tcPr>
            <w:tcW w:w="20" w:type="dxa"/>
            <w:vAlign w:val="bottom"/>
          </w:tcPr>
          <w:p>
            <w:pPr>
              <w:spacing w:after="0"/>
              <w:rPr>
                <w:sz w:val="24"/>
                <w:szCs w:val="24"/>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Issuance of shares, net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2,097,500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231,651</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Convertible notes,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335,000</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Proceeds from loans payable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Repayment of promissory notes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8680" w:type="dxa"/>
            <w:vAlign w:val="bottom"/>
          </w:tcPr>
          <w:p>
            <w:pPr>
              <w:ind w:left="60"/>
              <w:spacing w:after="0"/>
              <w:rPr>
                <w:sz w:val="20"/>
                <w:szCs w:val="20"/>
                <w:color w:val="auto"/>
              </w:rPr>
            </w:pPr>
            <w:r>
              <w:rPr>
                <w:rFonts w:ascii="Arial" w:cs="Arial" w:eastAsia="Arial" w:hAnsi="Arial"/>
                <w:sz w:val="18"/>
                <w:szCs w:val="18"/>
                <w:color w:val="auto"/>
              </w:rPr>
              <w:t>Advances from (to) related parties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159,000</w:t>
            </w:r>
          </w:p>
        </w:tc>
      </w:tr>
      <w:tr>
        <w:trPr>
          <w:trHeight w:val="198"/>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NET CASH PROVIDED BY</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2,083,000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725,651</w:t>
            </w:r>
          </w:p>
        </w:tc>
      </w:tr>
      <w:tr>
        <w:trPr>
          <w:trHeight w:val="27"/>
        </w:trPr>
        <w:tc>
          <w:tcPr>
            <w:tcW w:w="870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1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INCREASE (DECREASE) IN CASH</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565,056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(28,906)</w:t>
            </w:r>
          </w:p>
        </w:tc>
      </w:tr>
      <w:tr>
        <w:trPr>
          <w:trHeight w:val="241"/>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CASH, BEGINNING OF PERIOD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48,589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33,839</w:t>
            </w:r>
          </w:p>
        </w:tc>
      </w:tr>
      <w:tr>
        <w:trPr>
          <w:trHeight w:val="216"/>
        </w:trPr>
        <w:tc>
          <w:tcPr>
            <w:tcW w:w="8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CASH, END OF PERIOD</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613,645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4,933</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700" w:type="dxa"/>
            <w:vAlign w:val="bottom"/>
            <w:gridSpan w:val="2"/>
          </w:tcPr>
          <w:p>
            <w:pPr>
              <w:spacing w:after="0"/>
              <w:rPr>
                <w:sz w:val="20"/>
                <w:szCs w:val="20"/>
                <w:color w:val="auto"/>
              </w:rPr>
            </w:pPr>
            <w:r>
              <w:rPr>
                <w:rFonts w:ascii="Arial" w:cs="Arial" w:eastAsia="Arial" w:hAnsi="Arial"/>
                <w:sz w:val="18"/>
                <w:szCs w:val="18"/>
                <w:color w:val="auto"/>
              </w:rPr>
              <w:t>Supplemental cash flow information and non-cash investing and financing activities: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700" w:type="dxa"/>
            <w:vAlign w:val="bottom"/>
            <w:gridSpan w:val="2"/>
          </w:tcPr>
          <w:p>
            <w:pPr>
              <w:spacing w:after="0"/>
              <w:rPr>
                <w:sz w:val="20"/>
                <w:szCs w:val="20"/>
                <w:color w:val="auto"/>
              </w:rPr>
            </w:pPr>
            <w:r>
              <w:rPr>
                <w:rFonts w:ascii="Arial" w:cs="Arial" w:eastAsia="Arial" w:hAnsi="Arial"/>
                <w:sz w:val="18"/>
                <w:szCs w:val="18"/>
                <w:color w:val="auto"/>
              </w:rPr>
              <w:t>Conversion of convertible debt, accounts payable, loan, promissory notes, and accrued interest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w w:val="94"/>
              </w:rPr>
              <w:t>8,425,669</w:t>
            </w:r>
            <w:r>
              <w:rPr>
                <w:rFonts w:ascii="Arial" w:cs="Arial" w:eastAsia="Arial" w:hAnsi="Arial"/>
                <w:sz w:val="12"/>
                <w:szCs w:val="12"/>
                <w:b w:val="1"/>
                <w:bCs w:val="1"/>
                <w:color w:val="auto"/>
                <w:w w:val="94"/>
              </w:rPr>
              <w:t>(1)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1,219,087</w:t>
            </w:r>
          </w:p>
        </w:tc>
      </w:tr>
    </w:tbl>
    <w:p>
      <w:pPr>
        <w:spacing w:after="0" w:line="229" w:lineRule="exact"/>
        <w:rPr>
          <w:sz w:val="20"/>
          <w:szCs w:val="20"/>
          <w:color w:val="auto"/>
        </w:rPr>
      </w:pPr>
    </w:p>
    <w:p>
      <w:pPr>
        <w:ind w:left="2580" w:right="2260" w:hanging="2572"/>
        <w:spacing w:after="0" w:line="659" w:lineRule="auto"/>
        <w:tabs>
          <w:tab w:leader="none" w:pos="34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fair value of the debt converted during the nine months ended September 30, 2014 was determined to be $35,263,506. The accompanying notes are an integral part of these consolidated financial statements.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i w:val="1"/>
          <w:iCs w:val="1"/>
          <w:color w:val="auto"/>
        </w:rPr>
        <w:t>TAPIMMUNE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The condensed consolidated balance sheet as of September 30, 2014, condensed consolidated statements of audited interim financials include all adjustments, consisting only of normal recurring adjustments, which the Company considers necessary for a fair presentation of the financial position, operating results and cash flows for the periods presented.</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results for the statement of operations are not necessarily indicative of results to be expected for the year ending December 31, 2014 or for any future interim period. The condensed balance sheet at December 31, 2013 has been derived from audited financial statements; however, it does not include all of the information and notes required by U.S. GAAP for complete financial statements. The accompanying condensed financial statements should be read in conjunction with the consolidated financial statements for the year ended December 31, 2013, and notes thereto included in the Company’s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develop a customer base; attract, retain and motivate qualified personnel; and develop strategic alliances. From inception, the Company has been funded by a combination of equity and debt financings.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studies. Further, the Company’s product candidates will require regulatory approval prior to commercialization. These activities may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product sales.</w:t>
      </w:r>
    </w:p>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2014, the Company had cash and cash equivalents of approximately $614,000. Historically, the Company has net losses and negative cash flows from operations. The Company believes its current capital resources are not sufficient to support its operations. Management intends to continue its research efforts and to finance operations of the Company through debt and/or equity financings. Management plans to seek additional debt and/or equity financing through private or public offerings or through a business combination or strategic partnership. There can be no assurance that the Company will be successful in obtaining additional financing on favorable terms, or at all. These matters raise substantial doubt about the Company’s ability to continue as a going concern. The financial statements do not include any adjustments that might result from the outcome of these uncertainties.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Company’s annual report on Form 10-K, which was filed with the SEC on April 17,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Accounting Standards Update No. 2014-10, </w:t>
      </w:r>
      <w:r>
        <w:rPr>
          <w:rFonts w:ascii="Arial" w:cs="Arial" w:eastAsia="Arial" w:hAnsi="Arial"/>
          <w:sz w:val="17"/>
          <w:szCs w:val="17"/>
          <w:i w:val="1"/>
          <w:iCs w:val="1"/>
          <w:color w:val="auto"/>
        </w:rPr>
        <w:t>Development Stage Entities (Topic 915): Elimination of Certain Financial Reporting Requirements, Including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Amendment to Variable Interest Entities Guidance in Topic 810, Consolidation </w:t>
      </w:r>
      <w:r>
        <w:rPr>
          <w:rFonts w:ascii="Arial" w:cs="Arial" w:eastAsia="Arial" w:hAnsi="Arial"/>
          <w:sz w:val="17"/>
          <w:szCs w:val="17"/>
          <w:color w:val="auto"/>
        </w:rPr>
        <w:t>removes all incremental financial reporting requirements for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stage entities, including the removal of reporting of the cumulative results of operations and cash flows for the period from inception to the end of the current period. The update is effective for the first annual period beginning after December 15, 2014. Early adoption is permitted, and the Company has decided to adopt this change effective with its form 10-Q filing for the period ending September 30, 2014.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ACCOUNTS PAYABLE AND ACCRUED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 and Accrued Liabilities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September 30,</w:t>
            </w: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December 31,</w:t>
            </w:r>
          </w:p>
        </w:tc>
        <w:tc>
          <w:tcPr>
            <w:tcW w:w="20" w:type="dxa"/>
            <w:vAlign w:val="bottom"/>
          </w:tcPr>
          <w:p>
            <w:pPr>
              <w:spacing w:after="0"/>
              <w:rPr>
                <w:sz w:val="18"/>
                <w:szCs w:val="18"/>
                <w:color w:val="auto"/>
              </w:rPr>
            </w:pPr>
          </w:p>
        </w:tc>
      </w:tr>
      <w:tr>
        <w:trPr>
          <w:trHeight w:val="237"/>
        </w:trPr>
        <w:tc>
          <w:tcPr>
            <w:tcW w:w="8780" w:type="dxa"/>
            <w:vAlign w:val="bottom"/>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r>
      <w:tr>
        <w:trPr>
          <w:trHeight w:val="230"/>
        </w:trPr>
        <w:tc>
          <w:tcPr>
            <w:tcW w:w="878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4"/>
        </w:trPr>
        <w:tc>
          <w:tcPr>
            <w:tcW w:w="878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589,851</w:t>
            </w:r>
          </w:p>
        </w:tc>
        <w:tc>
          <w:tcPr>
            <w:tcW w:w="2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1,450,083</w:t>
            </w:r>
          </w:p>
        </w:tc>
      </w:tr>
      <w:tr>
        <w:trPr>
          <w:trHeight w:val="216"/>
        </w:trPr>
        <w:tc>
          <w:tcPr>
            <w:tcW w:w="8780" w:type="dxa"/>
            <w:vAlign w:val="bottom"/>
          </w:tcPr>
          <w:p>
            <w:pPr>
              <w:ind w:left="60"/>
              <w:spacing w:after="0"/>
              <w:rPr>
                <w:sz w:val="20"/>
                <w:szCs w:val="20"/>
                <w:color w:val="auto"/>
              </w:rPr>
            </w:pPr>
            <w:r>
              <w:rPr>
                <w:rFonts w:ascii="Arial" w:cs="Arial" w:eastAsia="Arial" w:hAnsi="Arial"/>
                <w:sz w:val="18"/>
                <w:szCs w:val="18"/>
                <w:color w:val="auto"/>
              </w:rPr>
              <w:t>Debt settlement accruals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1,348,663</w:t>
            </w:r>
          </w:p>
        </w:tc>
      </w:tr>
      <w:tr>
        <w:trPr>
          <w:trHeight w:val="216"/>
        </w:trPr>
        <w:tc>
          <w:tcPr>
            <w:tcW w:w="878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68,994</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201,334</w:t>
            </w:r>
          </w:p>
        </w:tc>
      </w:tr>
      <w:tr>
        <w:trPr>
          <w:trHeight w:val="216"/>
        </w:trPr>
        <w:tc>
          <w:tcPr>
            <w:tcW w:w="8780" w:type="dxa"/>
            <w:vAlign w:val="bottom"/>
          </w:tcPr>
          <w:p>
            <w:pPr>
              <w:ind w:left="60"/>
              <w:spacing w:after="0"/>
              <w:rPr>
                <w:sz w:val="20"/>
                <w:szCs w:val="20"/>
                <w:color w:val="auto"/>
              </w:rPr>
            </w:pPr>
            <w:r>
              <w:rPr>
                <w:rFonts w:ascii="Arial" w:cs="Arial" w:eastAsia="Arial" w:hAnsi="Arial"/>
                <w:sz w:val="18"/>
                <w:szCs w:val="18"/>
                <w:color w:val="auto"/>
              </w:rPr>
              <w:t>Employee payroll and severance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8,083</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220,290</w:t>
            </w:r>
          </w:p>
        </w:tc>
      </w:tr>
      <w:tr>
        <w:trPr>
          <w:trHeight w:val="237"/>
        </w:trPr>
        <w:tc>
          <w:tcPr>
            <w:tcW w:w="878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4,088</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558,032</w:t>
            </w:r>
          </w:p>
        </w:tc>
      </w:tr>
      <w:tr>
        <w:trPr>
          <w:trHeight w:val="216"/>
        </w:trPr>
        <w:tc>
          <w:tcPr>
            <w:tcW w:w="8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671,016</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3,778,401</w:t>
            </w:r>
          </w:p>
        </w:tc>
        <w:tc>
          <w:tcPr>
            <w:tcW w:w="20" w:type="dxa"/>
            <w:vAlign w:val="bottom"/>
          </w:tcPr>
          <w:p>
            <w:pPr>
              <w:spacing w:after="0"/>
              <w:rPr>
                <w:sz w:val="18"/>
                <w:szCs w:val="18"/>
                <w:color w:val="auto"/>
              </w:rPr>
            </w:pPr>
          </w:p>
        </w:tc>
      </w:tr>
      <w:tr>
        <w:trPr>
          <w:trHeight w:val="21"/>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RESEARCH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Crucell Holland B.V. (“Crucell”) – Research License and Option Agreement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August 7, 2003, Crucell and the Company’s subsidiary GPI entered into a five-year research license and option agreement. In addition, retroactively effective August 7, 2008, the Company negotiated an amended license agreement for the use of Crucell’s adenovirus technology. As at September 30, 2014, the Company accrued $492,365 under the amended agreement.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not made use of the Crucell technology in its current work and has not asked for nor received any work product. Management intends to settle the outstanding amounts with Crucell in 2014 and formally terminate the research license.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DERIVATIVE LIABILITY - WARRANTS AND DERIVATIVE LIABILITY – CONVERSION OPTION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Determining fair value of share purchase warrants and conversion options, given the Company’s stage of development and financial position, is highly subjective and identifying appropriate measurement criteria and models is subject to uncertainty. There are several generally accepted pricing models for warrants and options and derivative provisions. The Company has chosen to value the warrants on the notes that contain ratchet down provisions using the Black-Scholes model and conversion option on the notes that contain ratchet down provisions using the Black-Scholes model under the following assumptions: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color w:val="auto"/>
              </w:rPr>
              <w:t>December 31, 2013</w:t>
            </w:r>
          </w:p>
        </w:tc>
        <w:tc>
          <w:tcPr>
            <w:tcW w:w="1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color w:val="auto"/>
              </w:rPr>
              <w:t>September 30, 2014</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60" w:type="dxa"/>
            <w:vAlign w:val="bottom"/>
            <w:gridSpan w:val="2"/>
          </w:tcPr>
          <w:p>
            <w:pPr>
              <w:jc w:val="center"/>
              <w:ind w:left="510"/>
              <w:spacing w:after="0" w:line="201" w:lineRule="exact"/>
              <w:rPr>
                <w:sz w:val="20"/>
                <w:szCs w:val="20"/>
                <w:color w:val="auto"/>
              </w:rPr>
            </w:pPr>
            <w:r>
              <w:rPr>
                <w:rFonts w:ascii="Arial" w:cs="Arial" w:eastAsia="Arial" w:hAnsi="Arial"/>
                <w:sz w:val="18"/>
                <w:szCs w:val="18"/>
                <w:color w:val="auto"/>
                <w:w w:val="93"/>
              </w:rPr>
              <w:t>Expected Life</w:t>
            </w:r>
          </w:p>
        </w:tc>
        <w:tc>
          <w:tcPr>
            <w:tcW w:w="880" w:type="dxa"/>
            <w:vAlign w:val="bottom"/>
          </w:tcPr>
          <w:p>
            <w:pPr>
              <w:spacing w:after="0"/>
              <w:rPr>
                <w:sz w:val="17"/>
                <w:szCs w:val="17"/>
                <w:color w:val="auto"/>
              </w:rPr>
            </w:pPr>
          </w:p>
        </w:tc>
        <w:tc>
          <w:tcPr>
            <w:tcW w:w="1240" w:type="dxa"/>
            <w:vAlign w:val="bottom"/>
            <w:gridSpan w:val="2"/>
          </w:tcPr>
          <w:p>
            <w:pPr>
              <w:jc w:val="center"/>
              <w:ind w:left="450"/>
              <w:spacing w:after="0" w:line="201" w:lineRule="exact"/>
              <w:rPr>
                <w:sz w:val="20"/>
                <w:szCs w:val="20"/>
                <w:color w:val="auto"/>
              </w:rPr>
            </w:pPr>
            <w:r>
              <w:rPr>
                <w:rFonts w:ascii="Arial" w:cs="Arial" w:eastAsia="Arial" w:hAnsi="Arial"/>
                <w:sz w:val="18"/>
                <w:szCs w:val="18"/>
                <w:color w:val="auto"/>
                <w:w w:val="94"/>
              </w:rPr>
              <w:t>Dividend</w:t>
            </w:r>
          </w:p>
        </w:tc>
        <w:tc>
          <w:tcPr>
            <w:tcW w:w="1140" w:type="dxa"/>
            <w:vAlign w:val="bottom"/>
          </w:tcPr>
          <w:p>
            <w:pPr>
              <w:spacing w:after="0"/>
              <w:rPr>
                <w:sz w:val="17"/>
                <w:szCs w:val="17"/>
                <w:color w:val="auto"/>
              </w:rPr>
            </w:pPr>
          </w:p>
        </w:tc>
        <w:tc>
          <w:tcPr>
            <w:tcW w:w="116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3"/>
              </w:rPr>
              <w:t>Expected Life</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7"/>
              </w:rPr>
              <w:t>Dividend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8"/>
              </w:rPr>
              <w:t>(Years)</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Risk free Rate</w:t>
            </w:r>
          </w:p>
        </w:tc>
        <w:tc>
          <w:tcPr>
            <w:tcW w:w="5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yield</w:t>
            </w:r>
          </w:p>
        </w:tc>
        <w:tc>
          <w:tcPr>
            <w:tcW w:w="11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8"/>
              </w:rPr>
              <w:t>Volatility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(Years)</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Risk free Rate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yield</w:t>
            </w: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Volatility</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120" w:type="dxa"/>
            <w:vAlign w:val="bottom"/>
          </w:tcPr>
          <w:p>
            <w:pPr>
              <w:spacing w:after="0" w:line="195" w:lineRule="exact"/>
              <w:rPr>
                <w:sz w:val="20"/>
                <w:szCs w:val="20"/>
                <w:color w:val="auto"/>
              </w:rPr>
            </w:pPr>
            <w:r>
              <w:rPr>
                <w:rFonts w:ascii="Arial" w:cs="Arial" w:eastAsia="Arial" w:hAnsi="Arial"/>
                <w:sz w:val="18"/>
                <w:szCs w:val="18"/>
                <w:color w:val="auto"/>
              </w:rPr>
              <w:t>Share purchase warrants</w:t>
            </w:r>
          </w:p>
        </w:tc>
        <w:tc>
          <w:tcPr>
            <w:tcW w:w="1660" w:type="dxa"/>
            <w:vAlign w:val="bottom"/>
            <w:gridSpan w:val="2"/>
          </w:tcPr>
          <w:p>
            <w:pPr>
              <w:jc w:val="center"/>
              <w:ind w:left="510"/>
              <w:spacing w:after="0" w:line="195" w:lineRule="exact"/>
              <w:rPr>
                <w:sz w:val="20"/>
                <w:szCs w:val="20"/>
                <w:color w:val="auto"/>
              </w:rPr>
            </w:pPr>
            <w:r>
              <w:rPr>
                <w:rFonts w:ascii="Arial" w:cs="Arial" w:eastAsia="Arial" w:hAnsi="Arial"/>
                <w:sz w:val="18"/>
                <w:szCs w:val="18"/>
                <w:color w:val="auto"/>
                <w:w w:val="90"/>
              </w:rPr>
              <w:t>0.85 to 2.78</w:t>
            </w:r>
          </w:p>
        </w:tc>
        <w:tc>
          <w:tcPr>
            <w:tcW w:w="1540" w:type="dxa"/>
            <w:vAlign w:val="bottom"/>
            <w:gridSpan w:val="2"/>
          </w:tcPr>
          <w:p>
            <w:pPr>
              <w:jc w:val="center"/>
              <w:ind w:right="130"/>
              <w:spacing w:after="0" w:line="195" w:lineRule="exact"/>
              <w:rPr>
                <w:sz w:val="20"/>
                <w:szCs w:val="20"/>
                <w:color w:val="auto"/>
              </w:rPr>
            </w:pPr>
            <w:r>
              <w:rPr>
                <w:rFonts w:ascii="Arial" w:cs="Arial" w:eastAsia="Arial" w:hAnsi="Arial"/>
                <w:sz w:val="18"/>
                <w:szCs w:val="18"/>
                <w:color w:val="auto"/>
                <w:w w:val="91"/>
              </w:rPr>
              <w:t>0.13% to 0.78%</w:t>
            </w:r>
          </w:p>
        </w:tc>
        <w:tc>
          <w:tcPr>
            <w:tcW w:w="58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0"/>
              </w:rPr>
              <w:t>0.00%</w:t>
            </w:r>
          </w:p>
        </w:tc>
        <w:tc>
          <w:tcPr>
            <w:tcW w:w="11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199%</w:t>
            </w:r>
          </w:p>
        </w:tc>
        <w:tc>
          <w:tcPr>
            <w:tcW w:w="116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0"/>
              </w:rPr>
              <w:t>0.36 to 3.78</w:t>
            </w:r>
          </w:p>
        </w:tc>
        <w:tc>
          <w:tcPr>
            <w:tcW w:w="940" w:type="dxa"/>
            <w:vAlign w:val="bottom"/>
          </w:tcPr>
          <w:p>
            <w:pPr>
              <w:jc w:val="center"/>
              <w:ind w:left="30"/>
              <w:spacing w:after="0" w:line="195" w:lineRule="exact"/>
              <w:rPr>
                <w:sz w:val="20"/>
                <w:szCs w:val="20"/>
                <w:color w:val="auto"/>
              </w:rPr>
            </w:pPr>
            <w:r>
              <w:rPr>
                <w:rFonts w:ascii="Arial" w:cs="Arial" w:eastAsia="Arial" w:hAnsi="Arial"/>
                <w:sz w:val="18"/>
                <w:szCs w:val="18"/>
                <w:color w:val="auto"/>
                <w:w w:val="92"/>
              </w:rPr>
              <w:t>0.03% to</w:t>
            </w:r>
          </w:p>
        </w:tc>
        <w:tc>
          <w:tcPr>
            <w:tcW w:w="140" w:type="dxa"/>
            <w:vAlign w:val="bottom"/>
          </w:tcPr>
          <w:p>
            <w:pPr>
              <w:spacing w:after="0"/>
              <w:rPr>
                <w:sz w:val="16"/>
                <w:szCs w:val="16"/>
                <w:color w:val="auto"/>
              </w:rPr>
            </w:pP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93"/>
              </w:rPr>
              <w:t>0.00%</w:t>
            </w:r>
          </w:p>
        </w:tc>
        <w:tc>
          <w:tcPr>
            <w:tcW w:w="114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1.58%</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3"/>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3"/>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December 31, 2013</w:t>
            </w:r>
          </w:p>
        </w:tc>
        <w:tc>
          <w:tcPr>
            <w:tcW w:w="1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rPr>
              <w:t>June 27, 2014</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0" w:type="dxa"/>
            <w:vAlign w:val="bottom"/>
          </w:tcPr>
          <w:p>
            <w:pPr>
              <w:jc w:val="center"/>
              <w:ind w:left="290"/>
              <w:spacing w:after="0" w:line="201" w:lineRule="exact"/>
              <w:rPr>
                <w:sz w:val="20"/>
                <w:szCs w:val="20"/>
                <w:color w:val="auto"/>
              </w:rPr>
            </w:pPr>
            <w:r>
              <w:rPr>
                <w:rFonts w:ascii="Arial" w:cs="Arial" w:eastAsia="Arial" w:hAnsi="Arial"/>
                <w:sz w:val="18"/>
                <w:szCs w:val="18"/>
                <w:color w:val="auto"/>
                <w:w w:val="93"/>
              </w:rPr>
              <w:t>Expected Life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gridSpan w:val="2"/>
          </w:tcPr>
          <w:p>
            <w:pPr>
              <w:jc w:val="center"/>
              <w:ind w:right="290"/>
              <w:spacing w:after="0" w:line="201" w:lineRule="exact"/>
              <w:rPr>
                <w:sz w:val="20"/>
                <w:szCs w:val="20"/>
                <w:color w:val="auto"/>
              </w:rPr>
            </w:pPr>
            <w:r>
              <w:rPr>
                <w:rFonts w:ascii="Arial" w:cs="Arial" w:eastAsia="Arial" w:hAnsi="Arial"/>
                <w:sz w:val="18"/>
                <w:szCs w:val="18"/>
                <w:color w:val="auto"/>
                <w:w w:val="94"/>
              </w:rPr>
              <w:t>Dividend</w:t>
            </w:r>
          </w:p>
        </w:tc>
        <w:tc>
          <w:tcPr>
            <w:tcW w:w="2300" w:type="dxa"/>
            <w:vAlign w:val="bottom"/>
            <w:gridSpan w:val="2"/>
          </w:tcPr>
          <w:p>
            <w:pPr>
              <w:jc w:val="center"/>
              <w:ind w:left="710"/>
              <w:spacing w:after="0" w:line="201" w:lineRule="exact"/>
              <w:rPr>
                <w:sz w:val="20"/>
                <w:szCs w:val="20"/>
                <w:color w:val="auto"/>
              </w:rPr>
            </w:pPr>
            <w:r>
              <w:rPr>
                <w:rFonts w:ascii="Arial" w:cs="Arial" w:eastAsia="Arial" w:hAnsi="Arial"/>
                <w:sz w:val="18"/>
                <w:szCs w:val="18"/>
                <w:color w:val="auto"/>
                <w:w w:val="93"/>
              </w:rPr>
              <w:t>Expected Life</w:t>
            </w:r>
          </w:p>
        </w:tc>
        <w:tc>
          <w:tcPr>
            <w:tcW w:w="940" w:type="dxa"/>
            <w:vAlign w:val="bottom"/>
          </w:tcPr>
          <w:p>
            <w:pPr>
              <w:spacing w:after="0"/>
              <w:rPr>
                <w:sz w:val="17"/>
                <w:szCs w:val="17"/>
                <w:color w:val="auto"/>
              </w:rPr>
            </w:pPr>
          </w:p>
        </w:tc>
        <w:tc>
          <w:tcPr>
            <w:tcW w:w="1120" w:type="dxa"/>
            <w:vAlign w:val="bottom"/>
            <w:gridSpan w:val="2"/>
          </w:tcPr>
          <w:p>
            <w:pPr>
              <w:jc w:val="center"/>
              <w:ind w:right="210"/>
              <w:spacing w:after="0" w:line="201" w:lineRule="exact"/>
              <w:rPr>
                <w:sz w:val="20"/>
                <w:szCs w:val="20"/>
                <w:color w:val="auto"/>
              </w:rPr>
            </w:pPr>
            <w:r>
              <w:rPr>
                <w:rFonts w:ascii="Arial" w:cs="Arial" w:eastAsia="Arial" w:hAnsi="Arial"/>
                <w:sz w:val="18"/>
                <w:szCs w:val="18"/>
                <w:color w:val="auto"/>
                <w:w w:val="94"/>
              </w:rPr>
              <w:t>Dividend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8"/>
              </w:rPr>
              <w:t>(Years)</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Risk free Rate</w:t>
            </w:r>
          </w:p>
        </w:tc>
        <w:tc>
          <w:tcPr>
            <w:tcW w:w="6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7"/>
              </w:rPr>
              <w:t>yield</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rPr>
              <w:t>Volatility</w:t>
            </w:r>
          </w:p>
        </w:tc>
        <w:tc>
          <w:tcPr>
            <w:tcW w:w="21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(Years)   Risk free Rate</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7"/>
              </w:rPr>
              <w:t>yield</w:t>
            </w: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Volatility</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120" w:type="dxa"/>
            <w:vAlign w:val="bottom"/>
          </w:tcPr>
          <w:p>
            <w:pPr>
              <w:spacing w:after="0" w:line="195" w:lineRule="exact"/>
              <w:rPr>
                <w:sz w:val="20"/>
                <w:szCs w:val="20"/>
                <w:color w:val="auto"/>
              </w:rPr>
            </w:pPr>
            <w:r>
              <w:rPr>
                <w:rFonts w:ascii="Arial" w:cs="Arial" w:eastAsia="Arial" w:hAnsi="Arial"/>
                <w:sz w:val="18"/>
                <w:szCs w:val="18"/>
                <w:color w:val="auto"/>
              </w:rPr>
              <w:t>Conversion option</w:t>
            </w:r>
          </w:p>
        </w:tc>
        <w:tc>
          <w:tcPr>
            <w:tcW w:w="1400" w:type="dxa"/>
            <w:vAlign w:val="bottom"/>
          </w:tcPr>
          <w:p>
            <w:pPr>
              <w:jc w:val="center"/>
              <w:ind w:left="290"/>
              <w:spacing w:after="0" w:line="195" w:lineRule="exact"/>
              <w:rPr>
                <w:sz w:val="20"/>
                <w:szCs w:val="20"/>
                <w:color w:val="auto"/>
              </w:rPr>
            </w:pPr>
            <w:r>
              <w:rPr>
                <w:rFonts w:ascii="Arial" w:cs="Arial" w:eastAsia="Arial" w:hAnsi="Arial"/>
                <w:sz w:val="18"/>
                <w:szCs w:val="18"/>
                <w:color w:val="auto"/>
                <w:w w:val="90"/>
              </w:rPr>
              <w:t>0.16 to 0.53</w:t>
            </w:r>
          </w:p>
        </w:tc>
        <w:tc>
          <w:tcPr>
            <w:tcW w:w="114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2"/>
              </w:rPr>
              <w:t>0.04% to</w:t>
            </w:r>
          </w:p>
        </w:tc>
        <w:tc>
          <w:tcPr>
            <w:tcW w:w="660" w:type="dxa"/>
            <w:vAlign w:val="bottom"/>
          </w:tcPr>
          <w:p>
            <w:pPr>
              <w:jc w:val="center"/>
              <w:ind w:left="110"/>
              <w:spacing w:after="0" w:line="195" w:lineRule="exact"/>
              <w:rPr>
                <w:sz w:val="20"/>
                <w:szCs w:val="20"/>
                <w:color w:val="auto"/>
              </w:rPr>
            </w:pPr>
            <w:r>
              <w:rPr>
                <w:rFonts w:ascii="Arial" w:cs="Arial" w:eastAsia="Arial" w:hAnsi="Arial"/>
                <w:sz w:val="18"/>
                <w:szCs w:val="18"/>
                <w:color w:val="auto"/>
                <w:w w:val="90"/>
              </w:rPr>
              <w:t>0.00%</w:t>
            </w:r>
          </w:p>
        </w:tc>
        <w:tc>
          <w:tcPr>
            <w:tcW w:w="580" w:type="dxa"/>
            <w:vAlign w:val="bottom"/>
          </w:tcPr>
          <w:p>
            <w:pPr>
              <w:spacing w:after="0"/>
              <w:rPr>
                <w:sz w:val="16"/>
                <w:szCs w:val="16"/>
                <w:color w:val="auto"/>
              </w:rPr>
            </w:pPr>
          </w:p>
        </w:tc>
        <w:tc>
          <w:tcPr>
            <w:tcW w:w="1140" w:type="dxa"/>
            <w:vAlign w:val="bottom"/>
          </w:tcPr>
          <w:p>
            <w:pPr>
              <w:jc w:val="right"/>
              <w:ind w:right="470"/>
              <w:spacing w:after="0" w:line="195" w:lineRule="exact"/>
              <w:rPr>
                <w:sz w:val="20"/>
                <w:szCs w:val="20"/>
                <w:color w:val="auto"/>
              </w:rPr>
            </w:pPr>
            <w:r>
              <w:rPr>
                <w:rFonts w:ascii="Arial" w:cs="Arial" w:eastAsia="Arial" w:hAnsi="Arial"/>
                <w:sz w:val="18"/>
                <w:szCs w:val="18"/>
                <w:color w:val="auto"/>
              </w:rPr>
              <w:t>199%</w:t>
            </w:r>
          </w:p>
        </w:tc>
        <w:tc>
          <w:tcPr>
            <w:tcW w:w="1160" w:type="dxa"/>
            <w:vAlign w:val="bottom"/>
          </w:tcPr>
          <w:p>
            <w:pPr>
              <w:jc w:val="center"/>
              <w:ind w:right="270"/>
              <w:spacing w:after="0" w:line="195" w:lineRule="exact"/>
              <w:rPr>
                <w:sz w:val="20"/>
                <w:szCs w:val="20"/>
                <w:color w:val="auto"/>
              </w:rPr>
            </w:pPr>
            <w:r>
              <w:rPr>
                <w:rFonts w:ascii="Arial" w:cs="Arial" w:eastAsia="Arial" w:hAnsi="Arial"/>
                <w:sz w:val="18"/>
                <w:szCs w:val="18"/>
                <w:color w:val="auto"/>
              </w:rPr>
              <w:t>Nil</w:t>
            </w:r>
          </w:p>
        </w:tc>
        <w:tc>
          <w:tcPr>
            <w:tcW w:w="940" w:type="dxa"/>
            <w:vAlign w:val="bottom"/>
          </w:tcPr>
          <w:p>
            <w:pPr>
              <w:jc w:val="right"/>
              <w:ind w:right="330"/>
              <w:spacing w:after="0" w:line="195" w:lineRule="exact"/>
              <w:rPr>
                <w:sz w:val="20"/>
                <w:szCs w:val="20"/>
                <w:color w:val="auto"/>
              </w:rPr>
            </w:pPr>
            <w:r>
              <w:rPr>
                <w:rFonts w:ascii="Arial" w:cs="Arial" w:eastAsia="Arial" w:hAnsi="Arial"/>
                <w:sz w:val="18"/>
                <w:szCs w:val="18"/>
                <w:color w:val="auto"/>
                <w:w w:val="97"/>
              </w:rPr>
              <w:t>0.04%</w:t>
            </w:r>
          </w:p>
        </w:tc>
        <w:tc>
          <w:tcPr>
            <w:tcW w:w="140" w:type="dxa"/>
            <w:vAlign w:val="bottom"/>
          </w:tcPr>
          <w:p>
            <w:pPr>
              <w:spacing w:after="0"/>
              <w:rPr>
                <w:sz w:val="16"/>
                <w:szCs w:val="16"/>
                <w:color w:val="auto"/>
              </w:rPr>
            </w:pPr>
          </w:p>
        </w:tc>
        <w:tc>
          <w:tcPr>
            <w:tcW w:w="980" w:type="dxa"/>
            <w:vAlign w:val="bottom"/>
          </w:tcPr>
          <w:p>
            <w:pPr>
              <w:jc w:val="center"/>
              <w:ind w:right="350"/>
              <w:spacing w:after="0" w:line="195" w:lineRule="exact"/>
              <w:rPr>
                <w:sz w:val="20"/>
                <w:szCs w:val="20"/>
                <w:color w:val="auto"/>
              </w:rPr>
            </w:pPr>
            <w:r>
              <w:rPr>
                <w:rFonts w:ascii="Arial" w:cs="Arial" w:eastAsia="Arial" w:hAnsi="Arial"/>
                <w:sz w:val="18"/>
                <w:szCs w:val="18"/>
                <w:color w:val="auto"/>
                <w:w w:val="90"/>
              </w:rPr>
              <w:t>0.00%</w:t>
            </w:r>
          </w:p>
        </w:tc>
        <w:tc>
          <w:tcPr>
            <w:tcW w:w="1140" w:type="dxa"/>
            <w:vAlign w:val="bottom"/>
          </w:tcPr>
          <w:p>
            <w:pPr>
              <w:ind w:left="260"/>
              <w:spacing w:after="0" w:line="195"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0"/>
              </w:rPr>
              <w:t>0.10%</w:t>
            </w:r>
          </w:p>
        </w:tc>
        <w:tc>
          <w:tcPr>
            <w:tcW w:w="6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are summarized below and disclosed on the balance sheet under Derivative liability – warrants and Derivative liability – conversion option:</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3080" w:type="dxa"/>
            <w:vAlign w:val="bottom"/>
            <w:tcBorders>
              <w:top w:val="single" w:sz="8" w:color="auto"/>
              <w:bottom w:val="single" w:sz="8" w:color="auto"/>
            </w:tcBorders>
            <w:gridSpan w:val="5"/>
          </w:tcPr>
          <w:p>
            <w:pPr>
              <w:ind w:left="920"/>
              <w:spacing w:after="0"/>
              <w:rPr>
                <w:sz w:val="20"/>
                <w:szCs w:val="20"/>
                <w:color w:val="auto"/>
              </w:rPr>
            </w:pPr>
            <w:r>
              <w:rPr>
                <w:rFonts w:ascii="Arial" w:cs="Arial" w:eastAsia="Arial" w:hAnsi="Arial"/>
                <w:sz w:val="18"/>
                <w:szCs w:val="18"/>
                <w:b w:val="1"/>
                <w:bCs w:val="1"/>
                <w:color w:val="auto"/>
                <w:w w:val="98"/>
              </w:rPr>
              <w:t>As of September 30, 2014</w:t>
            </w:r>
          </w:p>
        </w:tc>
        <w:tc>
          <w:tcPr>
            <w:tcW w:w="7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25"/>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80" w:type="dxa"/>
            <w:vAlign w:val="bottom"/>
            <w:gridSpan w:val="5"/>
          </w:tcPr>
          <w:p>
            <w:pPr>
              <w:ind w:left="920"/>
              <w:spacing w:after="0"/>
              <w:rPr>
                <w:sz w:val="20"/>
                <w:szCs w:val="20"/>
                <w:color w:val="auto"/>
              </w:rPr>
            </w:pPr>
            <w:r>
              <w:rPr>
                <w:rFonts w:ascii="Arial" w:cs="Arial" w:eastAsia="Arial" w:hAnsi="Arial"/>
                <w:sz w:val="18"/>
                <w:szCs w:val="18"/>
                <w:b w:val="1"/>
                <w:bCs w:val="1"/>
                <w:color w:val="auto"/>
                <w:w w:val="98"/>
              </w:rPr>
              <w:t>Fair Value Measurements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Fair Value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Level 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Level 2</w:t>
            </w: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83,521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83,521</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83,521</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83,521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83,521</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83,521</w:t>
            </w:r>
          </w:p>
        </w:tc>
      </w:tr>
      <w:tr>
        <w:trPr>
          <w:trHeight w:val="21"/>
        </w:trPr>
        <w:tc>
          <w:tcPr>
            <w:tcW w:w="4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4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5"/>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rPr>
              <w:t>As of December 31, 2013</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80" w:type="dxa"/>
            <w:vAlign w:val="bottom"/>
            <w:gridSpan w:val="5"/>
          </w:tcPr>
          <w:p>
            <w:pPr>
              <w:ind w:left="920"/>
              <w:spacing w:after="0" w:line="198" w:lineRule="exact"/>
              <w:rPr>
                <w:sz w:val="20"/>
                <w:szCs w:val="20"/>
                <w:color w:val="auto"/>
              </w:rPr>
            </w:pPr>
            <w:r>
              <w:rPr>
                <w:rFonts w:ascii="Arial" w:cs="Arial" w:eastAsia="Arial" w:hAnsi="Arial"/>
                <w:sz w:val="18"/>
                <w:szCs w:val="18"/>
                <w:b w:val="1"/>
                <w:bCs w:val="1"/>
                <w:color w:val="auto"/>
                <w:w w:val="98"/>
              </w:rPr>
              <w:t>Fair Value Measurements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Fair Value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Level 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Level 2</w:t>
            </w: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140,504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140,504</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140,504</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Derivative liability – conversion option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582,300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582,300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582,300</w:t>
            </w:r>
          </w:p>
        </w:tc>
      </w:tr>
      <w:tr>
        <w:trPr>
          <w:trHeight w:val="216"/>
        </w:trPr>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722,804</w:t>
            </w:r>
          </w:p>
        </w:tc>
        <w:tc>
          <w:tcPr>
            <w:tcW w:w="2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722,804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722,804</w:t>
            </w:r>
          </w:p>
        </w:tc>
        <w:tc>
          <w:tcPr>
            <w:tcW w:w="100" w:type="dxa"/>
            <w:vAlign w:val="bottom"/>
          </w:tcPr>
          <w:p>
            <w:pPr>
              <w:spacing w:after="0"/>
              <w:rPr>
                <w:sz w:val="18"/>
                <w:szCs w:val="18"/>
                <w:color w:val="auto"/>
              </w:rPr>
            </w:pP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nine months ended September 30, 2014.</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presents changes in Level 3 liabilities measured at fair value for the nine months ended September 30, 2014. Both observable and unobservable inputs were used to determine the fair value of positions that the Company has classified within the Level 3 category. Unrealized gains and losses associated with liabilities within the Level 3 category include changes in fair value that were attributable to both observable (e.g., changes in market interest rates) and unobservable (e.g., changes in unobservable long-dated volatilities) inputs.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80" w:type="dxa"/>
            <w:vAlign w:val="bottom"/>
            <w:gridSpan w:val="5"/>
          </w:tcPr>
          <w:p>
            <w:pPr>
              <w:ind w:left="100"/>
              <w:spacing w:after="0"/>
              <w:rPr>
                <w:sz w:val="20"/>
                <w:szCs w:val="20"/>
                <w:color w:val="auto"/>
              </w:rPr>
            </w:pPr>
            <w:r>
              <w:rPr>
                <w:rFonts w:ascii="Arial" w:cs="Arial" w:eastAsia="Arial" w:hAnsi="Arial"/>
                <w:sz w:val="18"/>
                <w:szCs w:val="18"/>
                <w:color w:val="auto"/>
              </w:rPr>
              <w:t>Derivative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60" w:type="dxa"/>
            <w:vAlign w:val="bottom"/>
            <w:gridSpan w:val="3"/>
          </w:tcPr>
          <w:p>
            <w:pPr>
              <w:ind w:left="100"/>
              <w:spacing w:after="0"/>
              <w:rPr>
                <w:sz w:val="20"/>
                <w:szCs w:val="20"/>
                <w:color w:val="auto"/>
              </w:rPr>
            </w:pPr>
            <w:r>
              <w:rPr>
                <w:rFonts w:ascii="Arial" w:cs="Arial" w:eastAsia="Arial" w:hAnsi="Arial"/>
                <w:sz w:val="18"/>
                <w:szCs w:val="18"/>
                <w:color w:val="auto"/>
                <w:w w:val="99"/>
              </w:rPr>
              <w:t>liability</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5"/>
          </w:tcPr>
          <w:p>
            <w:pPr>
              <w:ind w:left="80"/>
              <w:spacing w:after="0"/>
              <w:rPr>
                <w:sz w:val="20"/>
                <w:szCs w:val="20"/>
                <w:color w:val="auto"/>
              </w:rPr>
            </w:pPr>
            <w:r>
              <w:rPr>
                <w:rFonts w:ascii="Arial" w:cs="Arial" w:eastAsia="Arial" w:hAnsi="Arial"/>
                <w:sz w:val="18"/>
                <w:szCs w:val="18"/>
                <w:color w:val="auto"/>
              </w:rPr>
              <w:t>Derivative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80" w:type="dxa"/>
            <w:vAlign w:val="bottom"/>
            <w:gridSpan w:val="5"/>
          </w:tcPr>
          <w:p>
            <w:pPr>
              <w:ind w:left="100"/>
              <w:spacing w:after="0"/>
              <w:rPr>
                <w:sz w:val="20"/>
                <w:szCs w:val="20"/>
                <w:color w:val="auto"/>
              </w:rPr>
            </w:pPr>
            <w:r>
              <w:rPr>
                <w:rFonts w:ascii="Arial" w:cs="Arial" w:eastAsia="Arial" w:hAnsi="Arial"/>
                <w:sz w:val="18"/>
                <w:szCs w:val="18"/>
                <w:color w:val="auto"/>
              </w:rPr>
              <w:t>conversion</w:t>
            </w:r>
          </w:p>
        </w:tc>
        <w:tc>
          <w:tcPr>
            <w:tcW w:w="640" w:type="dxa"/>
            <w:vAlign w:val="bottom"/>
            <w:gridSpan w:val="3"/>
          </w:tcPr>
          <w:p>
            <w:pPr>
              <w:ind w:left="80"/>
              <w:spacing w:after="0"/>
              <w:rPr>
                <w:sz w:val="20"/>
                <w:szCs w:val="20"/>
                <w:color w:val="auto"/>
              </w:rPr>
            </w:pPr>
            <w:r>
              <w:rPr>
                <w:rFonts w:ascii="Arial" w:cs="Arial" w:eastAsia="Arial" w:hAnsi="Arial"/>
                <w:sz w:val="18"/>
                <w:szCs w:val="18"/>
                <w:color w:val="auto"/>
                <w:w w:val="99"/>
              </w:rPr>
              <w:t>liability</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60" w:type="dxa"/>
            <w:vAlign w:val="bottom"/>
            <w:gridSpan w:val="3"/>
          </w:tcPr>
          <w:p>
            <w:pPr>
              <w:ind w:left="100"/>
              <w:spacing w:after="0"/>
              <w:rPr>
                <w:sz w:val="20"/>
                <w:szCs w:val="20"/>
                <w:color w:val="auto"/>
              </w:rPr>
            </w:pPr>
            <w:r>
              <w:rPr>
                <w:rFonts w:ascii="Arial" w:cs="Arial" w:eastAsia="Arial" w:hAnsi="Arial"/>
                <w:sz w:val="18"/>
                <w:szCs w:val="18"/>
                <w:color w:val="auto"/>
              </w:rPr>
              <w:t>option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5"/>
          </w:tcPr>
          <w:p>
            <w:pPr>
              <w:ind w:left="80"/>
              <w:spacing w:after="0"/>
              <w:rPr>
                <w:sz w:val="20"/>
                <w:szCs w:val="20"/>
                <w:color w:val="auto"/>
              </w:rPr>
            </w:pPr>
            <w:r>
              <w:rPr>
                <w:rFonts w:ascii="Arial" w:cs="Arial" w:eastAsia="Arial" w:hAnsi="Arial"/>
                <w:sz w:val="18"/>
                <w:szCs w:val="18"/>
                <w:color w:val="auto"/>
              </w:rPr>
              <w:t>warrants</w:t>
            </w: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Arial" w:cs="Arial" w:eastAsia="Arial" w:hAnsi="Arial"/>
                <w:sz w:val="18"/>
                <w:szCs w:val="18"/>
                <w:color w:val="auto"/>
              </w:rPr>
              <w:t>Balance – December 31, 2013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582,300</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140,504</w:t>
            </w: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Arial" w:cs="Arial" w:eastAsia="Arial" w:hAnsi="Arial"/>
                <w:sz w:val="18"/>
                <w:szCs w:val="18"/>
                <w:color w:val="auto"/>
              </w:rPr>
              <w:t>Loss on settlement of debt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Arial" w:cs="Arial" w:eastAsia="Arial" w:hAnsi="Arial"/>
                <w:sz w:val="18"/>
                <w:szCs w:val="18"/>
                <w:color w:val="auto"/>
              </w:rPr>
              <w:t>Change in fair value of conversion option liability</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80" w:type="dxa"/>
            <w:vAlign w:val="bottom"/>
            <w:gridSpan w:val="5"/>
          </w:tcPr>
          <w:p>
            <w:pPr>
              <w:jc w:val="right"/>
              <w:ind w:right="80"/>
              <w:spacing w:after="0"/>
              <w:rPr>
                <w:sz w:val="20"/>
                <w:szCs w:val="20"/>
                <w:color w:val="auto"/>
              </w:rPr>
            </w:pPr>
            <w:r>
              <w:rPr>
                <w:rFonts w:ascii="Arial" w:cs="Arial" w:eastAsia="Arial" w:hAnsi="Arial"/>
                <w:sz w:val="18"/>
                <w:szCs w:val="18"/>
                <w:color w:val="auto"/>
              </w:rPr>
              <w:t>(577,900)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gridSpan w:val="7"/>
          </w:tcPr>
          <w:p>
            <w:pPr>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(56,983)</w:t>
            </w: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Arial" w:cs="Arial" w:eastAsia="Arial" w:hAnsi="Arial"/>
                <w:sz w:val="18"/>
                <w:szCs w:val="18"/>
                <w:color w:val="auto"/>
              </w:rPr>
              <w:t>Balance – September 30, 2014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0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NOTE 8: CONVERTIBLE NOTES PAYABLE</w:t>
            </w: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0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720" w:type="dxa"/>
            <w:vAlign w:val="bottom"/>
            <w:gridSpan w:val="11"/>
          </w:tcPr>
          <w:p>
            <w:pPr>
              <w:spacing w:after="0"/>
              <w:rPr>
                <w:sz w:val="20"/>
                <w:szCs w:val="20"/>
                <w:color w:val="auto"/>
              </w:rPr>
            </w:pPr>
            <w:r>
              <w:rPr>
                <w:rFonts w:ascii="Arial" w:cs="Arial" w:eastAsia="Arial" w:hAnsi="Arial"/>
                <w:sz w:val="18"/>
                <w:szCs w:val="18"/>
                <w:color w:val="auto"/>
              </w:rPr>
              <w:t>The following table summarizes the Company’s outstanding convertible note obligations: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8"/>
          </w:tcPr>
          <w:p>
            <w:pPr>
              <w:spacing w:after="0"/>
              <w:rPr>
                <w:sz w:val="20"/>
                <w:szCs w:val="20"/>
                <w:color w:val="auto"/>
              </w:rPr>
            </w:pPr>
            <w:r>
              <w:rPr>
                <w:rFonts w:ascii="Arial" w:cs="Arial" w:eastAsia="Arial" w:hAnsi="Arial"/>
                <w:sz w:val="18"/>
                <w:szCs w:val="18"/>
                <w:b w:val="1"/>
                <w:bCs w:val="1"/>
                <w:color w:val="auto"/>
                <w:w w:val="96"/>
              </w:rPr>
              <w:t>Principal Balance Outstanding</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rPr>
              <w:t>Stated</w:t>
            </w: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September 30,</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3"/>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Issue Date</w:t>
            </w:r>
          </w:p>
        </w:tc>
        <w:tc>
          <w:tcPr>
            <w:tcW w:w="100" w:type="dxa"/>
            <w:vAlign w:val="bottom"/>
          </w:tcPr>
          <w:p>
            <w:pPr>
              <w:spacing w:after="0"/>
              <w:rPr>
                <w:sz w:val="20"/>
                <w:szCs w:val="20"/>
                <w:color w:val="auto"/>
              </w:rPr>
            </w:pPr>
          </w:p>
        </w:tc>
        <w:tc>
          <w:tcPr>
            <w:tcW w:w="274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8"/>
                <w:szCs w:val="18"/>
                <w:b w:val="1"/>
                <w:bCs w:val="1"/>
                <w:color w:val="auto"/>
              </w:rPr>
              <w:t>Maturity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Interest Rate</w:t>
            </w:r>
          </w:p>
        </w:tc>
        <w:tc>
          <w:tcPr>
            <w:tcW w:w="180" w:type="dxa"/>
            <w:vAlign w:val="bottom"/>
          </w:tcPr>
          <w:p>
            <w:pPr>
              <w:spacing w:after="0"/>
              <w:rPr>
                <w:sz w:val="20"/>
                <w:szCs w:val="20"/>
                <w:color w:val="auto"/>
              </w:rPr>
            </w:pPr>
          </w:p>
        </w:tc>
        <w:tc>
          <w:tcPr>
            <w:tcW w:w="33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Conversion Terms</w:t>
            </w:r>
          </w:p>
        </w:tc>
        <w:tc>
          <w:tcPr>
            <w:tcW w:w="120" w:type="dxa"/>
            <w:vAlign w:val="bottom"/>
            <w:gridSpan w:val="2"/>
          </w:tcPr>
          <w:p>
            <w:pPr>
              <w:spacing w:after="0"/>
              <w:rPr>
                <w:sz w:val="20"/>
                <w:szCs w:val="20"/>
                <w:color w:val="auto"/>
              </w:rPr>
            </w:pPr>
          </w:p>
        </w:tc>
        <w:tc>
          <w:tcPr>
            <w:tcW w:w="11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2/24/2011</w:t>
            </w:r>
          </w:p>
        </w:tc>
        <w:tc>
          <w:tcPr>
            <w:tcW w:w="100" w:type="dxa"/>
            <w:vAlign w:val="bottom"/>
          </w:tcPr>
          <w:p>
            <w:pPr>
              <w:spacing w:after="0"/>
              <w:rPr>
                <w:sz w:val="17"/>
                <w:szCs w:val="17"/>
                <w:color w:val="auto"/>
              </w:rPr>
            </w:pPr>
          </w:p>
        </w:tc>
        <w:tc>
          <w:tcPr>
            <w:tcW w:w="27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2/24/2014</w:t>
            </w:r>
          </w:p>
        </w:tc>
        <w:tc>
          <w:tcPr>
            <w:tcW w:w="100" w:type="dxa"/>
            <w:vAlign w:val="bottom"/>
          </w:tcPr>
          <w:p>
            <w:pPr>
              <w:spacing w:after="0"/>
              <w:rPr>
                <w:sz w:val="17"/>
                <w:szCs w:val="17"/>
                <w:color w:val="auto"/>
              </w:rPr>
            </w:pPr>
          </w:p>
        </w:tc>
        <w:tc>
          <w:tcPr>
            <w:tcW w:w="132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10.0%</w:t>
            </w:r>
          </w:p>
        </w:tc>
        <w:tc>
          <w:tcPr>
            <w:tcW w:w="3300" w:type="dxa"/>
            <w:vAlign w:val="bottom"/>
          </w:tcPr>
          <w:p>
            <w:pPr>
              <w:jc w:val="right"/>
              <w:spacing w:after="0" w:line="201" w:lineRule="exact"/>
              <w:rPr>
                <w:sz w:val="20"/>
                <w:szCs w:val="20"/>
                <w:color w:val="auto"/>
              </w:rPr>
            </w:pPr>
            <w:r>
              <w:rPr>
                <w:rFonts w:ascii="Arial" w:cs="Arial" w:eastAsia="Arial" w:hAnsi="Arial"/>
                <w:sz w:val="18"/>
                <w:szCs w:val="18"/>
                <w:color w:val="auto"/>
              </w:rPr>
              <w:t>Variable at $25.00</w:t>
            </w:r>
          </w:p>
        </w:tc>
        <w:tc>
          <w:tcPr>
            <w:tcW w:w="120" w:type="dxa"/>
            <w:vAlign w:val="bottom"/>
            <w:gridSpan w:val="2"/>
          </w:tcPr>
          <w:p>
            <w:pPr>
              <w:spacing w:after="0"/>
              <w:rPr>
                <w:sz w:val="17"/>
                <w:szCs w:val="17"/>
                <w:color w:val="auto"/>
              </w:rPr>
            </w:pPr>
          </w:p>
        </w:tc>
        <w:tc>
          <w:tcPr>
            <w:tcW w:w="5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980,858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4/4/2011</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4/4/2014</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3300" w:type="dxa"/>
            <w:vAlign w:val="bottom"/>
          </w:tcPr>
          <w:p>
            <w:pPr>
              <w:jc w:val="right"/>
              <w:spacing w:after="0"/>
              <w:rPr>
                <w:sz w:val="20"/>
                <w:szCs w:val="20"/>
                <w:color w:val="auto"/>
              </w:rPr>
            </w:pPr>
            <w:r>
              <w:rPr>
                <w:rFonts w:ascii="Arial" w:cs="Arial" w:eastAsia="Arial" w:hAnsi="Arial"/>
                <w:sz w:val="18"/>
                <w:szCs w:val="18"/>
                <w:color w:val="auto"/>
              </w:rPr>
              <w:t>Variable at $25.00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6/6/2011</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6/6/2014</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3300" w:type="dxa"/>
            <w:vAlign w:val="bottom"/>
          </w:tcPr>
          <w:p>
            <w:pPr>
              <w:jc w:val="right"/>
              <w:spacing w:after="0"/>
              <w:rPr>
                <w:sz w:val="20"/>
                <w:szCs w:val="20"/>
                <w:color w:val="auto"/>
              </w:rPr>
            </w:pPr>
            <w:r>
              <w:rPr>
                <w:rFonts w:ascii="Arial" w:cs="Arial" w:eastAsia="Arial" w:hAnsi="Arial"/>
                <w:sz w:val="18"/>
                <w:szCs w:val="18"/>
                <w:color w:val="auto"/>
              </w:rPr>
              <w:t>Variable at $25.00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8/12/2012</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11/12/2012</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3300" w:type="dxa"/>
            <w:vAlign w:val="bottom"/>
          </w:tcPr>
          <w:p>
            <w:pPr>
              <w:jc w:val="right"/>
              <w:spacing w:after="0"/>
              <w:rPr>
                <w:sz w:val="20"/>
                <w:szCs w:val="20"/>
                <w:color w:val="auto"/>
              </w:rPr>
            </w:pPr>
            <w:r>
              <w:rPr>
                <w:rFonts w:ascii="Arial" w:cs="Arial" w:eastAsia="Arial" w:hAnsi="Arial"/>
                <w:sz w:val="18"/>
                <w:szCs w:val="18"/>
                <w:color w:val="auto"/>
              </w:rPr>
              <w:t>Variable at $9.00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8/20/2012</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8/20/2013</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8.0%</w:t>
            </w:r>
          </w:p>
        </w:tc>
        <w:tc>
          <w:tcPr>
            <w:tcW w:w="3300" w:type="dxa"/>
            <w:vAlign w:val="bottom"/>
          </w:tcPr>
          <w:p>
            <w:pPr>
              <w:jc w:val="right"/>
              <w:spacing w:after="0"/>
              <w:rPr>
                <w:sz w:val="20"/>
                <w:szCs w:val="20"/>
                <w:color w:val="auto"/>
              </w:rPr>
            </w:pPr>
            <w:r>
              <w:rPr>
                <w:rFonts w:ascii="Arial" w:cs="Arial" w:eastAsia="Arial" w:hAnsi="Arial"/>
                <w:sz w:val="18"/>
                <w:szCs w:val="18"/>
                <w:color w:val="auto"/>
              </w:rPr>
              <w:t>Variable at $9.00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10/15/2012</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10/15/2013</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8.0%</w:t>
            </w:r>
          </w:p>
        </w:tc>
        <w:tc>
          <w:tcPr>
            <w:tcW w:w="3300" w:type="dxa"/>
            <w:vAlign w:val="bottom"/>
          </w:tcPr>
          <w:p>
            <w:pPr>
              <w:jc w:val="right"/>
              <w:spacing w:after="0"/>
              <w:rPr>
                <w:sz w:val="20"/>
                <w:szCs w:val="20"/>
                <w:color w:val="auto"/>
              </w:rPr>
            </w:pPr>
            <w:r>
              <w:rPr>
                <w:rFonts w:ascii="Arial" w:cs="Arial" w:eastAsia="Arial" w:hAnsi="Arial"/>
                <w:sz w:val="18"/>
                <w:szCs w:val="18"/>
                <w:color w:val="auto"/>
              </w:rPr>
              <w:t>Variable at $12.00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11/20/2012</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11/20/2013</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3300" w:type="dxa"/>
            <w:vAlign w:val="bottom"/>
          </w:tcPr>
          <w:p>
            <w:pPr>
              <w:jc w:val="right"/>
              <w:spacing w:after="0"/>
              <w:rPr>
                <w:sz w:val="20"/>
                <w:szCs w:val="20"/>
                <w:color w:val="auto"/>
              </w:rPr>
            </w:pPr>
            <w:r>
              <w:rPr>
                <w:rFonts w:ascii="Arial" w:cs="Arial" w:eastAsia="Arial" w:hAnsi="Arial"/>
                <w:sz w:val="18"/>
                <w:szCs w:val="18"/>
                <w:color w:val="auto"/>
              </w:rPr>
              <w:t>Variable at $9.00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10,748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12/18/2012</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12/14/2013</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9.0%</w:t>
            </w:r>
          </w:p>
        </w:tc>
        <w:tc>
          <w:tcPr>
            <w:tcW w:w="3300" w:type="dxa"/>
            <w:vAlign w:val="bottom"/>
          </w:tcPr>
          <w:p>
            <w:pPr>
              <w:jc w:val="right"/>
              <w:spacing w:after="0"/>
              <w:rPr>
                <w:sz w:val="20"/>
                <w:szCs w:val="20"/>
                <w:color w:val="auto"/>
              </w:rPr>
            </w:pPr>
            <w:r>
              <w:rPr>
                <w:rFonts w:ascii="Arial" w:cs="Arial" w:eastAsia="Arial" w:hAnsi="Arial"/>
                <w:sz w:val="18"/>
                <w:szCs w:val="18"/>
                <w:color w:val="auto"/>
              </w:rPr>
              <w:t>Fixed at $10.00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1/5/2013</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5/31/2014</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None</w:t>
            </w:r>
          </w:p>
        </w:tc>
        <w:tc>
          <w:tcPr>
            <w:tcW w:w="3300" w:type="dxa"/>
            <w:vAlign w:val="bottom"/>
          </w:tcPr>
          <w:p>
            <w:pPr>
              <w:jc w:val="right"/>
              <w:spacing w:after="0"/>
              <w:rPr>
                <w:sz w:val="20"/>
                <w:szCs w:val="20"/>
                <w:color w:val="auto"/>
              </w:rPr>
            </w:pPr>
            <w:r>
              <w:rPr>
                <w:rFonts w:ascii="Arial" w:cs="Arial" w:eastAsia="Arial" w:hAnsi="Arial"/>
                <w:sz w:val="18"/>
                <w:szCs w:val="18"/>
                <w:color w:val="auto"/>
              </w:rPr>
              <w:t>Fixed at $8.00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452,729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1/31/2013</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5/31/2014</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None</w:t>
            </w:r>
          </w:p>
        </w:tc>
        <w:tc>
          <w:tcPr>
            <w:tcW w:w="3300" w:type="dxa"/>
            <w:vAlign w:val="bottom"/>
          </w:tcPr>
          <w:p>
            <w:pPr>
              <w:jc w:val="right"/>
              <w:spacing w:after="0"/>
              <w:rPr>
                <w:sz w:val="20"/>
                <w:szCs w:val="20"/>
                <w:color w:val="auto"/>
              </w:rPr>
            </w:pPr>
            <w:r>
              <w:rPr>
                <w:rFonts w:ascii="Arial" w:cs="Arial" w:eastAsia="Arial" w:hAnsi="Arial"/>
                <w:sz w:val="18"/>
                <w:szCs w:val="18"/>
                <w:color w:val="auto"/>
              </w:rPr>
              <w:t>Fixed at $4.00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2/27/2013</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2/27/2014</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3300" w:type="dxa"/>
            <w:vAlign w:val="bottom"/>
          </w:tcPr>
          <w:p>
            <w:pPr>
              <w:jc w:val="right"/>
              <w:spacing w:after="0"/>
              <w:rPr>
                <w:sz w:val="20"/>
                <w:szCs w:val="20"/>
                <w:color w:val="auto"/>
              </w:rPr>
            </w:pPr>
            <w:r>
              <w:rPr>
                <w:rFonts w:ascii="Arial" w:cs="Arial" w:eastAsia="Arial" w:hAnsi="Arial"/>
                <w:sz w:val="18"/>
                <w:szCs w:val="18"/>
                <w:color w:val="auto"/>
              </w:rPr>
              <w:t>Variable at $9.00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58,500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4/2/2013</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6/2/2013</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8.0%</w:t>
            </w:r>
          </w:p>
        </w:tc>
        <w:tc>
          <w:tcPr>
            <w:tcW w:w="3300" w:type="dxa"/>
            <w:vAlign w:val="bottom"/>
          </w:tcPr>
          <w:p>
            <w:pPr>
              <w:jc w:val="right"/>
              <w:spacing w:after="0"/>
              <w:rPr>
                <w:sz w:val="20"/>
                <w:szCs w:val="20"/>
                <w:color w:val="auto"/>
              </w:rPr>
            </w:pPr>
            <w:r>
              <w:rPr>
                <w:rFonts w:ascii="Arial" w:cs="Arial" w:eastAsia="Arial" w:hAnsi="Arial"/>
                <w:sz w:val="18"/>
                <w:szCs w:val="18"/>
                <w:color w:val="auto"/>
              </w:rPr>
              <w:t>Fixed at $7.00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80,967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4/18/2013</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12/18/2013</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8.0%</w:t>
            </w:r>
          </w:p>
        </w:tc>
        <w:tc>
          <w:tcPr>
            <w:tcW w:w="3300" w:type="dxa"/>
            <w:vAlign w:val="bottom"/>
          </w:tcPr>
          <w:p>
            <w:pPr>
              <w:jc w:val="right"/>
              <w:spacing w:after="0"/>
              <w:rPr>
                <w:sz w:val="20"/>
                <w:szCs w:val="20"/>
                <w:color w:val="auto"/>
              </w:rPr>
            </w:pPr>
            <w:r>
              <w:rPr>
                <w:rFonts w:ascii="Arial" w:cs="Arial" w:eastAsia="Arial" w:hAnsi="Arial"/>
                <w:sz w:val="18"/>
                <w:szCs w:val="18"/>
                <w:color w:val="auto"/>
              </w:rPr>
              <w:t>Fixed at $7.00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31,688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5/2/2013</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5/31/2014</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3300" w:type="dxa"/>
            <w:vAlign w:val="bottom"/>
          </w:tcPr>
          <w:p>
            <w:pPr>
              <w:jc w:val="right"/>
              <w:spacing w:after="0"/>
              <w:rPr>
                <w:sz w:val="20"/>
                <w:szCs w:val="20"/>
                <w:color w:val="auto"/>
              </w:rPr>
            </w:pPr>
            <w:r>
              <w:rPr>
                <w:rFonts w:ascii="Arial" w:cs="Arial" w:eastAsia="Arial" w:hAnsi="Arial"/>
                <w:sz w:val="18"/>
                <w:szCs w:val="18"/>
                <w:color w:val="auto"/>
              </w:rPr>
              <w:t>Variable at $3.44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5/5/2013</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7/5/2013</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8.0%</w:t>
            </w:r>
          </w:p>
        </w:tc>
        <w:tc>
          <w:tcPr>
            <w:tcW w:w="3300" w:type="dxa"/>
            <w:vAlign w:val="bottom"/>
          </w:tcPr>
          <w:p>
            <w:pPr>
              <w:jc w:val="right"/>
              <w:spacing w:after="0"/>
              <w:rPr>
                <w:sz w:val="20"/>
                <w:szCs w:val="20"/>
                <w:color w:val="auto"/>
              </w:rPr>
            </w:pPr>
            <w:r>
              <w:rPr>
                <w:rFonts w:ascii="Arial" w:cs="Arial" w:eastAsia="Arial" w:hAnsi="Arial"/>
                <w:sz w:val="18"/>
                <w:szCs w:val="18"/>
                <w:color w:val="auto"/>
              </w:rPr>
              <w:t>Fixed at $7.00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5/14/2013</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5/14/2014</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8.0%</w:t>
            </w:r>
          </w:p>
        </w:tc>
        <w:tc>
          <w:tcPr>
            <w:tcW w:w="3300" w:type="dxa"/>
            <w:vAlign w:val="bottom"/>
          </w:tcPr>
          <w:p>
            <w:pPr>
              <w:jc w:val="right"/>
              <w:spacing w:after="0"/>
              <w:rPr>
                <w:sz w:val="20"/>
                <w:szCs w:val="20"/>
                <w:color w:val="auto"/>
              </w:rPr>
            </w:pPr>
            <w:r>
              <w:rPr>
                <w:rFonts w:ascii="Arial" w:cs="Arial" w:eastAsia="Arial" w:hAnsi="Arial"/>
                <w:sz w:val="18"/>
                <w:szCs w:val="18"/>
                <w:color w:val="auto"/>
              </w:rPr>
              <w:t>Fixed at $6.00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6/27/2013</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6/27/2014</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3300" w:type="dxa"/>
            <w:vAlign w:val="bottom"/>
          </w:tcPr>
          <w:p>
            <w:pPr>
              <w:jc w:val="right"/>
              <w:spacing w:after="0"/>
              <w:rPr>
                <w:sz w:val="20"/>
                <w:szCs w:val="20"/>
                <w:color w:val="auto"/>
              </w:rPr>
            </w:pPr>
            <w:r>
              <w:rPr>
                <w:rFonts w:ascii="Arial" w:cs="Arial" w:eastAsia="Arial" w:hAnsi="Arial"/>
                <w:sz w:val="18"/>
                <w:szCs w:val="18"/>
                <w:color w:val="auto"/>
              </w:rPr>
              <w:t>Variable at $9.00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37,620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6/19/2013</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6/19/2014</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3300" w:type="dxa"/>
            <w:vAlign w:val="bottom"/>
          </w:tcPr>
          <w:p>
            <w:pPr>
              <w:jc w:val="right"/>
              <w:spacing w:after="0"/>
              <w:rPr>
                <w:sz w:val="20"/>
                <w:szCs w:val="20"/>
                <w:color w:val="auto"/>
              </w:rPr>
            </w:pPr>
            <w:r>
              <w:rPr>
                <w:rFonts w:ascii="Arial" w:cs="Arial" w:eastAsia="Arial" w:hAnsi="Arial"/>
                <w:sz w:val="18"/>
                <w:szCs w:val="18"/>
                <w:color w:val="auto"/>
              </w:rPr>
              <w:t>Variable at $9.00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7/12/2013</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7/12/2014</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8.0%</w:t>
            </w:r>
          </w:p>
        </w:tc>
        <w:tc>
          <w:tcPr>
            <w:tcW w:w="3300" w:type="dxa"/>
            <w:vAlign w:val="bottom"/>
          </w:tcPr>
          <w:p>
            <w:pPr>
              <w:jc w:val="right"/>
              <w:spacing w:after="0"/>
              <w:rPr>
                <w:sz w:val="20"/>
                <w:szCs w:val="20"/>
                <w:color w:val="auto"/>
              </w:rPr>
            </w:pPr>
            <w:r>
              <w:rPr>
                <w:rFonts w:ascii="Arial" w:cs="Arial" w:eastAsia="Arial" w:hAnsi="Arial"/>
                <w:sz w:val="18"/>
                <w:szCs w:val="18"/>
                <w:color w:val="auto"/>
              </w:rPr>
              <w:t>Fixed at $3.00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96,800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10/18/2013</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4/18/2014</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None</w:t>
            </w:r>
          </w:p>
        </w:tc>
        <w:tc>
          <w:tcPr>
            <w:tcW w:w="3300" w:type="dxa"/>
            <w:vAlign w:val="bottom"/>
          </w:tcPr>
          <w:p>
            <w:pPr>
              <w:jc w:val="right"/>
              <w:spacing w:after="0"/>
              <w:rPr>
                <w:sz w:val="20"/>
                <w:szCs w:val="20"/>
                <w:color w:val="auto"/>
              </w:rPr>
            </w:pPr>
            <w:r>
              <w:rPr>
                <w:rFonts w:ascii="Arial" w:cs="Arial" w:eastAsia="Arial" w:hAnsi="Arial"/>
                <w:sz w:val="18"/>
                <w:szCs w:val="18"/>
                <w:color w:val="auto"/>
              </w:rPr>
              <w:t>Variable at $1.00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94,444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11/1/2013</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5/1/2014</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None</w:t>
            </w:r>
          </w:p>
        </w:tc>
        <w:tc>
          <w:tcPr>
            <w:tcW w:w="3300" w:type="dxa"/>
            <w:vAlign w:val="bottom"/>
          </w:tcPr>
          <w:p>
            <w:pPr>
              <w:jc w:val="right"/>
              <w:spacing w:after="0"/>
              <w:rPr>
                <w:sz w:val="20"/>
                <w:szCs w:val="20"/>
                <w:color w:val="auto"/>
              </w:rPr>
            </w:pPr>
            <w:r>
              <w:rPr>
                <w:rFonts w:ascii="Arial" w:cs="Arial" w:eastAsia="Arial" w:hAnsi="Arial"/>
                <w:sz w:val="18"/>
                <w:szCs w:val="18"/>
                <w:color w:val="auto"/>
              </w:rPr>
              <w:t>Variable at $1.00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12/19/2013</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6/19/2014</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None</w:t>
            </w:r>
          </w:p>
        </w:tc>
        <w:tc>
          <w:tcPr>
            <w:tcW w:w="3300" w:type="dxa"/>
            <w:vAlign w:val="bottom"/>
          </w:tcPr>
          <w:p>
            <w:pPr>
              <w:jc w:val="right"/>
              <w:spacing w:after="0"/>
              <w:rPr>
                <w:sz w:val="20"/>
                <w:szCs w:val="20"/>
                <w:color w:val="auto"/>
              </w:rPr>
            </w:pPr>
            <w:r>
              <w:rPr>
                <w:rFonts w:ascii="Arial" w:cs="Arial" w:eastAsia="Arial" w:hAnsi="Arial"/>
                <w:sz w:val="18"/>
                <w:szCs w:val="18"/>
                <w:color w:val="auto"/>
              </w:rPr>
              <w:t>Variable at $1.00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277,222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12/23/2013</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6/23/2014</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3300" w:type="dxa"/>
            <w:vAlign w:val="bottom"/>
          </w:tcPr>
          <w:p>
            <w:pPr>
              <w:jc w:val="right"/>
              <w:spacing w:after="0"/>
              <w:rPr>
                <w:sz w:val="20"/>
                <w:szCs w:val="20"/>
                <w:color w:val="auto"/>
              </w:rPr>
            </w:pPr>
            <w:r>
              <w:rPr>
                <w:rFonts w:ascii="Arial" w:cs="Arial" w:eastAsia="Arial" w:hAnsi="Arial"/>
                <w:sz w:val="18"/>
                <w:szCs w:val="18"/>
                <w:color w:val="auto"/>
              </w:rPr>
              <w:t>Fixed at $7.00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536,400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Total convertible notes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3,697,611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color w:val="auto"/>
              </w:rPr>
              <w:t>Unamortized note discount</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(535,634)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3"/>
          </w:tcPr>
          <w:p>
            <w:pPr>
              <w:ind w:left="100"/>
              <w:spacing w:after="0"/>
              <w:rPr>
                <w:sz w:val="20"/>
                <w:szCs w:val="20"/>
                <w:color w:val="auto"/>
              </w:rPr>
            </w:pPr>
            <w:r>
              <w:rPr>
                <w:rFonts w:ascii="Arial" w:cs="Arial" w:eastAsia="Arial" w:hAnsi="Arial"/>
                <w:sz w:val="18"/>
                <w:szCs w:val="18"/>
                <w:b w:val="1"/>
                <w:bCs w:val="1"/>
                <w:color w:val="auto"/>
              </w:rPr>
              <w:t>Total on Balance sheet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3,161,977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converted to common stock</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2014 an aggregate of approximately $3,698,000 in convertible notes and $554,000 in accrued interest were converted into approximately 14,386,000 shares of common stock. The fair value of the notes was determined to be $32,250,000.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LOANS PAYABLE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at September 30, 2014, there were unsecured loan payable in the amount of $nil (December 31, 2013 - $42,200) which are due on demand. During the period ended September 30, 2014, investors converted $21,500 and a related party converted $2,700 of the loan into common shares of the Company as part of their total debt settlements (Note 10).</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10: PROMISSORY NOTES, RELATED PARTY</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outstanding promissory notes in the amount of $52,942, of which $23,000 of promissory notes are from an officer and a director of the Company (Note 9). The promissory notes bear no interest charges and have no fixed repayment terms.</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period ended September 30, 2014, the note holder converted outstanding principal and accrued interest of $221,940 into 1,400,000 common shares. The fair value of the shares was determined to be $3,160,000 and the Company recorded a loss on settlement of debt of $2,938,060.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2014, the Company entered into transactions with certain officers and directors of the Company as follows:</w:t>
      </w:r>
    </w:p>
    <w:p>
      <w:pPr>
        <w:spacing w:after="0" w:line="275" w:lineRule="exact"/>
        <w:rPr>
          <w:sz w:val="20"/>
          <w:szCs w:val="20"/>
          <w:color w:val="auto"/>
        </w:rPr>
      </w:pPr>
    </w:p>
    <w:p>
      <w:pPr>
        <w:ind w:left="980" w:right="20" w:hanging="648"/>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incurred $82,500 (September 30, 2013 - $288,000) in management fees and $67,500 (September 30, 2013 - $99,000) in research and development services paid or accrued to officers and directors during the period;</w:t>
      </w:r>
    </w:p>
    <w:p>
      <w:pPr>
        <w:spacing w:after="0" w:line="19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$11,250 (September 30, 2013 - $40,238) in stock based compensation for the fair value of options granted to management that were granted and or vested during the period;</w:t>
      </w:r>
    </w:p>
    <w:p>
      <w:pPr>
        <w:spacing w:after="0" w:line="19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converted $841,045 (September 30, 2013 - $83,000) of debt due to related parties during the period, which were settled with shares (Note 10).</w:t>
      </w:r>
    </w:p>
    <w:p>
      <w:pPr>
        <w:spacing w:after="0" w:line="275" w:lineRule="exact"/>
        <w:rPr>
          <w:rFonts w:ascii="Arial" w:cs="Arial" w:eastAsia="Arial" w:hAnsi="Arial"/>
          <w:sz w:val="16"/>
          <w:szCs w:val="16"/>
          <w:color w:val="auto"/>
        </w:rPr>
      </w:pPr>
    </w:p>
    <w:p>
      <w:pPr>
        <w:ind w:left="980" w:hanging="648"/>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converted $nil (September 30, 2013 - $567,729) of payable into convertible notes to officers, consultant and a director of the Company (Note 6).</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CAPITAL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6, 2014, the Company designated 1,250,000 series A preferred shares (“Series A Convertible Preferred Stock”). Each share of Series A Convertible Preferred Stock that is outstanding at the time that the Company enacts a 100 to 1 reverse stock split, the Series A Convertible Preferred Stock shall automatically convert into five (5) shares of the Company’s common stock on a post-split basis.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10, 2014, the Company completed a reverse stock split thereby issuing 1 new share for each 100 outstanding shares of the Company’s common stock and amending the Company’s Articles of Incorporation to increase the authorized shares of common stock from 150,000,000 shares of common stock to 500,000,000 shares.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18, 2014, the Company’s board of directors approved the creation of a class of up to 1,500,000 preferred stock, par value $0.001, called series B convertible preferred stock (“Series B Convertible Preferred Stock”). The terms of the Series B Convertible Preferred Stock are:</w:t>
      </w:r>
    </w:p>
    <w:p>
      <w:pPr>
        <w:spacing w:after="0" w:line="197" w:lineRule="exact"/>
        <w:rPr>
          <w:sz w:val="20"/>
          <w:szCs w:val="20"/>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rank pari passu to the common stock with respect to rights on liquidation, winding up and dissolution;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have no dividend rights except as may be declared by the Board in its sole and absolute discretion;</w:t>
      </w:r>
    </w:p>
    <w:p>
      <w:pPr>
        <w:spacing w:after="0" w:line="252"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shall have the right to cast one thousand (1,000) votes for each share held of record on all matters submitted to a vote of holders of the Corporation’s common stock; and</w:t>
      </w:r>
    </w:p>
    <w:p>
      <w:pPr>
        <w:spacing w:after="0" w:line="197" w:lineRule="exact"/>
        <w:rPr>
          <w:rFonts w:ascii="Arial" w:cs="Arial" w:eastAsia="Arial" w:hAnsi="Arial"/>
          <w:sz w:val="18"/>
          <w:szCs w:val="18"/>
          <w:color w:val="auto"/>
        </w:rPr>
      </w:pPr>
    </w:p>
    <w:p>
      <w:pPr>
        <w:jc w:val="both"/>
        <w:ind w:left="640" w:hanging="321"/>
        <w:spacing w:after="0" w:line="279"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shall automatically convert into shares of common stock upon the occurrence of a reverse stock split of the Corporation’s common stock in which every 100 shares of the Corporation’s common stock outstanding at the time that this certificate of designation was filed with the Secretary of State of Nevada is exchanged for one share of the Corporation’s common stock, with each share of Series B Convertible Preferred Stock converting into seven (7) shares of the Corporation’s common stock (such number to be after the 100:1 reverse stock split).</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prior period share transactions included in the Company’s stock transactions and balances have been retroactively restated for the reverse stock split described above.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2014 Share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2014, the Company converted convertible notes and relevant accrued interest into approximately 14,386,000 shares of common stock. The fair value of the common stock recognized was $32,250,000.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2014, the Company converted accounts payable into approximately 1,279,000 shares of common stock. The fair value of the common stock recognized was $2,893,000.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services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2014, the Company issued in aggregate 316,000 shares of common stock in exchange for consulting services for which performance was complete. The fair value of the common stock recognized was approximately $714,000.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period ended September 30, 2014, the Company entered into a Securities Purchase Agreement with a single institutional investor for the sale of 1,886,792 units at a purchase price of $1.06 per unit, for a total purchase price of $1,832,500, net of finders’ fee. Each unit consists of one common share and one share purchase warrant exercisable at $1.17 for a period of 5 years.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period ended September 30, 2014, the Company received subscription proceeds of $265,000 for 265,000 units. Each unit consists of one share of common stock and one share purchase warrant exercisable at $2.50 for a period of 3 years. The Company also issued 5,250 shares of common stock as finders’ fee relating to the subscription proceeds.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to be issued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entered into consulting agreements and debt settlements for which it is obligated to issue shares as of the nine months ended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6188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Nature of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5558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5875"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Consulting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5558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55875" cy="1714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Debt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558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25558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6"/>
              </w:rPr>
              <w:t>Obligation</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to Issue</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Number</w:t>
            </w:r>
          </w:p>
        </w:tc>
      </w:tr>
      <w:tr>
        <w:trPr>
          <w:trHeight w:val="237"/>
        </w:trPr>
        <w:tc>
          <w:tcPr>
            <w:tcW w:w="20" w:type="dxa"/>
            <w:vAlign w:val="bottom"/>
          </w:tcPr>
          <w:p>
            <w:pPr>
              <w:spacing w:after="0"/>
              <w:rPr>
                <w:sz w:val="20"/>
                <w:szCs w:val="20"/>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Amount</w:t>
            </w:r>
          </w:p>
        </w:tc>
        <w:tc>
          <w:tcPr>
            <w:tcW w:w="80" w:type="dxa"/>
            <w:vAlign w:val="bottom"/>
          </w:tcPr>
          <w:p>
            <w:pPr>
              <w:spacing w:after="0"/>
              <w:rPr>
                <w:sz w:val="20"/>
                <w:szCs w:val="20"/>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of Shares</w:t>
            </w:r>
          </w:p>
        </w:tc>
      </w:tr>
      <w:tr>
        <w:trPr>
          <w:trHeight w:val="223"/>
        </w:trPr>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348,367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61,167</w:t>
            </w:r>
          </w:p>
        </w:tc>
        <w:tc>
          <w:tcPr>
            <w:tcW w:w="20" w:type="dxa"/>
            <w:vAlign w:val="bottom"/>
          </w:tcPr>
          <w:p>
            <w:pPr>
              <w:spacing w:after="0"/>
              <w:rPr>
                <w:sz w:val="19"/>
                <w:szCs w:val="19"/>
                <w:color w:val="auto"/>
              </w:rPr>
            </w:pPr>
          </w:p>
        </w:tc>
      </w:tr>
      <w:tr>
        <w:trPr>
          <w:trHeight w:val="216"/>
        </w:trPr>
        <w:tc>
          <w:tcPr>
            <w:tcW w:w="7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120,000</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360" w:space="720"/>
            <w:col w:w="7340"/>
          </w:cols>
          <w:pgMar w:left="240" w:top="513"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2014, the Company issued 265,000 share purchase warrants to acquire an equivalent number of common shares of the Company, at an exercise price of $2.50 per share for an exercise period of up to three years from the issuance date. The warrants were issued pursuant to private placements and included within equity. The fair value of these warrants was determined to be $258,000, using the Black-Scholes Option Pricing Model with an expected life of 3 years, a risk free interest rate of 0.93%, a dividend yield of 0%, and an expected volatility of 153.8%.</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2014, the Company issued 1,986,792 share purchase warrants to acquire an equivalent number of common shares of the Company, at an exercise price of $1.17 per share for an exercise period of up to five years from the issuance date. The warrants were issued pursuant to a private placement and included within equity. The fair value of these warrants was determined to be $2,269,000, using the Black-Scholes Option Pricing Model with an expected life of 5 years, a risk free interest rate of 1.58%, a dividend yield of 0%, and an expected volatility of 150.3%.</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2014, the Company issued 100,000 share purchase warrants to acquire an equivalent number of common shares of the Company, at an exercise price of $1.15 per share for an exercise period of up to five years from the issuance date. The warrants were issued pursuant to a service agreement. The fair value of these warrants was determined to be $105,000, using the Black-Scholes Option Pricing Model with an expected life of 5 years, a risk free interest rate of 1.63%, a dividend yield of 0%, and an expected volatility of 150.18%.</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2" w:name="page13"/>
    <w:bookmarkEnd w:id="12"/>
    <w:p>
      <w:pPr>
        <w:ind w:right="80"/>
        <w:spacing w:after="0" w:line="290" w:lineRule="auto"/>
        <w:rPr>
          <w:sz w:val="20"/>
          <w:szCs w:val="20"/>
          <w:color w:val="auto"/>
        </w:rPr>
      </w:pPr>
      <w:r>
        <w:rPr>
          <w:rFonts w:ascii="Arial" w:cs="Arial" w:eastAsia="Arial" w:hAnsi="Arial"/>
          <w:sz w:val="16"/>
          <w:szCs w:val="16"/>
          <w:color w:val="auto"/>
        </w:rPr>
        <w:t>In March, 2014, the Company issued 100,000 share purchase warrants to acquire an equivalent number of common shares of the Company, at an exercise price of $4.00 per share for an exercise period of up to four years from the issuance date. The warrants were issued pursuant to a technology option agreement. The fair value of these warrants was determined to be $303,000. The weighted average assumptions used for the Black-Scholes option-pricing model to value these warrants were: expected volatility of 156.6%, risk free rate of 1.4%, expected life of 4 years and expected dividend rate of 0%. The Company used the Black-Scholes option-pricing model as the resultant fair value is not significantly different than the Monte Carlo option pricing model. In August 2014, the Company repriced the 100,000 warrants by reducing the exercise price from $4.00 to $1.06. As a result, the Company recorded incremental fair value of $14,000 during the period ended September 30, 2014. The warrants contain “down round protection” and the Company classifies these warrant instruments as derivative liabilities measured at fair value and remeasures these instruments at fair value each reporting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September 30, 2014 and changes during the period is presented below:</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9"/>
              </w:rPr>
              <w:t>Weighted</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Remaining</w:t>
            </w:r>
          </w:p>
        </w:tc>
      </w:tr>
      <w:tr>
        <w:trPr>
          <w:trHeight w:val="237"/>
        </w:trPr>
        <w:tc>
          <w:tcPr>
            <w:tcW w:w="20" w:type="dxa"/>
            <w:vAlign w:val="bottom"/>
          </w:tcPr>
          <w:p>
            <w:pPr>
              <w:spacing w:after="0"/>
              <w:rPr>
                <w:sz w:val="20"/>
                <w:szCs w:val="20"/>
                <w:color w:val="auto"/>
              </w:rPr>
            </w:pPr>
          </w:p>
        </w:tc>
        <w:tc>
          <w:tcPr>
            <w:tcW w:w="7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20"/>
                <w:szCs w:val="20"/>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2013</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149,452</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Issued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2,451,792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Exercised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Extinguished or expired</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(15,167)</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Borders>
              <w:bottom w:val="single" w:sz="8" w:color="auto"/>
            </w:tcBorders>
          </w:tcPr>
          <w:p>
            <w:pPr>
              <w:spacing w:after="0"/>
              <w:rPr>
                <w:sz w:val="18"/>
                <w:szCs w:val="18"/>
                <w:color w:val="auto"/>
              </w:rPr>
            </w:pPr>
          </w:p>
        </w:tc>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2014</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2,586,077</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13:</w:t>
        <w:tab/>
        <w:t>CONTINGENCIES AND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Consultant Litigation</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2012, the Company issued 112,000 shares of common stock to two consultants. The Company contested the validity of the services provided and initially was able to delay the sale of the contested shares. The Company was not successful in recovering the contested shares. A claim for alleged damages of approximately $362,000 plus costs by one of the consultants as a result of the contesting of the issuance of the shares was filed in the Supreme Court of New York. The claim is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Following hearings at the International Arbitration Tribunal held in New York on May 13-16 the arbitrator ordered (on July 18, 2014) the consultant to pay Tapimmune $196,204 plus 9% interest from the date of the award.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Filings</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has not filed income tax returns for several years in certain operating jurisdictions, and may be subject to possible compliance penalties and interest. Management is currently not able to make a reliably measurable provision for possible liability for penalties and interest, if any, at this time, and the Company may be liable for such amounts upon assessment. Penalties and interest, if assessed in the future, will be recorded in the period such amounts are determinable.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Consultant Agreements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granted 250,000 shares to a consultant post restructuring of the Company’s debt, of which the Company issued 150,000 common shares during the period ended September 30, 2014 (Note 10). The Company determined the fair value of the 150,000 issued shares to be $337,500, which was expensed during the period ended September 30, 2014.</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2014, the Company entered into a one year media and investor relations service contract with a consultant. The contract provides for the Company to make a $100,000 payment on signing of the contract (paid) and 200,000 shares of restricted common stock, of which 100,000 were issued immediately and an additional 100,000 restricted common stock within 10 business days upon the Company’s successful listing on NASDAQ or NYSE MKT exchange. The Company determined the fair value of the 100,000 issued shares to be $270,000, which was expensed during the period ended September 30, 2014.</w:t>
      </w:r>
    </w:p>
    <w:p>
      <w:pPr>
        <w:spacing w:after="0" w:line="21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5, 2014, the Company entered into a new collaborative research agreement with The Vaccine &amp; Gene Therapy Institute of Florida (VGTI Florida), a leading, non-profit biomedical research institute, forming a partnership to advance TapImmune’s proprietary, targeted cancer vaccines into mid-stage, Phase II human clinical trials for the treatment of breast and ovarian cancers.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therapeutic cancer vaccine candidates were developed by VGTI Florida’s Director of Cancer Vaccines and Immune Therapies Program, Keith Knutson, Ph.D. The goal is to prevent breast and ovarian cancer recurrence for patients who achieve remissions following standard-of-care treatment. The vaccine is designed to work by enabling the immune system to target and eradicate any residual cancer cells or newly arising cancer cells that express the antigens delivered by the vaccine. VGTI Florida will work with TapImmune to design and execute the Phase II clinical programs. This includes the design of the clinical protocols, selection of clinical trial sites, recruitment of key opinion leaders as clinical advisors, and selection of external manufacturing and clinical resources. TapImmune has the exclusive commercialization rights for these vaccines.</w:t>
      </w:r>
    </w:p>
    <w:p>
      <w:pPr>
        <w:sectPr>
          <w:pgSz w:w="11900" w:h="16838" w:orient="portrait"/>
          <w:cols w:equalWidth="0" w:num="1">
            <w:col w:w="11420"/>
          </w:cols>
          <w:pgMar w:left="240" w:top="517" w:right="239" w:bottom="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9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The following should be read in conjunction with our unaudited consolidated interim financial statements and related notes for the nine months ended September 30, 2014 included in this quarterly report, as well as our Annual Report on Form 10-K for the year ended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TapImmune is a clinical-stage immunotherapy company specializing in the development of innovative peptide and gene-based immunotherapeutics and vaccines for the treatment of cancer and infectious disease. The Company combines a set of proprietary technologies to improve the ability of the cellular immune system to destroy diseased cells. These are peptide antigen technologies and DNA expression technologies, Polystart™ and TAP.</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enhance shareholder value and taking into account development timelines, the Company plans to focus on advancing its clinical programs including our HER2/neu peptide antigen program and our Folate Alpha breast and ovarian trials into Phase II. In parallel, we plan to complete the preclinical development of our Polystart™ technology and to continue to develop the TAP-based franchise as an integral component of our prime-and-boost vaccine methodology.</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Unlike other vaccine technologies that narrowly address the initiation of an immune response, TapImmune's ("Prime" and "Boost") approach broadly stimulates the cellular immune system by enhancing the function of killer T-cells and helper T-cells. Our peptide vaccine technology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Moreover, our versatile Polystart™ technology is designed to express either Class I killer or Class II helper T-cell antigenic epitopes. Our nucleic acid-based systems can also incorporate “TAP” which stands for </w:t>
      </w:r>
      <w:r>
        <w:rPr>
          <w:rFonts w:ascii="Arial" w:cs="Arial" w:eastAsia="Arial" w:hAnsi="Arial"/>
          <w:sz w:val="16"/>
          <w:szCs w:val="16"/>
          <w:b w:val="1"/>
          <w:bCs w:val="1"/>
          <w:color w:val="auto"/>
        </w:rPr>
        <w:t>T</w:t>
      </w:r>
      <w:r>
        <w:rPr>
          <w:rFonts w:ascii="Arial" w:cs="Arial" w:eastAsia="Arial" w:hAnsi="Arial"/>
          <w:sz w:val="16"/>
          <w:szCs w:val="16"/>
          <w:color w:val="auto"/>
        </w:rPr>
        <w:t xml:space="preserve">ransporter associated with </w:t>
      </w:r>
      <w:r>
        <w:rPr>
          <w:rFonts w:ascii="Arial" w:cs="Arial" w:eastAsia="Arial" w:hAnsi="Arial"/>
          <w:sz w:val="16"/>
          <w:szCs w:val="16"/>
          <w:b w:val="1"/>
          <w:bCs w:val="1"/>
          <w:color w:val="auto"/>
        </w:rPr>
        <w:t>A</w:t>
      </w:r>
      <w:r>
        <w:rPr>
          <w:rFonts w:ascii="Arial" w:cs="Arial" w:eastAsia="Arial" w:hAnsi="Arial"/>
          <w:sz w:val="16"/>
          <w:szCs w:val="16"/>
          <w:color w:val="auto"/>
        </w:rPr>
        <w:t xml:space="preserve">ntigen </w:t>
      </w:r>
      <w:r>
        <w:rPr>
          <w:rFonts w:ascii="Arial" w:cs="Arial" w:eastAsia="Arial" w:hAnsi="Arial"/>
          <w:sz w:val="16"/>
          <w:szCs w:val="16"/>
          <w:b w:val="1"/>
          <w:bCs w:val="1"/>
          <w:color w:val="auto"/>
        </w:rPr>
        <w:t>P</w:t>
      </w:r>
      <w:r>
        <w:rPr>
          <w:rFonts w:ascii="Arial" w:cs="Arial" w:eastAsia="Arial" w:hAnsi="Arial"/>
          <w:sz w:val="16"/>
          <w:szCs w:val="16"/>
          <w:color w:val="auto"/>
        </w:rPr>
        <w:t>resentation.</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currently focusing on the clinical development and testing of our product candidates. In this regard, we have two Phase I studies being conducted at the Mayo Clinic (Rochester, MN) which are designed to evaluate the safety and immune response(s) of a set of proprietary HER2/neu antigens for a HER2/neu breast cancer vaccine and Folate Receptor Alpha for breast and ovarian cancer respectively. TapImmune has the exclusive option to license each of these technologies upon the completion of each Phase I. In addition, we plan to initiate two Phase II studies in these indications starting with the first IND discussions with the FDA in Q4 2014 and for the second trial in early 2015. The first of which will include a novel Class I antigen in a Phase Ib/II study, providing a vaccine for HER2/neu breast cancer that can stimulate both killer T-cells and helper T-cells. The second Phase II trial is expected to include our folate alpha receptor epitopes and will likely focus on ovarian cancer, which we believe will allow us to proceed with an orphan drug application pending discussion with the FDA.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t>The Company plans to incorporate the pre-clinical development of Polystart™ as a boost strategy for HER2/neu breast cancer, colorectal cancer, ovarian cancer and triple negative breast cancer.</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 Our candidate breast cancer, colorectal cancer and ovarian cancer immunotherapeutic vaccines are being developed for use in this setting as an adjuvant treatment to prevent recurrent disease.</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strongly believes that the comprehensive scientific underpinnings of our overall approach, to elicit the production of both helper T- cells and killer T- cells, will provide the Company with highly competitive product candidates for the treatment of HER2/neu positive breast cancer, colorectal cancer, ovarian cancer and triple negative breast cancer and position the company as the leading T-Cell vaccine immunotherapy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Infectious Disease Program</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Regarding our programs for the development of vaccines aimed at viral pandemics/biodefense, we believe that our ongoing collaborations with the Mayo Clinic have progressed well and studies on the immunogenicity of novel smallpox antigens in mice treated with both antigens and TAP expression vectors have been completed. These antigens collectively can protect mice from a lethal dose of vaccinia virus and thus forms the basis for the first peptide-based vaccine for smallpox,. We plan to complete animal efficacy and human safety studies through non-dilutive grant funding in collaboration with Dr. Greg Poland and colleagues at the Mayo Clinic and anticipate that further development will be completed through strategic corporate partnerships. The use of non-dilutive grant funding to progress this area allows the Company to focus the majority of its internal resources on HER2/neu breast, ovarian and triple negative cancers.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further testing and research is required, we believe that our platform technology PolyStart is a significant advance in vaccine development and could be applied to almost any vaccine current or in development. This would include in acute outbreaks like the recent Ebola outbreak in West Africa, Enterovirus, H1N1, West Niule and many others.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period ended September 30, 2014, we closed a $2,000,000 equity financing priced at $1.06 with 100% warrants with a strike of $1.17. The proceeds from this financing will progress our regulatory filings for clinical trials and general and administration expenses. In addition, we continued to restructure our balance sheet and have further reduced our stockholders’ deficit by approximately $8,000,000 since December 2013. We believe that we have made good progress with the resources available to us. With the start of clinical programs and our focus on securing non-dilutive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2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currently trade on the OTCQB under the symbol “TPIV”.</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were incorporated under the laws of the State of Nevada in 1991 under the name “Ward’s Futura Automotive Ltd”. We changed our name a number of times since 1991 and, in July 2002, we completed the acquisition of GeneMax Pharmaceuticals Inc. (“GeneMax Pharmaceuticals”), a Delaware corporation, in a reverse merger and changed our name to “GeneMax Corp”. As a result of this transaction, the former stockholders of GeneMax Pharmaceuticals then owned 75% of the total issued and outstanding shares of GeneMax Corp. GeneMax Pharmaceuticals is now a wholly owned subsidiary of TapImmune, and GeneMax Pharmaceuticals Canada Inc. (“GP Canada”), a British Columbia corporation, is a wholly owned subsidiary of GeneMax Pharmaceuticals. On June 28, 2007, we approved a name change to TapImmune Inc.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that there is a critical need for more effective cancer therapies. Given the massive unmet need in the treatment of metastatic cancer combined with our process for harnessing the body’s own immune system to treat certain cancers, we believe that we are positioned to be a leading contributor to solving this problem and the problem of metastatic disease.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both"/>
        <w:spacing w:after="0" w:line="270" w:lineRule="auto"/>
        <w:rPr>
          <w:sz w:val="20"/>
          <w:szCs w:val="20"/>
          <w:color w:val="auto"/>
        </w:rPr>
      </w:pPr>
      <w:r>
        <w:rPr>
          <w:rFonts w:ascii="Arial" w:cs="Arial" w:eastAsia="Arial" w:hAnsi="Arial"/>
          <w:sz w:val="17"/>
          <w:szCs w:val="17"/>
          <w:color w:val="auto"/>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 The strategic vision of TapImmune is to stimulate the production of both T-helper cells and T-killer cells through the use of natural processed antigens discovered in patients. In addition, our technologies can improve antigen presentation through the use of PolyStart™ and TAP. By restoring TAP expression to TAP-deficient cells, the MHC Class I protein peptide complexes could signal the immune system to attack the cancer. A long-term strategic vision of TapImmune is to restore the TAP function within cancerous cells, thus making them immunogenic, or more “visible” to cancer fighting immune cells.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Together, management believes, these platforms make TapImmune the most comprehensive immunotherapeutic vaccine company with products in the clinic and positions TapImmune as the leading T-Cell Vaccine company in the market.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that this cancer vaccine strategy will provide the most commercially viable therapeutic approach that addresses this problem of “non-immunogenicity” of cancer.</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our focus on the cancer vaccines, with adequate funding and with strategic partnerships, we will also pursue the development of prophylactic vaccines against infectious microbes by partnering with other vaccine developers in the infectious disease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Target Market and Strategy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focus our product development in oncology, both, alone and with corporate partners and/or collaborators including the Mayo Clinic for HER2/neu positive Breast Cancer, Folate Alpha Ovarian and Breast Cancer and smallpox.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TapImmune management is to have the FDA approve our cancer vaccines within the next few years so that we can secure a portion of this market.</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the required funding in place, we will continue to support our infectious disease programs and collaborations with the Mayo Clinic and will also continue to look to non-dilutive financing to fund infectious disease projects.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including the recently much needed Ebola vaccines in development.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spacing w:after="0" w:line="273" w:lineRule="auto"/>
        <w:rPr>
          <w:sz w:val="20"/>
          <w:szCs w:val="20"/>
          <w:color w:val="auto"/>
        </w:rPr>
      </w:pPr>
      <w:r>
        <w:rPr>
          <w:rFonts w:ascii="Arial" w:cs="Arial" w:eastAsia="Arial" w:hAnsi="Arial"/>
          <w:sz w:val="17"/>
          <w:szCs w:val="17"/>
          <w:color w:val="auto"/>
        </w:rPr>
        <w:t>The global market for infectious disease based vaccines is dominated by five companies—Merck, GlaxoSmithKline, Sanofi Pasteur (the vaccines division of Sanofi SA), Pfizer Inc. and Novartis—with Pfizer, GlaxoSmithKline, Sanofi, and Novartis collectively accounting for approximately 74% of the market (Source: Transparency Market Research’s Global Vaccine Market Analysis and Forecast 2011-2016). This market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that ultimately our combined technology Platform(s) will have the potential to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Efforts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direct our research and development efforts towards the advancement of immunotherapeutic and prophylactic vaccine products for the treatment of cancer and protection against pathogenic microbes respectively, using our combined proprietary technologies, (1) relevant killer plus helper T-cell peptide antigens,</w:t>
      </w:r>
    </w:p>
    <w:p>
      <w:pPr>
        <w:jc w:val="both"/>
        <w:ind w:firstLine="8"/>
        <w:spacing w:after="0" w:line="286" w:lineRule="auto"/>
        <w:tabs>
          <w:tab w:leader="none" w:pos="267" w:val="left"/>
        </w:tabs>
        <w:numPr>
          <w:ilvl w:val="0"/>
          <w:numId w:val="6"/>
        </w:numPr>
        <w:rPr>
          <w:rFonts w:ascii="Arial" w:cs="Arial" w:eastAsia="Arial" w:hAnsi="Arial"/>
          <w:sz w:val="16"/>
          <w:szCs w:val="16"/>
          <w:color w:val="auto"/>
        </w:rPr>
      </w:pPr>
      <w:r>
        <w:rPr>
          <w:rFonts w:ascii="Arial" w:cs="Arial" w:eastAsia="Arial" w:hAnsi="Arial"/>
          <w:sz w:val="16"/>
          <w:szCs w:val="16"/>
          <w:color w:val="auto"/>
        </w:rPr>
        <w:t>Polystart™ nucleic acid-based expression system(s), and (3) TAP.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 (Co-linear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perspective, the Company notes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8"/>
          <w:szCs w:val="18"/>
          <w:i w:val="1"/>
          <w:iCs w:val="1"/>
          <w:color w:val="auto"/>
        </w:rPr>
        <w:t>i.e</w:t>
      </w:r>
      <w:r>
        <w:rPr>
          <w:rFonts w:ascii="Arial" w:cs="Arial" w:eastAsia="Arial" w:hAnsi="Arial"/>
          <w:sz w:val="18"/>
          <w:szCs w:val="18"/>
          <w:color w:val="auto"/>
        </w:rPr>
        <w:t>.,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HER2/neu+ Breast Cancer – Mayo Clinic</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June 1, 2010, we signed an exclusive licensing option agreement with the Mayo Clinic, Rochester MN for clinical development of a new HER2/neu breast cancer vaccine technology. An IND for Phase I human clinical trial on the HER2/neu cancer vaccine in collaboration with the Mayo Clinic was allowed by the FDA in July, 2011 and the Mayo IRB approved the trial on May 4, 2012. This trial is fully enrolled and closed, and patient dosing has been completed. All patients have received the Company’s vaccine composition, and </w:t>
      </w:r>
      <w:r>
        <w:rPr>
          <w:rFonts w:ascii="Arial" w:cs="Arial" w:eastAsia="Arial" w:hAnsi="Arial"/>
          <w:sz w:val="17"/>
          <w:szCs w:val="17"/>
          <w:u w:val="single" w:color="auto"/>
          <w:color w:val="auto"/>
        </w:rPr>
        <w:t>interim safety analysis</w:t>
      </w:r>
      <w:r>
        <w:rPr>
          <w:rFonts w:ascii="Arial" w:cs="Arial" w:eastAsia="Arial" w:hAnsi="Arial"/>
          <w:sz w:val="17"/>
          <w:szCs w:val="17"/>
          <w:color w:val="auto"/>
        </w:rPr>
        <w:t xml:space="preserve"> on the first six patients is complete and shown to be safe. In addition, each of the first six patients treated, developed specific T-cell immune responses to the antigens in the vaccine composition proving a solid case for advancement to Phase II in 2014. An additional secondary endpoint incorporated into this Phase I Trial will be a two year follow on recording time to disease recurrence in the participating breast cancer patients. The assessment of vaccine safety (primary endpoint) and evaluation of immunogenicity (secondary endpoint) for this trial are currently scheduled for completion at the end of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both"/>
        <w:spacing w:after="0" w:line="302" w:lineRule="auto"/>
        <w:rPr>
          <w:sz w:val="20"/>
          <w:szCs w:val="20"/>
          <w:color w:val="auto"/>
        </w:rPr>
      </w:pPr>
      <w:r>
        <w:rPr>
          <w:rFonts w:ascii="Arial" w:cs="Arial" w:eastAsia="Arial" w:hAnsi="Arial"/>
          <w:sz w:val="16"/>
          <w:szCs w:val="16"/>
          <w:color w:val="auto"/>
        </w:rPr>
        <w:t>As this Phase I Trial progresses, we plan to add a Class I peptide, licensed from the Mayo Clinic (April 16, 2012), to the four Class II peptides in the context of a Phase I(b)/II clinical trial. Management believes that the combination of Class I and Class II HER2/neu antigens, gives us the leading HER2/neu vaccine platform. Therefore a key goal in 2014 is to progress the HER2/neu vaccine into the above mentioned Phase 1(b)/II Clinical Trial. The cost of funding our current Phase I clinical program in HER2/neu breast cancer at the Mayo Clinic is approximately $850,000 and is paid off as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Clinic</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19, 2014, the Company announced the signing of an exclusive option agreement for a set of unique peptide epitopes targeting Folate Receptor Alpha in both breast cancer and ovarian cancer.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newly diagnosed every year.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23 patient Phase I clinical trial is currently underway. The trial is fully enrolled and closed, and Phase II advancement is expected and will be assessed in late 2014. The data is expected to be released prior to current fiscal year end.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serious adverse events have occurred to date and more information and immune response data will be made available over the course the trial. More information can be seen at: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http://clinicaltrials.gov/ct2/show/NCT01606241?term=folate+receptor+alpha&amp;rank=1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Polystart™™</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TapImmune is initiating the development of a nucleic acid-based expression system that can be aligned as a prime and boost strategy with our peptide-based vaccine compositions. The nucleic acid-based platform may also represent a second stand-alone vaccine technology. The nucleic acid–based technology is termed “Polystart™. The Company’s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our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The Company has filed a U.S. Provisional Patent Application around the Polystart™ technology.</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plan to develop or out-license our technologies for the creation of enhanced anti-viral vaccines, such as for smallpox and other viral diseases. In our smallpox collaboration, scientists at the Mayo Clinic have completed small animal studies in respect of a novel set of vaccinia virus peptide antigens,. Following vaccine optimization, the subsequent regulatory pathway for this product is to use the FDA’s “Animal Efficacy Rule” for completion of efficacy studies in primates followed by Phase I clinical studies on vaccine safety. We anticipate that we will complete these studies with a strategic partner involved in the Biodefense space.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progress our infectious disease programs with non-dilutive grant funding as well. In collaboration with the Vaccine Group at the Mayo Clinic we will continue development of our smallpox vaccine and to expand the use of our TAP platform to emerging pathogens that could be either pandemic or bioterrorist threats.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Strategic Relationships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Foundation for Medical Education and Research</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for Medical Education and Research, Rochester, MN, for the evaluation of HER2/neu peptide epitopes as antigens for a breast cancer vaccine. The agreement grants TapImmune an exclusive worldwide option to become the exclusive licensee of the technology after completion of Phase I clinical trials.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approval of the IND by the FDA in July, 2011, TapImmune and the Mayo Foundation executed a Sponsored Research Agreement for the clinical trial.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4, 2012, Mayo IRB approval was confirmed and patient dosing started in August 2012. Interim safety analysis on the first five patients was completed successfully allowing continuation of the trial.</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 Small animal studies have been completed with identification of several peptide antigens which could form the basis of a new vaccine for potential stockpiling. Completion of these studies has triggered the decision to convert the Option into a Licensing Agreement and licensing terms are currently being negotiated. The decision to progress into non-human primate studies will be made in Q4, 2014.</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16, 2012, we announced an Exclusive Agreement with the Mayo Foundation for Education &amp; Research, Rochester, MN, to License a proprietary MHC Class I HER2/neu antigen technology. This antigen was discovered in the laboratory of Dr. Keith Knutson at the Mayo Clinic. In contrast to Class I antigens in clinical testing this novel antigen is naturally produced in the intracellular proteasome and presented to T-cells as the MHC Class I peptide complex. Scientific details of this new work was presented by Andrea Henle of Dr. Knutson’s lab at the Annual Meeting of The American Association of Immunologists held in Boston, MA, May 2012 and by Mark Reddish, Head of Development at TapImmune at the Third Annual Cancer Vaccines and Active Immunity Summit, Boston, June 26, 2012. A peer-reviewed manuscript from the Knutson lab, which describes the science in detail, has been accepted for publication in Journal of Immunology.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Patents and Trademarks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believes that a number of companies, which are developing various types of similar immunotherapies and therapeutic cancer vaccines to treat cancer, could be our major competitors including: Lion Biotechnology, Advaxis, Dendreon Corp., Genzyme Molecular Oncology, Immune Design, Oncothyreon, Celldex, BN Immunotherapeutics, Immunocellular, Galena, Antigen Express,Transgene S.A., Bavarian Nordic, Kite and Juno.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that our platform technologies combine to make the most comprehensive vaccines in development today. The comprehensive approach of stimulating both the helper and killer T cell response to cancer antigens is essential in having an effective and long lasting killing effect on tumor and infected cells.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Restructure and Balance Sheet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the restructuring completed in our first quarter we have continued to clean up our balance sheet with further debt reduction and capital raising activities. In this reported quarter ended September 30, 2014, we reduced our stockholders’ deficiency and liabilities by approximately $3 million to $2.5 million and by $6.2 million to $2.5 million since year end. These actions taken in concert with fundraising activities provide a better platform for future funding and intended listing on NASDAQ or other major exchange. On Aug 14, 2014, we closed a $2 million registered direct offering pursuant to an effective S-3 registration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State of the Company</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While our stock has not performed in alignment with the exciting progression of the clinical programs, we anticipate that from the results of Phase I clinical studies and the formal entry into Phase II clinical trials will confirm to the market that our approach to stimulating the immune system is working and provides a clear rationale for advanced clinical efficacy trials. While many small cap biotechs have suffered a downturn, we believe we have been affected more than most and without good reason in this exciting time for immunotherapy as a whole. We believe we are positioned to be the leading T-Cell vaccine company with multiple clinical programs underway and advancement expected in two or more of them and the end of this year and early next year.</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investment community have supported and applauded the restructuring effort undertaken. With the support of the creditors and their agreement to convert debt to new equity we have a significantly stronger balance sheet. For the balance of 2014, we have ambitious plans to advance and deepen our pipeline as we expand operations and explore strategic business development opportunities. Following is a partial summary of the progress we made over the last nine months, as well as an overview of our objectives for 2014.</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2014, our HER2/neu clinical program continued with full recruitment of breast cancer patients, progression through initial safety checkpoint and demonstration of immune responses. We also saw a major advancement in technology development in our own laboratories with “proof of concept” that our new and novel expression vector technology (Polystart™) could provide a much greater signal for T-cells to kill abnormal cells and become a platform technology from which we can build out multiple applications and revenue streams. Additional data and information will be forthcoming as we attempt to further secure the intellectual property around this exciting technology advancement.</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3, 2014 the company announced positive interim data on the Phase I clinical trial in Her2/neu positive breast cancer. The TPIV vaccine candidates target a significant unmet market need. They are applicable to a much larger and broader patient population than current ‘standard of care’ therapies like Herceptin by Roche, which is useful for only 15-20% of the Her2/neu Breast Cancer patient population. Herceptin is not designed to kill tumor cells; it slows tumor growth. It is a very large market as evidenced by Herceptin’s 2013 sales exceeding $6 Billion. By contrast, our vaccine is applicable to over 50% of the Her2neu patient population AND is also not limited to breast cancer as Her2/neu is also target in Colorectal and Ovarian cancer where there are very few therapeutic options.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Her2/neu vaccine combination is unique in that it is designed to stimulate killer T Cells and the helper T Cells that are needed to sustain the killer cells for a long lasting vaccine that kills tumor cells. Published data also supports a five-fold increase in killing efficacy compared to the development vaccine Neuvax by Galena.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TPIV100 is completing Phase 1 with Phase lb/ll FDA applications scheduled in Q4 2014.</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March 19, 2014 we announced the licensing of a late stage phase l clinical program in ovarian cancer (Folate Alpha). We are very excited about the opportunity this therapeutic presents.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 alone, there are approximately 30,000 ovarian cancer patients newly diagnosed every year. Importantly, this patient population has very few treatment options and, as a result, our plan is to present a Phase</w:t>
      </w:r>
    </w:p>
    <w:p>
      <w:pPr>
        <w:spacing w:after="0" w:line="2" w:lineRule="exact"/>
        <w:rPr>
          <w:sz w:val="20"/>
          <w:szCs w:val="20"/>
          <w:color w:val="auto"/>
        </w:rPr>
      </w:pPr>
    </w:p>
    <w:p>
      <w:pPr>
        <w:ind w:firstLine="8"/>
        <w:spacing w:after="0" w:line="323" w:lineRule="auto"/>
        <w:tabs>
          <w:tab w:leader="none" w:pos="176" w:val="left"/>
        </w:tabs>
        <w:numPr>
          <w:ilvl w:val="0"/>
          <w:numId w:val="7"/>
        </w:numPr>
        <w:rPr>
          <w:rFonts w:ascii="Arial" w:cs="Arial" w:eastAsia="Arial" w:hAnsi="Arial"/>
          <w:sz w:val="16"/>
          <w:szCs w:val="16"/>
          <w:color w:val="auto"/>
        </w:rPr>
      </w:pPr>
      <w:r>
        <w:rPr>
          <w:rFonts w:ascii="Arial" w:cs="Arial" w:eastAsia="Arial" w:hAnsi="Arial"/>
          <w:sz w:val="16"/>
          <w:szCs w:val="16"/>
          <w:color w:val="auto"/>
        </w:rPr>
        <w:t>advancement plan in late 2014 with an application for Orphan Drug Status. Orphan drug status is allowed by the FDA in cases where the disease affects fewer than 200,000 people in the U.S. and makes allowances for an accelerated regulatory process and sales of the drug for 7 years without competition.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20, 2014, the Company announced the filing of new intellectual property for Polystart™. This is a unique vaccine platform Antigen Expression Systems that ‘boosts’ the presentation of the desired peptide on the surface of the cell for the Killer T Cells to recognize and kill. This totally novel system creates a four-fold increase in antigen presentation and in current studies in smallpox has shown to be effective. We own this technology exclusively and believe that it has unlimited application in oncology and infectious diseases not only in our own platforms but can be applied to many others via licensing. Ideal candidates include Provenge, Yervoy and many more.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Infectious Disease and National Preparedness is another very significant market and ideal therapeutic area for the TPIV vaccine conjugate. Along with novel peptides and the Polystart™ expression system, the TPIV vaccine platform can address multiple infectious disease s as well as pandemic and biodefense threats. Our current Smallpox vaccine study at Mayo Clinic has already shown significant benefits over the current vaccine stockpile. The last DHHS/BARDA contract for a smallpox vaccine stockpile contract was worth $3 Billion.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http://www.dddmag.com/news/2011/02/siga-track-billion-dollar-smallpox-contract</w:t>
      </w:r>
      <w:r>
        <w:rPr>
          <w:rFonts w:ascii="Arial" w:cs="Arial" w:eastAsia="Arial" w:hAnsi="Arial"/>
          <w:sz w:val="18"/>
          <w:szCs w:val="18"/>
          <w:color w:val="auto"/>
        </w:rPr>
        <w: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7, 2014, we announced that a new grant funded Phase I clinical study on the safety and Immunogenicity of folate receptor alpha peptide vaccine in patients with advanced stage epithelial ovarian cancer has started at the Mayo Clinic, Rochester, MN. The folate receptor alpha peptides being used in this study are the same ones that are being used in a current Phase I study in breast and ovarian cancer. Folate receptor alpha is over a 100 fold elevated in 90% of ovarian cancer cells and is thus an excellent target for immunotherapy.</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new trial the folate alpha receptor peptides are loaded on to the patients’ own dendritic cells. Dendritic cells (DCs) are often called 'nature's adjuvants' and thus have become an essential target in efforts to generate therapeutic immunity against cancer. Dendritic cell vaccination aims to induce tumour-specific effector T cells (eg, IL 17 secreting T Cells) that can reduce tumor mass specifically and induce immunological memory to control disease relapse. The trial has been funded by a grant to the Mayo Clinic and is currently recruiting patients. Details of this trial can be found at www.clinicaltrials.gov under clinical trial NCT02111941.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Upcoming 2014 milestones include:</w:t>
      </w:r>
    </w:p>
    <w:p>
      <w:pPr>
        <w:spacing w:after="0" w:line="252"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interim data in the Her2/neu trial.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Additional interim data on the Folate Alpha trial in breast and ovarian cancer.</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Final data on pre-clinical small animal studies in smallpox at Mayo Clinic and decision on advancement to non-human primates and license deal and partnering opportunities.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leverage considerable resources through our external collaborations. On June 12, 2014, our collaborator Dr. Keith Knutson agreed to take a position as the Chair of our Scientific Advisory Board. Dr. Knutson joined the Vaccine and Gene Therapy Research Institute of Florida in 2013 as Research Program Director in Oncology and a Full Member of the Institute. He retains an adjunct position at the Mayo Clinic that maintains oversight and analysis of the Phase I clinical trial in HER2/neu breast cancer.</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respect to the broader market, a major driver and positive influence on our activities has been the emergence and general acceptance of the potential of a new generation of immunotherapies that promise to change the standard of care for cancer highlighted by several billion dollar acquisitions and IPOs this year. 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Polystart™ and/or TAP expression systems.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technology and product pipeline side, management believes that the company is fundamentally strong and poised to be a leading company in a highly attractive, multi-billion dollar and expanding market, a position reinforced by our recruitment of top-class managers, advisors and investors who all share our vision.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2014 Compared to Three Months Ended September 30, 2013</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recorded a net loss of $1,568,000 during the three months ended September 30, 2014 compared to $966,000 for the three months ended September 30, 2013.</w:t>
      </w:r>
    </w:p>
    <w:p>
      <w:pPr>
        <w:spacing w:after="0" w:line="19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Operating costs increased to $1,384,000 during the three months ended September 30, 2014 compared to $290,000 in the prior period. Significant changes in operating expenses are outlined as follows:</w:t>
      </w:r>
    </w:p>
    <w:p>
      <w:pPr>
        <w:spacing w:after="0" w:line="1" w:lineRule="exact"/>
        <w:rPr>
          <w:sz w:val="20"/>
          <w:szCs w:val="20"/>
          <w:color w:val="auto"/>
        </w:rPr>
      </w:pPr>
    </w:p>
    <w:p>
      <w:pPr>
        <w:jc w:val="both"/>
        <w:ind w:left="660" w:hanging="328"/>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Consulting fees increased to $682,000 during the three months ended September 30, 2014 from $58,000 during the prior period, due primarily to increased business development activity during the current period. The non-cash portion of the consulting fees paid as stock-based compensation increased to $682,000 during the three months ended September 30, 2014 from $7,000 during the prior period. The higher current period expense is primarily due to increased stock-based payments to the consultants compared to the prior period.</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and administrative expenses increased to $323,000 in the three months ended September 30, 2014 from $70,000 in the prior period, with the increase primarily resulting from higher investor relations expense in the current period.</w:t>
      </w: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fees decreased to $41,000 during the three months ended September 30, 2014 from $62,000 during the prior period due to one less person in management in the current period. The non-cash portion of the management fees paid as stock-based compensation increased to $11,000 during the three months ended September 30, 2014 from $4,000 during the prior period. The current and prior period expense consists of the fair value of option grants earned during the period.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Professional fees increased to $305,000 during the three months ended September 30, 2014 from $70,000 during the prior period, due to higher legal fees incurred relating to restructuring of the Company and other legal matters in the current period.</w:t>
      </w:r>
    </w:p>
    <w:p>
      <w:pPr>
        <w:ind w:left="660" w:right="2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Research and development increased to $33,000 during the three months ended September 30, 2014 from $30,000 during the prior period. This was due to lower technology licensing fee and initiation of preclinical studies in the current period.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and finance charges decreased to $15,000 during the three months ended September 30, 2014 from $23,000 during the prior period. Current and prior period interest charges are primarily interest accruals on convertible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Compared to Nine months ended September 30, 2013</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recorded a net loss of $30,147,000 during the nine months ended September 30, 2014 compared to $2,057,000 for the nine months ended September 30, 2013.</w:t>
      </w:r>
    </w:p>
    <w:p>
      <w:pPr>
        <w:spacing w:after="0" w:line="19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Operating costs increased to $2,977,000 during the nine months ended September 30, 2014 compared to $1,454,000 in the prior period. Significant changes in operating expenses are outlined as follows:</w:t>
      </w:r>
    </w:p>
    <w:p>
      <w:pPr>
        <w:spacing w:after="0" w:line="1" w:lineRule="exact"/>
        <w:rPr>
          <w:sz w:val="20"/>
          <w:szCs w:val="20"/>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Consulting fees increased to $1,565,000 during the nine months ended September 30, 2014 from $208,000 during the prior period, due primarily to increase in cash payments for a new business development contract entered into in May 2012. The non-cash portion of the consulting fees paid as stock-based compensation increased to $1,254,000 during the nine months ended September 30, 2014 from $90,000 during the prior period. The higher current period expense is primarily due to increased stock-based payments to the consultants for increased business development activity compared to the prior period.</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administrative expenses increased to $626,000 in the nine months ended September 30, 2014 from $366,000 in the prior period, with the increase primarily resulting from higher investor relations expense in the current period.</w:t>
      </w: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fees decreased to $94,000 during the nine months ended September 30, 2014 from $207,000 during the prior period due to one less person in management in the current period. The non-cash portion of the management fees paid as stock-based compensation increased to $11,000 during the three months ended September 30, 2014 from $4,000 during the prior period. The current and prior period expense consists of the fair value of option grants earned during the period.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Professional fees increased to $614,000 during the nine months ended September 30, 2014 from $455,000 during the prior period, due to higher legal fees incurred relating to restructuring of the Company and other legal matters in the current period.</w:t>
      </w:r>
    </w:p>
    <w:p>
      <w:pPr>
        <w:ind w:left="660" w:right="2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development decreased to $78,000 during the nine months ended September 30, 2014 from $219,000 during the prior period. This was due to lower technology licensing fee and initiation of preclinical studies in the current period.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Interest and finance charges decreased to $83,000 during the nine months ended September 30, 2014 from $140,000 during the prior period. Current and prior period interest charges are primarily interest accruals on convertible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2014, we incurred a non-cash loss on settlement of debt in the amount of $26,838,000.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September 30, 2014 and December 31, 2013: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418"/>
        </w:trPr>
        <w:tc>
          <w:tcPr>
            <w:tcW w:w="8700" w:type="dxa"/>
            <w:vAlign w:val="bottom"/>
          </w:tcPr>
          <w:p>
            <w:pPr>
              <w:ind w:left="180"/>
              <w:spacing w:after="0"/>
              <w:rPr>
                <w:sz w:val="20"/>
                <w:szCs w:val="20"/>
                <w:color w:val="auto"/>
              </w:rPr>
            </w:pPr>
            <w:r>
              <w:rPr>
                <w:rFonts w:ascii="Arial" w:cs="Arial" w:eastAsia="Arial" w:hAnsi="Arial"/>
                <w:sz w:val="18"/>
                <w:szCs w:val="18"/>
                <w:color w:val="auto"/>
              </w:rPr>
              <w:t>Cash reserves</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613,645</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49,000</w:t>
            </w:r>
          </w:p>
        </w:tc>
      </w:tr>
      <w:tr>
        <w:trPr>
          <w:trHeight w:val="230"/>
        </w:trPr>
        <w:tc>
          <w:tcPr>
            <w:tcW w:w="8700" w:type="dxa"/>
            <w:vAlign w:val="bottom"/>
          </w:tcPr>
          <w:p>
            <w:pPr>
              <w:ind w:left="180"/>
              <w:spacing w:after="0"/>
              <w:rPr>
                <w:sz w:val="20"/>
                <w:szCs w:val="20"/>
                <w:color w:val="auto"/>
              </w:rPr>
            </w:pPr>
            <w:r>
              <w:rPr>
                <w:rFonts w:ascii="Arial" w:cs="Arial" w:eastAsia="Arial" w:hAnsi="Arial"/>
                <w:sz w:val="18"/>
                <w:szCs w:val="18"/>
                <w:color w:val="auto"/>
              </w:rPr>
              <w:t>Working capital (deficit)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(656,195)</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(8,768,003)</w:t>
            </w: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the availability of additional financing, we intend to spend approximately $7,500,000 over the next twelve months in carrying out our plan of operations. At September 30, 2014, we had $614,000 of cash on hand and a working capital deficit of $656,000. In August 2014, we raised approximately $1.92 million in private and brokered placements.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2013, the Company had a working capital deficiency of $8,768,000. In an effort to address this deficiency, management undertook the Reverse Stock Split with three goals in mind: (i) reduce the company’s debt by creating a capital structure that would be attractive enough to the then debt-holders of the company to entice them to convert into shares of the company; (ii) position the company so that upon a successful capital raise it could up-list on a NASDAQ market; (iii) create a capital structure, by increasing the authorized number of shares, which would allow the company to make acquisitions or raise additional capital or both.</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After the reverse stock split, debt settlement conversions and raising equity in 2014, there are approximately 19,604,000 shares outstanding, providing us with 480,396,000 authorized but unissued shares of common stock to proceed with additional capital raises through the sale of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Approximately $8,426,000 of debt and bridge debt has been converted into common shares.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the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during the nine months ended September 30, 2014 was $1,518,000 compared to $755,000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during the nine months ended September 30, 2014 was $Nil compared to $Nil during the prior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during the nine months ended September 30, 2014 was $2,083,000 compared to $726,000 during the prior period. Current period financing consisted of proceeds from Series B preferred shares, private placements and advances from related parties while prior period financing relates to proceeds from convertible notes and advances from related parties.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2014, we anticipate that we will need significant financing to enable us to meet our anticipated expenditures for the next twelve months, which are expected to be in the range of $7,500,000 assuming a single Phase 2 clinical trial.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 sources of revenue to provide incoming cash flows to sustain our future operations. As outlined above, our ability to pursue our planned business activities is dependent upon our successful efforts to raise additional financing. 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As at September 30, 2014, we had accumulated losses of $85,573,000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7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Chief Executive Officer and Chief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nine months ended September 30, 2014 that have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2012, we issued 112,000 shares of our common stock to two consultants. We contested the validity of the issuances of this common stock based on our belief that the consultants did not perform the services agreed to under their respective consulting agreements. While we initially were able to delay the sale of the contested shares, we were not successful in clawing back the contested shares. A claim for perceived damages from Michael Gardner (one of the consultants) suffered as a result of our contesting the issuance under the consulting agreements has been filed in the Supreme Court of New York. He has based his claim for damages on the difference between market price at the time we were able to delay the sale of his shares and the market price at the time of the sale of all of his shares. As the result of a judicial decision in New York he received a bond payment of ($100,000) that the Company had used to secure a temporary restraining order against the issuance of stock to him.</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filing of a claim from Tapimmune against Mr. Gardner an arbitrator at The International Center for Dispute Resolution International Arbitration Tribunal found that Mr. Gardner deceived Tapimmune, made numerous false representations, did not fully provide the services he was hired to perform and did not intend to perform them at the time he was hired. Any counterclaims by Mr. Gardner were denied in all respects. Mr. Gardner was ordered to pay Tapimmune $196,204 plus statutory interest in the amount of 9% per year until the award is paid in full. The Company has taken the steps to collect on the award.</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law firm that we initially used to pursue this action against the consultants had been awarded a judgment against us for $210,255 of legal fees. In the period ended September 30, 2014, we settled the judgement by issuing 200,000 of our then outstanding Series B Convertible Preferred Stock.</w:t>
      </w:r>
    </w:p>
    <w:p>
      <w:pPr>
        <w:spacing w:after="0" w:line="200" w:lineRule="exact"/>
        <w:rPr>
          <w:sz w:val="20"/>
          <w:szCs w:val="20"/>
          <w:color w:val="auto"/>
        </w:rPr>
      </w:pPr>
    </w:p>
    <w:p>
      <w:pPr>
        <w:spacing w:after="0" w:line="2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9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any unregistered equity securities that we have not previously reported in a current or periodic report filed with the US Securities and Exchange Commission.</w:t>
      </w:r>
    </w:p>
    <w:p>
      <w:pPr>
        <w:spacing w:after="0" w:line="200" w:lineRule="exact"/>
        <w:rPr>
          <w:sz w:val="20"/>
          <w:szCs w:val="20"/>
          <w:color w:val="auto"/>
        </w:rPr>
      </w:pPr>
    </w:p>
    <w:p>
      <w:pPr>
        <w:spacing w:after="0" w:line="23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Number</w:t>
      </w:r>
      <w:r>
        <w:rPr>
          <w:rFonts w:ascii="Arial" w:cs="Arial" w:eastAsia="Arial" w:hAnsi="Arial"/>
          <w:sz w:val="18"/>
          <w:szCs w:val="18"/>
          <w:b w:val="1"/>
          <w:bCs w:val="1"/>
          <w:color w:val="auto"/>
        </w:rPr>
        <w:t xml:space="preserve"> 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17145</wp:posOffset>
            </wp:positionV>
            <wp:extent cx="638873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20"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Certification of Principal Executive Officer and Acting Principal Accounting Officer Pursuant to Rule 13a-14(a) or 15d-14(a) of the</w:t>
      </w:r>
    </w:p>
    <w:p>
      <w:pPr>
        <w:spacing w:after="0" w:line="35" w:lineRule="exact"/>
        <w:rPr>
          <w:sz w:val="20"/>
          <w:szCs w:val="20"/>
          <w:color w:val="auto"/>
        </w:rPr>
      </w:pPr>
    </w:p>
    <w:p>
      <w:pPr>
        <w:ind w:left="500"/>
        <w:spacing w:after="0"/>
        <w:tabs>
          <w:tab w:leader="none" w:pos="13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Securities Exchange Act of 1933, as amended.</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Certification of Principal Executive Officer and Acting Principal Accounting Officer pursuant to 18 U.S.C. 1350 as adopted pursuant to</w:t>
      </w:r>
    </w:p>
    <w:p>
      <w:pPr>
        <w:spacing w:after="0" w:line="21" w:lineRule="exact"/>
        <w:rPr>
          <w:sz w:val="20"/>
          <w:szCs w:val="20"/>
          <w:color w:val="auto"/>
        </w:rPr>
      </w:pPr>
    </w:p>
    <w:p>
      <w:pPr>
        <w:ind w:left="500"/>
        <w:spacing w:after="0"/>
        <w:tabs>
          <w:tab w:leader="none" w:pos="13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of the Sarbanes-Oxley Act of 2002.</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Glynn Wilson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Chief Executive Officer, Principal Executive Officer and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November 19,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25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September 30, 2014 of TapImmune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Glynn Wilson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Chief Executive Officer, Principal Executive Officer and Acting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50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507365</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Glynn Wilson, the Principal Executive Officer and Acting Principal Accounting Officer of TapImmune Inc. (the “Company”) hereby certifies, pursuant to 18 U.S.C. Section 1350, as adopted pursuant to Section 906 of the Sarbanes-Oxley Act of 2002, that, to his or her knowledge, the Report on Form 10-Q of TapImmune Inc., for the quarterly period ended September 30, 2014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2014</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Glynn Wilson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Principal Executive Officer and Acting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3940175</wp:posOffset>
            </wp:positionV>
            <wp:extent cx="7250430" cy="450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11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S"/>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upperLetter"/>
      <w:start w:val="35"/>
    </w:lvl>
  </w:abstractNum>
  <w:abstractNum w:abstractNumId="7">
    <w:nsid w:val="12200854"/>
    <w:multiLevelType w:val="hybridMultilevel"/>
    <w:lvl w:ilvl="0">
      <w:lvlJc w:val="left"/>
      <w:lvlText w:val="·"/>
      <w:numFmt w:val="bullet"/>
      <w:start w:val="1"/>
    </w:lvl>
    <w:lvl w:ilvl="1">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2020-02-25T22:03:43Z</dcterms:created>
  <dcterms:modified xsi:type="dcterms:W3CDTF">2020-02-25T22:03:43Z</dcterms:modified>
</cp:coreProperties>
</file>