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SCHEDULE 14A INFORMATION</w:t>
      </w:r>
    </w:p>
    <w:p>
      <w:pPr>
        <w:spacing w:after="0" w:line="54"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35" w:lineRule="exact"/>
        <w:rPr>
          <w:sz w:val="24"/>
          <w:szCs w:val="24"/>
          <w:color w:val="auto"/>
        </w:rPr>
      </w:pPr>
    </w:p>
    <w:p>
      <w:pPr>
        <w:ind w:left="4580"/>
        <w:spacing w:after="0"/>
        <w:tabs>
          <w:tab w:leader="none" w:pos="6060" w:val="left"/>
        </w:tabs>
        <w:rPr>
          <w:sz w:val="20"/>
          <w:szCs w:val="20"/>
          <w:color w:val="auto"/>
        </w:rPr>
      </w:pPr>
      <w:r>
        <w:rPr>
          <w:rFonts w:ascii="Arial" w:cs="Arial" w:eastAsia="Arial" w:hAnsi="Arial"/>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p>
      <w:pPr>
        <w:spacing w:after="0" w:line="211"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2">
            <w:col w:w="4380" w:space="340"/>
            <w:col w:w="5159"/>
          </w:cols>
          <w:pgMar w:left="580" w:top="239" w:right="1440" w:bottom="1440" w:gutter="0" w:footer="0" w:header="0"/>
          <w:type w:val="continuous"/>
        </w:sectPr>
      </w:pPr>
    </w:p>
    <w:p>
      <w:pPr>
        <w:spacing w:after="0" w:line="22"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879"/>
          </w:cols>
          <w:pgMar w:left="580" w:top="239" w:right="1440" w:bottom="1440" w:gutter="0" w:footer="0" w:header="0"/>
          <w:type w:val="continuous"/>
        </w:sectPr>
      </w:pPr>
    </w:p>
    <w:p>
      <w:pPr>
        <w:spacing w:after="0" w:line="248"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1260" w:right="1779"/>
        <w:spacing w:after="0" w:line="216" w:lineRule="exact"/>
        <w:tabs>
          <w:tab w:leader="none" w:pos="19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186055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1260" w:right="2219"/>
        <w:spacing w:after="0" w:line="517" w:lineRule="auto"/>
        <w:tabs>
          <w:tab w:leader="none" w:pos="19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-31115</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67" w:lineRule="exact"/>
        <w:rPr>
          <w:sz w:val="24"/>
          <w:szCs w:val="24"/>
          <w:color w:val="auto"/>
        </w:rPr>
      </w:pPr>
    </w:p>
    <w:p>
      <w:pPr>
        <w:ind w:left="1260" w:right="419"/>
        <w:spacing w:after="0" w:line="277" w:lineRule="auto"/>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151765</wp:posOffset>
            </wp:positionV>
            <wp:extent cx="5212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186055</wp:posOffset>
            </wp:positionV>
            <wp:extent cx="5212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186055</wp:posOffset>
            </wp:positionV>
            <wp:extent cx="5212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1940" w:hanging="680"/>
        <w:spacing w:after="0"/>
        <w:tabs>
          <w:tab w:leader="none" w:pos="19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jc w:val="both"/>
        <w:ind w:left="1940" w:right="419" w:hanging="680"/>
        <w:spacing w:after="0" w:line="254" w:lineRule="auto"/>
        <w:tabs>
          <w:tab w:leader="none" w:pos="19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186055</wp:posOffset>
            </wp:positionV>
            <wp:extent cx="5212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186055</wp:posOffset>
            </wp:positionV>
            <wp:extent cx="5212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186055</wp:posOffset>
            </wp:positionV>
            <wp:extent cx="5212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186055</wp:posOffset>
            </wp:positionV>
            <wp:extent cx="5212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430530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494665</wp:posOffset>
            </wp:positionV>
            <wp:extent cx="2571750"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3200 Southwest Freeway, Suite 2500</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Houston, Texas 77027</w:t>
      </w:r>
    </w:p>
    <w:p>
      <w:pPr>
        <w:spacing w:after="0" w:line="19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To Be Held On June 8, 2021</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You are cordially invited to attend the Annual Meeting of Stockholders of </w:t>
      </w:r>
      <w:r>
        <w:rPr>
          <w:rFonts w:ascii="Arial" w:cs="Arial" w:eastAsia="Arial" w:hAnsi="Arial"/>
          <w:sz w:val="18"/>
          <w:szCs w:val="18"/>
          <w:b w:val="1"/>
          <w:bCs w:val="1"/>
          <w:color w:val="auto"/>
        </w:rPr>
        <w:t>M</w:t>
      </w:r>
      <w:r>
        <w:rPr>
          <w:rFonts w:ascii="Arial" w:cs="Arial" w:eastAsia="Arial" w:hAnsi="Arial"/>
          <w:sz w:val="12"/>
          <w:szCs w:val="12"/>
          <w:b w:val="1"/>
          <w:bCs w:val="1"/>
          <w:color w:val="auto"/>
        </w:rPr>
        <w:t>ARKER</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p>
    <w:p>
      <w:pPr>
        <w:spacing w:after="0" w:line="27"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 xml:space="preserve">Delaware corporation (the “Company”). The meeting will be held on Tuesday, June 8, 2021 at 8:00 a.m. Central Time and will be a virtual stockholder meeting through which you can listen to the meeting, submit questions and vote online. You must register for the virtual meeting via </w:t>
      </w:r>
      <w:r>
        <w:rPr>
          <w:rFonts w:ascii="Arial" w:cs="Arial" w:eastAsia="Arial" w:hAnsi="Arial"/>
          <w:sz w:val="18"/>
          <w:szCs w:val="18"/>
          <w:i w:val="1"/>
          <w:iCs w:val="1"/>
          <w:color w:val="auto"/>
        </w:rPr>
        <w:t xml:space="preserve">http://viewproxy.com/markertherapeutics/2021/htype.asp </w:t>
      </w:r>
      <w:r>
        <w:rPr>
          <w:rFonts w:ascii="Arial" w:cs="Arial" w:eastAsia="Arial" w:hAnsi="Arial"/>
          <w:sz w:val="18"/>
          <w:szCs w:val="18"/>
          <w:color w:val="auto"/>
        </w:rPr>
        <w:t>no later than 11:59 p.m. Eastern Time on</w:t>
      </w:r>
      <w:r>
        <w:rPr>
          <w:rFonts w:ascii="Arial" w:cs="Arial" w:eastAsia="Arial" w:hAnsi="Arial"/>
          <w:sz w:val="18"/>
          <w:szCs w:val="18"/>
          <w:i w:val="1"/>
          <w:iCs w:val="1"/>
          <w:color w:val="auto"/>
        </w:rPr>
        <w:t xml:space="preserve"> </w:t>
      </w:r>
      <w:r>
        <w:rPr>
          <w:rFonts w:ascii="Arial" w:cs="Arial" w:eastAsia="Arial" w:hAnsi="Arial"/>
          <w:sz w:val="18"/>
          <w:szCs w:val="18"/>
          <w:color w:val="auto"/>
        </w:rPr>
        <w:t>Thursday, June 3,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meeting will be held for the following purposes:</w:t>
      </w:r>
    </w:p>
    <w:p>
      <w:pPr>
        <w:spacing w:after="0" w:line="107" w:lineRule="exact"/>
        <w:rPr>
          <w:sz w:val="20"/>
          <w:szCs w:val="20"/>
          <w:color w:val="auto"/>
        </w:rPr>
      </w:pPr>
    </w:p>
    <w:p>
      <w:pPr>
        <w:ind w:left="1980" w:right="41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Board’s seven nominees for director to hold office until the next Annual Meeting of Stockholders.</w:t>
      </w:r>
    </w:p>
    <w:p>
      <w:pPr>
        <w:spacing w:after="0" w:line="102" w:lineRule="exact"/>
        <w:rPr>
          <w:rFonts w:ascii="Arial" w:cs="Arial" w:eastAsia="Arial" w:hAnsi="Arial"/>
          <w:sz w:val="18"/>
          <w:szCs w:val="18"/>
          <w:color w:val="auto"/>
        </w:rPr>
      </w:pPr>
    </w:p>
    <w:p>
      <w:pPr>
        <w:ind w:left="1980" w:right="41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 as disclosed in this proxy statement.</w:t>
      </w:r>
    </w:p>
    <w:p>
      <w:pPr>
        <w:spacing w:after="0" w:line="89" w:lineRule="exact"/>
        <w:rPr>
          <w:rFonts w:ascii="Arial" w:cs="Arial" w:eastAsia="Arial" w:hAnsi="Arial"/>
          <w:sz w:val="18"/>
          <w:szCs w:val="18"/>
          <w:color w:val="auto"/>
        </w:rPr>
      </w:pPr>
    </w:p>
    <w:p>
      <w:pPr>
        <w:jc w:val="both"/>
        <w:ind w:left="1980" w:right="419" w:hanging="360"/>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Marcum LLP as the independent registered public accounting firm of the Company for its fiscal year ending December 31, 2021.</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15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The record date for the Annual Meeting is April 12, 2021.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1251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251585"/>
                    </a:xfrm>
                    <a:prstGeom prst="rect">
                      <a:avLst/>
                    </a:prstGeom>
                    <a:noFill/>
                  </pic:spPr>
                </pic:pic>
              </a:graphicData>
            </a:graphic>
          </wp:anchor>
        </w:drawing>
      </w:r>
    </w:p>
    <w:p>
      <w:pPr>
        <w:spacing w:after="0" w:line="22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Virtual Annual Meeting of Stockholders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Tuesday, June 8, 2021 at 8:00 a.m. Central Time.</w:t>
      </w:r>
    </w:p>
    <w:p>
      <w:pPr>
        <w:spacing w:after="0" w:line="9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Register for the virtual Annual Meeting</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 xml:space="preserve">via </w:t>
      </w:r>
      <w:r>
        <w:rPr>
          <w:rFonts w:ascii="Arial" w:cs="Arial" w:eastAsia="Arial" w:hAnsi="Arial"/>
          <w:sz w:val="18"/>
          <w:szCs w:val="18"/>
          <w:b w:val="1"/>
          <w:bCs w:val="1"/>
          <w:i w:val="1"/>
          <w:iCs w:val="1"/>
          <w:color w:val="auto"/>
        </w:rPr>
        <w:t>http://viewproxy.com/markertherapeutics/2021/htype.asp</w:t>
      </w:r>
      <w:r>
        <w:rPr>
          <w:rFonts w:ascii="Arial" w:cs="Arial" w:eastAsia="Arial" w:hAnsi="Arial"/>
          <w:sz w:val="18"/>
          <w:szCs w:val="18"/>
          <w:b w:val="1"/>
          <w:bCs w:val="1"/>
          <w:color w:val="auto"/>
        </w:rPr>
        <w:t>.</w:t>
      </w:r>
    </w:p>
    <w:p>
      <w:pPr>
        <w:spacing w:after="0" w:line="10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The proxy statement and annual report to stockholders</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 xml:space="preserve">are available at </w:t>
      </w:r>
      <w:r>
        <w:rPr>
          <w:rFonts w:ascii="Arial" w:cs="Arial" w:eastAsia="Arial" w:hAnsi="Arial"/>
          <w:sz w:val="18"/>
          <w:szCs w:val="18"/>
          <w:i w:val="1"/>
          <w:iCs w:val="1"/>
          <w:color w:val="auto"/>
        </w:rPr>
        <w:t>http://www.viewproxy.com/markertherapeutics/2021.</w:t>
      </w:r>
    </w:p>
    <w:p>
      <w:pPr>
        <w:spacing w:after="0" w:line="25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814070"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40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J. Loiacono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Secretary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TX</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583565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251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1400" w:right="559"/>
        <w:spacing w:after="0" w:line="291" w:lineRule="auto"/>
        <w:rPr>
          <w:sz w:val="20"/>
          <w:szCs w:val="20"/>
          <w:color w:val="auto"/>
        </w:rPr>
      </w:pPr>
      <w:r>
        <w:rPr>
          <w:rFonts w:ascii="Arial" w:cs="Arial" w:eastAsia="Arial" w:hAnsi="Arial"/>
          <w:sz w:val="16"/>
          <w:szCs w:val="16"/>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6932295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4"/>
          </w:tcPr>
          <w:p>
            <w:pPr>
              <w:ind w:left="10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700" w:type="dxa"/>
            <w:vAlign w:val="bottom"/>
            <w:gridSpan w:val="11"/>
            <w:shd w:val="clear" w:color="auto" w:fill="CCEEFF"/>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QUESTIONS AND ANSWERS ABOUT THESE PROXY MATERIALS AND VOTING</w:t>
              </w:r>
            </w:hyperlink>
          </w:p>
        </w:tc>
        <w:tc>
          <w:tcPr>
            <w:tcW w:w="1100" w:type="dxa"/>
            <w:vAlign w:val="bottom"/>
            <w:gridSpan w:val="4"/>
            <w:shd w:val="clear" w:color="auto" w:fill="CCEEFF"/>
          </w:tcPr>
          <w:p>
            <w:pPr>
              <w:spacing w:after="0"/>
              <w:rPr>
                <w:sz w:val="19"/>
                <w:szCs w:val="19"/>
                <w:color w:val="auto"/>
              </w:rPr>
            </w:pPr>
          </w:p>
        </w:tc>
        <w:tc>
          <w:tcPr>
            <w:tcW w:w="38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shd w:val="clear" w:color="auto" w:fill="CCEEFF"/>
          </w:tcPr>
          <w:p>
            <w:pPr>
              <w:spacing w:after="0"/>
              <w:rPr>
                <w:sz w:val="19"/>
                <w:szCs w:val="19"/>
                <w:color w:val="auto"/>
              </w:rPr>
            </w:pPr>
          </w:p>
        </w:tc>
      </w:tr>
      <w:tr>
        <w:trPr>
          <w:trHeight w:val="20"/>
        </w:trPr>
        <w:tc>
          <w:tcPr>
            <w:tcW w:w="1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670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1 ELECTION OF DIRECTORS</w:t>
              </w:r>
            </w:hyperlink>
          </w:p>
        </w:tc>
        <w:tc>
          <w:tcPr>
            <w:tcW w:w="1100" w:type="dxa"/>
            <w:vAlign w:val="bottom"/>
            <w:gridSpan w:val="4"/>
          </w:tcPr>
          <w:p>
            <w:pPr>
              <w:spacing w:after="0"/>
              <w:rPr>
                <w:sz w:val="21"/>
                <w:szCs w:val="21"/>
                <w:color w:val="auto"/>
              </w:rPr>
            </w:pPr>
          </w:p>
        </w:tc>
        <w:tc>
          <w:tcPr>
            <w:tcW w:w="380" w:type="dxa"/>
            <w:vAlign w:val="bottom"/>
            <w:gridSpan w:val="3"/>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20" w:type="dxa"/>
            <w:vAlign w:val="bottom"/>
          </w:tcPr>
          <w:p>
            <w:pPr>
              <w:spacing w:after="0"/>
              <w:rPr>
                <w:sz w:val="21"/>
                <w:szCs w:val="21"/>
                <w:color w:val="auto"/>
              </w:rPr>
            </w:pPr>
          </w:p>
        </w:tc>
      </w:tr>
      <w:tr>
        <w:trPr>
          <w:trHeight w:val="21"/>
        </w:trPr>
        <w:tc>
          <w:tcPr>
            <w:tcW w:w="1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00" w:type="dxa"/>
            <w:vAlign w:val="bottom"/>
            <w:gridSpan w:val="15"/>
            <w:shd w:val="clear" w:color="auto" w:fill="CCEEFF"/>
          </w:tcPr>
          <w:p>
            <w:pPr>
              <w:spacing w:after="0"/>
              <w:rPr>
                <w:rFonts w:ascii="Arial" w:cs="Arial" w:eastAsia="Arial" w:hAnsi="Arial"/>
                <w:sz w:val="18"/>
                <w:szCs w:val="18"/>
                <w:color w:val="0000EE"/>
                <w:w w:val="98"/>
                <w:shd w:val="clear" w:color="auto" w:fill="CCEEFF"/>
              </w:rPr>
            </w:pPr>
            <w:hyperlink w:anchor="page12">
              <w:r>
                <w:rPr>
                  <w:rFonts w:ascii="Arial" w:cs="Arial" w:eastAsia="Arial" w:hAnsi="Arial"/>
                  <w:sz w:val="18"/>
                  <w:szCs w:val="18"/>
                  <w:color w:val="0000EE"/>
                  <w:w w:val="98"/>
                  <w:shd w:val="clear" w:color="auto" w:fill="CCEEFF"/>
                </w:rPr>
                <w:t>INFORMATION REGARDING THE BOARD OF DIRECTORS AND CORPORATE GOVERNANCE</w:t>
              </w:r>
            </w:hyperlink>
          </w:p>
        </w:tc>
        <w:tc>
          <w:tcPr>
            <w:tcW w:w="380" w:type="dxa"/>
            <w:vAlign w:val="bottom"/>
            <w:gridSpan w:val="3"/>
            <w:shd w:val="clear" w:color="auto" w:fill="CCEEFF"/>
          </w:tcPr>
          <w:p>
            <w:pPr>
              <w:jc w:val="right"/>
              <w:ind w:right="20"/>
              <w:spacing w:after="0"/>
              <w:rPr>
                <w:rFonts w:ascii="Arial" w:cs="Arial" w:eastAsia="Arial" w:hAnsi="Arial"/>
                <w:sz w:val="18"/>
                <w:szCs w:val="18"/>
                <w:color w:val="0000EE"/>
                <w:shd w:val="clear" w:color="auto" w:fill="CCEEFF"/>
              </w:rPr>
            </w:pPr>
            <w:hyperlink w:anchor="page12">
              <w:r>
                <w:rPr>
                  <w:rFonts w:ascii="Arial" w:cs="Arial" w:eastAsia="Arial" w:hAnsi="Arial"/>
                  <w:sz w:val="18"/>
                  <w:szCs w:val="18"/>
                  <w:color w:val="0000EE"/>
                  <w:shd w:val="clear" w:color="auto" w:fill="CCEEFF"/>
                </w:rPr>
                <w:t>9</w:t>
              </w:r>
            </w:hyperlink>
          </w:p>
        </w:tc>
        <w:tc>
          <w:tcPr>
            <w:tcW w:w="20" w:type="dxa"/>
            <w:vAlign w:val="bottom"/>
            <w:shd w:val="clear" w:color="auto" w:fill="CCEEFF"/>
          </w:tcPr>
          <w:p>
            <w:pPr>
              <w:spacing w:after="0"/>
              <w:rPr>
                <w:sz w:val="19"/>
                <w:szCs w:val="19"/>
                <w:color w:val="auto"/>
              </w:rPr>
            </w:pPr>
          </w:p>
        </w:tc>
      </w:tr>
      <w:tr>
        <w:trPr>
          <w:trHeight w:val="34"/>
        </w:trPr>
        <w:tc>
          <w:tcPr>
            <w:tcW w:w="15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8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0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PROPOSAL 2 ADVISORY VOTE ON EXECUTIVE COMPENSATION</w:t>
              </w:r>
            </w:hyperlink>
          </w:p>
        </w:tc>
        <w:tc>
          <w:tcPr>
            <w:tcW w:w="380" w:type="dxa"/>
            <w:vAlign w:val="bottom"/>
            <w:gridSpan w:val="3"/>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20" w:type="dxa"/>
            <w:vAlign w:val="bottom"/>
          </w:tcPr>
          <w:p>
            <w:pPr>
              <w:spacing w:after="0"/>
              <w:rPr>
                <w:sz w:val="21"/>
                <w:szCs w:val="21"/>
                <w:color w:val="auto"/>
              </w:rPr>
            </w:pPr>
          </w:p>
        </w:tc>
      </w:tr>
      <w:tr>
        <w:trPr>
          <w:trHeight w:val="21"/>
        </w:trPr>
        <w:tc>
          <w:tcPr>
            <w:tcW w:w="1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00" w:type="dxa"/>
            <w:vAlign w:val="bottom"/>
            <w:gridSpan w:val="15"/>
            <w:shd w:val="clear" w:color="auto" w:fill="CCEEFF"/>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PROPOSAL 3 RATIFICATION OF SELECTION OF INDEPENDENT REGISTERED PUBLIC</w:t>
              </w:r>
            </w:hyperlink>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726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ACCOUNTING FIRM</w:t>
              </w:r>
            </w:hyperlink>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34"/>
        </w:trPr>
        <w:tc>
          <w:tcPr>
            <w:tcW w:w="15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43"/>
        </w:trPr>
        <w:tc>
          <w:tcPr>
            <w:tcW w:w="780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EXECUTIVE OFFICERS</w:t>
              </w:r>
            </w:hyperlink>
          </w:p>
        </w:tc>
        <w:tc>
          <w:tcPr>
            <w:tcW w:w="380" w:type="dxa"/>
            <w:vAlign w:val="bottom"/>
            <w:gridSpan w:val="3"/>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20" w:type="dxa"/>
            <w:vAlign w:val="bottom"/>
          </w:tcPr>
          <w:p>
            <w:pPr>
              <w:spacing w:after="0"/>
              <w:rPr>
                <w:sz w:val="21"/>
                <w:szCs w:val="21"/>
                <w:color w:val="auto"/>
              </w:rPr>
            </w:pPr>
          </w:p>
        </w:tc>
      </w:tr>
      <w:tr>
        <w:trPr>
          <w:trHeight w:val="20"/>
        </w:trPr>
        <w:tc>
          <w:tcPr>
            <w:tcW w:w="1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96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SECURITY OWNERSHIP OF CERTAIN BENEFICIAL OWNERS AND MANAGEMENT</w:t>
              </w:r>
            </w:hyperlink>
          </w:p>
        </w:tc>
        <w:tc>
          <w:tcPr>
            <w:tcW w:w="840" w:type="dxa"/>
            <w:vAlign w:val="bottom"/>
            <w:tcBorders>
              <w:bottom w:val="single" w:sz="8" w:color="CCEEFF"/>
            </w:tcBorders>
            <w:gridSpan w:val="3"/>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DELINQUENT SECTION 16(A) REPORTS</w:t>
              </w:r>
            </w:hyperlink>
          </w:p>
        </w:tc>
        <w:tc>
          <w:tcPr>
            <w:tcW w:w="380" w:type="dxa"/>
            <w:vAlign w:val="bottom"/>
            <w:gridSpan w:val="3"/>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20" w:type="dxa"/>
            <w:vAlign w:val="bottom"/>
          </w:tcPr>
          <w:p>
            <w:pPr>
              <w:spacing w:after="0"/>
              <w:rPr>
                <w:sz w:val="21"/>
                <w:szCs w:val="21"/>
                <w:color w:val="auto"/>
              </w:rPr>
            </w:pPr>
          </w:p>
        </w:tc>
      </w:tr>
      <w:tr>
        <w:trPr>
          <w:trHeight w:val="21"/>
        </w:trPr>
        <w:tc>
          <w:tcPr>
            <w:tcW w:w="1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5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EXECUTIVE COMPENSATION</w:t>
              </w:r>
            </w:hyperlink>
          </w:p>
        </w:tc>
        <w:tc>
          <w:tcPr>
            <w:tcW w:w="5280" w:type="dxa"/>
            <w:vAlign w:val="bottom"/>
            <w:tcBorders>
              <w:bottom w:val="single" w:sz="8" w:color="CCEEFF"/>
            </w:tcBorders>
            <w:gridSpan w:val="10"/>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DIRECTOR COMPENSATION</w:t>
              </w:r>
            </w:hyperlink>
          </w:p>
        </w:tc>
        <w:tc>
          <w:tcPr>
            <w:tcW w:w="380" w:type="dxa"/>
            <w:vAlign w:val="bottom"/>
            <w:gridSpan w:val="3"/>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20" w:type="dxa"/>
            <w:vAlign w:val="bottom"/>
          </w:tcPr>
          <w:p>
            <w:pPr>
              <w:spacing w:after="0"/>
              <w:rPr>
                <w:sz w:val="21"/>
                <w:szCs w:val="21"/>
                <w:color w:val="auto"/>
              </w:rPr>
            </w:pPr>
          </w:p>
        </w:tc>
      </w:tr>
      <w:tr>
        <w:trPr>
          <w:trHeight w:val="20"/>
        </w:trPr>
        <w:tc>
          <w:tcPr>
            <w:tcW w:w="1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SECURITIES AUTHORIZED FOR ISSUANCE UNDER EQUITY COMPENSATION PLANS</w:t>
              </w:r>
            </w:hyperlink>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780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TRANSACTIONS WITH RELATED PERSONS AND INDEMNIFICATION</w:t>
              </w:r>
            </w:hyperlink>
          </w:p>
        </w:tc>
        <w:tc>
          <w:tcPr>
            <w:tcW w:w="380" w:type="dxa"/>
            <w:vAlign w:val="bottom"/>
            <w:gridSpan w:val="3"/>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20" w:type="dxa"/>
            <w:vAlign w:val="bottom"/>
          </w:tcPr>
          <w:p>
            <w:pPr>
              <w:spacing w:after="0"/>
              <w:rPr>
                <w:sz w:val="21"/>
                <w:szCs w:val="21"/>
                <w:color w:val="auto"/>
              </w:rPr>
            </w:pPr>
          </w:p>
        </w:tc>
      </w:tr>
      <w:tr>
        <w:trPr>
          <w:trHeight w:val="21"/>
        </w:trPr>
        <w:tc>
          <w:tcPr>
            <w:tcW w:w="1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5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HOUSEHOLDING OF PROXY MATERIALS</w:t>
              </w:r>
            </w:hyperlink>
          </w:p>
        </w:tc>
        <w:tc>
          <w:tcPr>
            <w:tcW w:w="4280" w:type="dxa"/>
            <w:vAlign w:val="bottom"/>
            <w:tcBorders>
              <w:bottom w:val="single" w:sz="8" w:color="CCEEFF"/>
            </w:tcBorders>
            <w:gridSpan w:val="7"/>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0000EE"/>
            </w:tcBorders>
            <w:gridSpan w:val="2"/>
            <w:shd w:val="clear" w:color="auto" w:fill="CCEEFF"/>
          </w:tcPr>
          <w:p>
            <w:pPr>
              <w:jc w:val="right"/>
              <w:ind w:right="2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1520" w:type="dxa"/>
            <w:vAlign w:val="bottom"/>
            <w:tcBorders>
              <w:bottom w:val="single" w:sz="8" w:color="0000EE"/>
            </w:tcBorders>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OTHER MATTERS</w:t>
              </w:r>
            </w:hyperlink>
          </w:p>
        </w:tc>
        <w:tc>
          <w:tcPr>
            <w:tcW w:w="6280" w:type="dxa"/>
            <w:vAlign w:val="bottom"/>
            <w:gridSpan w:val="14"/>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0000EE"/>
            </w:tcBorders>
            <w:gridSpan w:val="2"/>
          </w:tcPr>
          <w:p>
            <w:pPr>
              <w:jc w:val="right"/>
              <w:ind w:right="2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36</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MARKER THERAPEUTICS, INC.</w:t>
      </w:r>
    </w:p>
    <w:p>
      <w:pPr>
        <w:jc w:val="center"/>
        <w:ind w:right="-800"/>
        <w:spacing w:after="0" w:line="221" w:lineRule="auto"/>
        <w:rPr>
          <w:sz w:val="20"/>
          <w:szCs w:val="20"/>
          <w:color w:val="auto"/>
        </w:rPr>
      </w:pPr>
      <w:r>
        <w:rPr>
          <w:rFonts w:ascii="Arial" w:cs="Arial" w:eastAsia="Arial" w:hAnsi="Arial"/>
          <w:sz w:val="18"/>
          <w:szCs w:val="18"/>
          <w:b w:val="1"/>
          <w:bCs w:val="1"/>
          <w:color w:val="auto"/>
        </w:rPr>
        <w:t>3200 Southwest Freeway, Suite 2500</w:t>
      </w:r>
    </w:p>
    <w:p>
      <w:pPr>
        <w:jc w:val="center"/>
        <w:ind w:right="-840"/>
        <w:spacing w:after="0"/>
        <w:rPr>
          <w:sz w:val="20"/>
          <w:szCs w:val="20"/>
          <w:color w:val="auto"/>
        </w:rPr>
      </w:pPr>
      <w:r>
        <w:rPr>
          <w:rFonts w:ascii="Arial" w:cs="Arial" w:eastAsia="Arial" w:hAnsi="Arial"/>
          <w:sz w:val="18"/>
          <w:szCs w:val="18"/>
          <w:b w:val="1"/>
          <w:bCs w:val="1"/>
          <w:color w:val="auto"/>
        </w:rPr>
        <w:t>Houston, Texas 77027</w:t>
      </w:r>
    </w:p>
    <w:p>
      <w:pPr>
        <w:spacing w:after="0" w:line="17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w:t>
      </w:r>
    </w:p>
    <w:p>
      <w:pPr>
        <w:spacing w:after="0" w:line="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June 8, 2021</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am I receiving these materials?</w:t>
      </w:r>
    </w:p>
    <w:p>
      <w:pPr>
        <w:spacing w:after="0" w:line="135" w:lineRule="exact"/>
        <w:rPr>
          <w:sz w:val="20"/>
          <w:szCs w:val="20"/>
          <w:color w:val="auto"/>
        </w:rPr>
      </w:pPr>
    </w:p>
    <w:p>
      <w:pPr>
        <w:jc w:val="both"/>
        <w:ind w:left="1260" w:right="419"/>
        <w:spacing w:after="0" w:line="225" w:lineRule="auto"/>
        <w:rPr>
          <w:sz w:val="20"/>
          <w:szCs w:val="20"/>
          <w:color w:val="auto"/>
        </w:rPr>
      </w:pPr>
      <w:r>
        <w:rPr>
          <w:rFonts w:ascii="Arial" w:cs="Arial" w:eastAsia="Arial" w:hAnsi="Arial"/>
          <w:sz w:val="18"/>
          <w:szCs w:val="18"/>
          <w:color w:val="auto"/>
        </w:rPr>
        <w:t>We have sent you these proxy materials because the Board of Directors of Marker Therapeutics, Inc. (sometimes referred to as the “Company” or “Marker”) is soliciting your proxy to vote at the 2021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13"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8"/>
          <w:szCs w:val="18"/>
          <w:color w:val="auto"/>
        </w:rPr>
        <w:t>We intend to mail these proxy materials on or about April 23, 2021 to all stockholders of record entitled to vote at the Annual Meeting.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attend the Annual Meeting?</w:t>
      </w:r>
    </w:p>
    <w:p>
      <w:pPr>
        <w:spacing w:after="0" w:line="148"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7"/>
          <w:szCs w:val="17"/>
          <w:color w:val="auto"/>
        </w:rPr>
        <w:t xml:space="preserve">The Annual Meeting will be a virtual stockholder meeting through which you can listen to the meeting, submit questions and vote online. In order to attend the Annual Meeting, you must first register at </w:t>
      </w:r>
      <w:r>
        <w:rPr>
          <w:rFonts w:ascii="Arial" w:cs="Arial" w:eastAsia="Arial" w:hAnsi="Arial"/>
          <w:sz w:val="17"/>
          <w:szCs w:val="17"/>
          <w:i w:val="1"/>
          <w:iCs w:val="1"/>
          <w:color w:val="auto"/>
        </w:rPr>
        <w:t xml:space="preserve">http://viewproxy.com/markertherapeutics/2021/htype.asp </w:t>
      </w:r>
      <w:r>
        <w:rPr>
          <w:rFonts w:ascii="Arial" w:cs="Arial" w:eastAsia="Arial" w:hAnsi="Arial"/>
          <w:sz w:val="17"/>
          <w:szCs w:val="17"/>
          <w:color w:val="auto"/>
        </w:rPr>
        <w:t>by 11:59 p.m. Eastern Time on Thursday, June 3,</w:t>
      </w:r>
      <w:r>
        <w:rPr>
          <w:rFonts w:ascii="Arial" w:cs="Arial" w:eastAsia="Arial" w:hAnsi="Arial"/>
          <w:sz w:val="17"/>
          <w:szCs w:val="17"/>
          <w:i w:val="1"/>
          <w:iCs w:val="1"/>
          <w:color w:val="auto"/>
        </w:rPr>
        <w:t xml:space="preserve"> </w:t>
      </w:r>
      <w:r>
        <w:rPr>
          <w:rFonts w:ascii="Arial" w:cs="Arial" w:eastAsia="Arial" w:hAnsi="Arial"/>
          <w:sz w:val="17"/>
          <w:szCs w:val="17"/>
          <w:color w:val="auto"/>
        </w:rPr>
        <w:t>2021. Please follow the instructions on the registration page. You will then receive a meeting invitation by email with your unique link to join the Annual Meeting along with a password prior to the meeting date. We recommend that you log on a few minutes before the Annual Meeting to ensure that you are logged in when the meeting begins. Information on how to vote online during the Annual Meeting is discussed below.</w:t>
      </w:r>
    </w:p>
    <w:p>
      <w:pPr>
        <w:spacing w:after="0" w:line="95" w:lineRule="exact"/>
        <w:rPr>
          <w:sz w:val="20"/>
          <w:szCs w:val="20"/>
          <w:color w:val="auto"/>
        </w:rPr>
      </w:pPr>
    </w:p>
    <w:p>
      <w:pPr>
        <w:jc w:val="both"/>
        <w:ind w:left="1260" w:right="419"/>
        <w:spacing w:after="0" w:line="228" w:lineRule="auto"/>
        <w:rPr>
          <w:sz w:val="20"/>
          <w:szCs w:val="20"/>
          <w:color w:val="auto"/>
        </w:rPr>
      </w:pPr>
      <w:r>
        <w:rPr>
          <w:rFonts w:ascii="Arial" w:cs="Arial" w:eastAsia="Arial" w:hAnsi="Arial"/>
          <w:sz w:val="18"/>
          <w:szCs w:val="18"/>
          <w:color w:val="auto"/>
        </w:rPr>
        <w:t>We have decided to hold a virtual stockholder meeting because of the public health impact of the COVID- 19 pandemic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Annual Meeting in person.</w:t>
      </w:r>
    </w:p>
    <w:p>
      <w:pPr>
        <w:spacing w:after="0" w:line="110" w:lineRule="exact"/>
        <w:rPr>
          <w:sz w:val="20"/>
          <w:szCs w:val="20"/>
          <w:color w:val="auto"/>
        </w:rPr>
      </w:pPr>
    </w:p>
    <w:p>
      <w:pPr>
        <w:jc w:val="both"/>
        <w:ind w:left="1260" w:right="419"/>
        <w:spacing w:after="0" w:line="235" w:lineRule="auto"/>
        <w:rPr>
          <w:sz w:val="20"/>
          <w:szCs w:val="20"/>
          <w:color w:val="auto"/>
        </w:rPr>
      </w:pPr>
      <w:r>
        <w:rPr>
          <w:rFonts w:ascii="Arial" w:cs="Arial" w:eastAsia="Arial" w:hAnsi="Arial"/>
          <w:sz w:val="18"/>
          <w:szCs w:val="18"/>
          <w:color w:val="auto"/>
        </w:rPr>
        <w:t>Both stockholders of record and street name stockholders will be able to attend the Annual Meeting via live audio webcast, submit their questions during the meeting and vote their shares electronically at the Annual Meeting.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 at the Annual Meeting?</w:t>
      </w:r>
    </w:p>
    <w:p>
      <w:pPr>
        <w:spacing w:after="0" w:line="148" w:lineRule="exact"/>
        <w:rPr>
          <w:sz w:val="20"/>
          <w:szCs w:val="20"/>
          <w:color w:val="auto"/>
        </w:rPr>
      </w:pPr>
    </w:p>
    <w:p>
      <w:pPr>
        <w:jc w:val="both"/>
        <w:ind w:left="1260" w:right="419"/>
        <w:spacing w:after="0" w:line="235" w:lineRule="auto"/>
        <w:rPr>
          <w:sz w:val="20"/>
          <w:szCs w:val="20"/>
          <w:color w:val="auto"/>
        </w:rPr>
      </w:pPr>
      <w:r>
        <w:rPr>
          <w:rFonts w:ascii="Arial" w:cs="Arial" w:eastAsia="Arial" w:hAnsi="Arial"/>
          <w:sz w:val="18"/>
          <w:szCs w:val="18"/>
          <w:color w:val="auto"/>
        </w:rPr>
        <w:t>Only stockholders of record at the close of business on April 12, 2021 will be entitled to vote at the Annual Meeting. On this record date, there were 83,013,929 shares of common stock outstanding and entitled to vote.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31" w:lineRule="exact"/>
        <w:rPr>
          <w:sz w:val="20"/>
          <w:szCs w:val="20"/>
          <w:color w:val="auto"/>
        </w:rPr>
      </w:pPr>
    </w:p>
    <w:p>
      <w:pPr>
        <w:jc w:val="both"/>
        <w:ind w:left="1260" w:right="419"/>
        <w:spacing w:after="0"/>
        <w:rPr>
          <w:sz w:val="20"/>
          <w:szCs w:val="20"/>
          <w:color w:val="auto"/>
        </w:rPr>
      </w:pPr>
      <w:r>
        <w:rPr>
          <w:rFonts w:ascii="Arial" w:cs="Arial" w:eastAsia="Arial" w:hAnsi="Arial"/>
          <w:sz w:val="17"/>
          <w:szCs w:val="17"/>
          <w:color w:val="auto"/>
        </w:rPr>
        <w:t>If on April 12, 2021 your shares were registered directly in your name with Marker’s transfer agent, American Stock Transfer &amp;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registered holder, your virtual control number will be on your Notice of Internet Availability of Proxy Materials or proxy card.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5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If on April 12, 2021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 xml:space="preserve">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However, since you are not the stockholder of record, you may not vote your shares online during the Annual Meeting unless you request and obtain a legal proxy from your broker, bank or other agent. During the registration process, you will be asked to upload or email the legal proxy provided to you by your broker, bank or other agent. You are also invited to attend the Annual Meeting so long as you demonstrate proof of stock ownership. Instructions on how to demonstrate proof of stock ownership are posted at </w:t>
      </w:r>
      <w:r>
        <w:rPr>
          <w:rFonts w:ascii="Arial" w:cs="Arial" w:eastAsia="Arial" w:hAnsi="Arial"/>
          <w:sz w:val="17"/>
          <w:szCs w:val="17"/>
          <w:i w:val="1"/>
          <w:iCs w:val="1"/>
          <w:color w:val="auto"/>
        </w:rPr>
        <w:t>http://viewproxy.com/markertherapeutics/2021/htype.asp</w:t>
      </w:r>
      <w:r>
        <w:rPr>
          <w:rFonts w:ascii="Arial" w:cs="Arial" w:eastAsia="Arial" w:hAnsi="Arial"/>
          <w:sz w:val="17"/>
          <w:szCs w:val="17"/>
          <w:color w:val="auto"/>
        </w:rPr>
        <w:t xml:space="preserve">. On the day of the Annual Meeting, if you are a beneficial holder, you may vote during the meeting only if, during registration and in advance of the meeting, you emailed or uploaded a copy of your legal proxy to </w:t>
      </w:r>
      <w:r>
        <w:rPr>
          <w:rFonts w:ascii="Arial" w:cs="Arial" w:eastAsia="Arial" w:hAnsi="Arial"/>
          <w:sz w:val="17"/>
          <w:szCs w:val="17"/>
          <w:i w:val="1"/>
          <w:iCs w:val="1"/>
          <w:color w:val="auto"/>
        </w:rPr>
        <w:t>VirtualMeeting@viewproxy.com</w:t>
      </w:r>
      <w:r>
        <w:rPr>
          <w:rFonts w:ascii="Arial" w:cs="Arial" w:eastAsia="Arial" w:hAnsi="Arial"/>
          <w:sz w:val="17"/>
          <w:szCs w:val="17"/>
          <w:color w:val="auto"/>
        </w:rPr>
        <w:t xml:space="preserve"> as instructed below.</w:t>
      </w:r>
    </w:p>
    <w:p>
      <w:pPr>
        <w:spacing w:after="0" w:line="3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am I voting 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There are three matters scheduled for a vote:</w:t>
      </w:r>
    </w:p>
    <w:p>
      <w:pPr>
        <w:spacing w:after="0" w:line="131"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seven directors (Proposal 1);</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approval of the compensation of the Company’s named executive officers, as disclosed in this proxy statement (Proposal 2); and</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selection by the Audit Committee of the Board of Directors of Marcum LLP as the independent registered public accounting firm of the Company for its fiscal year ending December 31, 2021 (Proposal 3).</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62"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You may either vote “For” all the nominees to the Board of Directors or you may “Withhold” your vote for any nominee you specify. For each of the other matters, you may vote “For” or “Against” or abstain from voting.</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procedures for voting are fairly simple: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58" w:lineRule="exact"/>
        <w:rPr>
          <w:sz w:val="20"/>
          <w:szCs w:val="20"/>
          <w:color w:val="auto"/>
        </w:rPr>
      </w:pPr>
    </w:p>
    <w:p>
      <w:pPr>
        <w:jc w:val="both"/>
        <w:ind w:left="1260" w:right="419"/>
        <w:spacing w:after="0" w:line="279" w:lineRule="auto"/>
        <w:rPr>
          <w:sz w:val="20"/>
          <w:szCs w:val="20"/>
          <w:color w:val="auto"/>
        </w:rPr>
      </w:pPr>
      <w:r>
        <w:rPr>
          <w:rFonts w:ascii="Arial" w:cs="Arial" w:eastAsia="Arial" w:hAnsi="Arial"/>
          <w:sz w:val="17"/>
          <w:szCs w:val="17"/>
          <w:color w:val="auto"/>
        </w:rPr>
        <w:t>If you are a stockholder of record, you may vote online during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63" w:lineRule="exact"/>
        <w:rPr>
          <w:sz w:val="20"/>
          <w:szCs w:val="20"/>
          <w:color w:val="auto"/>
        </w:rPr>
      </w:pPr>
    </w:p>
    <w:p>
      <w:pPr>
        <w:jc w:val="both"/>
        <w:ind w:left="1800" w:right="419" w:hanging="180"/>
        <w:spacing w:after="0" w:line="259"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To vote online during the meeting, you may vote using the link that will be provided on the virtual meeting screen, or you may visit </w:t>
      </w:r>
      <w:r>
        <w:rPr>
          <w:rFonts w:ascii="Arial" w:cs="Arial" w:eastAsia="Arial" w:hAnsi="Arial"/>
          <w:sz w:val="18"/>
          <w:szCs w:val="18"/>
          <w:i w:val="1"/>
          <w:iCs w:val="1"/>
          <w:color w:val="auto"/>
        </w:rPr>
        <w:t>www.AALvote.com/MRKR</w:t>
      </w:r>
      <w:r>
        <w:rPr>
          <w:rFonts w:ascii="Arial" w:cs="Arial" w:eastAsia="Arial" w:hAnsi="Arial"/>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92"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102" w:lineRule="exact"/>
        <w:rPr>
          <w:rFonts w:ascii="Arial" w:cs="Arial" w:eastAsia="Arial" w:hAnsi="Arial"/>
          <w:sz w:val="18"/>
          <w:szCs w:val="18"/>
          <w:color w:val="auto"/>
        </w:rPr>
      </w:pPr>
    </w:p>
    <w:p>
      <w:pPr>
        <w:jc w:val="both"/>
        <w:ind w:left="1800" w:right="419" w:hanging="180"/>
        <w:spacing w:after="0" w:line="259"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June 7, 2021 to be counted.</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419" w:hanging="180"/>
        <w:spacing w:after="0" w:line="259"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vote through the internet, go to </w:t>
      </w:r>
      <w:r>
        <w:rPr>
          <w:rFonts w:ascii="Arial" w:cs="Arial" w:eastAsia="Arial" w:hAnsi="Arial"/>
          <w:sz w:val="18"/>
          <w:szCs w:val="18"/>
          <w:i w:val="1"/>
          <w:iCs w:val="1"/>
          <w:color w:val="auto"/>
        </w:rPr>
        <w:t>www.AALVote.com/MRKR</w:t>
      </w:r>
      <w:r>
        <w:rPr>
          <w:rFonts w:ascii="Arial" w:cs="Arial" w:eastAsia="Arial" w:hAnsi="Arial"/>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June 7, 2021 to be counted.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44"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Annual Meeting, you must obtain a legal proxy from your broker, bank or other agent. Follow the instructions from your broker, bank or other agent included with these proxy materials, or contact that organization to request a proxy form. In advance of the Annual Meeting, you will need to upload or email a copy of the legal proxy from your broker, bank or other agent to </w:t>
      </w:r>
      <w:r>
        <w:rPr>
          <w:rFonts w:ascii="Arial" w:cs="Arial" w:eastAsia="Arial" w:hAnsi="Arial"/>
          <w:sz w:val="17"/>
          <w:szCs w:val="17"/>
          <w:i w:val="1"/>
          <w:iCs w:val="1"/>
          <w:color w:val="auto"/>
        </w:rPr>
        <w:t xml:space="preserve">VirtualMeeting@viewproxy.com </w:t>
      </w:r>
      <w:r>
        <w:rPr>
          <w:rFonts w:ascii="Arial" w:cs="Arial" w:eastAsia="Arial" w:hAnsi="Arial"/>
          <w:sz w:val="17"/>
          <w:szCs w:val="17"/>
          <w:color w:val="auto"/>
        </w:rPr>
        <w:t>in order to vote at the Annual Meeting. To vote online during the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you may vote using the link that will be provided on the virtual meeting screen, or you may visit </w:t>
      </w:r>
      <w:r>
        <w:rPr>
          <w:rFonts w:ascii="Arial" w:cs="Arial" w:eastAsia="Arial" w:hAnsi="Arial"/>
          <w:sz w:val="17"/>
          <w:szCs w:val="17"/>
          <w:i w:val="1"/>
          <w:iCs w:val="1"/>
          <w:color w:val="auto"/>
        </w:rPr>
        <w:t xml:space="preserve">www.AALvote.com/MRKR </w:t>
      </w:r>
      <w:r>
        <w:rPr>
          <w:rFonts w:ascii="Arial" w:cs="Arial" w:eastAsia="Arial" w:hAnsi="Arial"/>
          <w:sz w:val="17"/>
          <w:szCs w:val="17"/>
          <w:color w:val="auto"/>
        </w:rPr>
        <w:t>while the polls are open. You will need your virtual control number, which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assigned to you in your confirmation of registration email, in order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105410</wp:posOffset>
            </wp:positionV>
            <wp:extent cx="5212080" cy="659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659765"/>
                    </a:xfrm>
                    <a:prstGeom prst="rect">
                      <a:avLst/>
                    </a:prstGeom>
                    <a:noFill/>
                  </pic:spPr>
                </pic:pic>
              </a:graphicData>
            </a:graphic>
          </wp:anchor>
        </w:drawing>
      </w:r>
    </w:p>
    <w:p>
      <w:pPr>
        <w:spacing w:after="0" w:line="168" w:lineRule="exact"/>
        <w:rPr>
          <w:sz w:val="20"/>
          <w:szCs w:val="20"/>
          <w:color w:val="auto"/>
        </w:rPr>
      </w:pPr>
    </w:p>
    <w:p>
      <w:pPr>
        <w:ind w:left="1320" w:right="539"/>
        <w:spacing w:after="0" w:line="281" w:lineRule="auto"/>
        <w:rPr>
          <w:sz w:val="20"/>
          <w:szCs w:val="20"/>
          <w:color w:val="auto"/>
        </w:rPr>
      </w:pPr>
      <w:r>
        <w:rPr>
          <w:rFonts w:ascii="Arial" w:cs="Arial" w:eastAsia="Arial" w:hAnsi="Arial"/>
          <w:sz w:val="17"/>
          <w:szCs w:val="17"/>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4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On each matter to be voted upon, you have one vote for each share of common stock you own as of April 12, 2021.</w:t>
      </w:r>
    </w:p>
    <w:p>
      <w:pPr>
        <w:spacing w:after="0" w:line="166" w:lineRule="exact"/>
        <w:rPr>
          <w:sz w:val="20"/>
          <w:szCs w:val="20"/>
          <w:color w:val="auto"/>
        </w:rPr>
      </w:pPr>
    </w:p>
    <w:p>
      <w:pPr>
        <w:ind w:left="1260" w:right="699"/>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9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Annual Meeting, your shares will not be voted.</w:t>
      </w:r>
    </w:p>
    <w:p>
      <w:pPr>
        <w:spacing w:after="0" w:line="103"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seven nominees for director, “For” the advisory approval of executive compensation, and “For” the ratification of Marcum LLP as independent auditors for the year ending December 31, 2021. If any other matter is properly presented at the meeting, your proxyholder (one of the individuals named on your proxy card) will vote your shares using his or her best judgment.</w:t>
      </w:r>
    </w:p>
    <w:p>
      <w:pPr>
        <w:spacing w:after="0" w:line="188" w:lineRule="exact"/>
        <w:rPr>
          <w:sz w:val="20"/>
          <w:szCs w:val="20"/>
          <w:color w:val="auto"/>
        </w:rPr>
      </w:pPr>
    </w:p>
    <w:p>
      <w:pPr>
        <w:ind w:left="1260" w:right="759"/>
        <w:spacing w:after="0" w:line="282" w:lineRule="auto"/>
        <w:rPr>
          <w:sz w:val="20"/>
          <w:szCs w:val="20"/>
          <w:color w:val="auto"/>
        </w:rPr>
      </w:pPr>
      <w:r>
        <w:rPr>
          <w:rFonts w:ascii="Arial" w:cs="Arial" w:eastAsia="Arial" w:hAnsi="Arial"/>
          <w:sz w:val="18"/>
          <w:szCs w:val="18"/>
          <w:b w:val="1"/>
          <w:bCs w:val="1"/>
          <w:color w:val="auto"/>
        </w:rPr>
        <w:t>If I am a beneficial owner of shares held in street name and I do not provide my broker or bank with voting instructions, what happens?</w:t>
      </w:r>
    </w:p>
    <w:p>
      <w:pPr>
        <w:spacing w:after="0" w:line="85"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and 2 are considered to be “non-routine” under such rules, meaning that your broker may not vote your shares on those proposals in the absence of your voting instructions. However, Proposal 3 is considered to be “routine” under such rules, meaning that if you do not return voting instructions to your broker by its deadline, your shares may be voted by your broker in its discretion on Proposal 3.</w:t>
      </w: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39"/>
        <w:spacing w:after="0" w:line="270" w:lineRule="auto"/>
        <w:rPr>
          <w:sz w:val="20"/>
          <w:szCs w:val="20"/>
          <w:color w:val="auto"/>
        </w:rPr>
      </w:pPr>
      <w:r>
        <w:rPr>
          <w:rFonts w:ascii="Arial" w:cs="Arial" w:eastAsia="Arial" w:hAnsi="Arial"/>
          <w:sz w:val="17"/>
          <w:szCs w:val="17"/>
          <w:b w:val="1"/>
          <w:bCs w:val="1"/>
          <w:i w:val="1"/>
          <w:iCs w:val="1"/>
          <w:color w:val="auto"/>
        </w:rPr>
        <w:t xml:space="preserve">If you are a beneficial owner of shares held in street name, in order to ensure your shares are voted in the way you would prefer, you </w:t>
      </w:r>
      <w:r>
        <w:rPr>
          <w:rFonts w:ascii="Arial" w:cs="Arial" w:eastAsia="Arial" w:hAnsi="Arial"/>
          <w:sz w:val="17"/>
          <w:szCs w:val="17"/>
          <w:b w:val="1"/>
          <w:bCs w:val="1"/>
          <w:i w:val="1"/>
          <w:iCs w:val="1"/>
          <w:u w:val="single" w:color="auto"/>
          <w:color w:val="auto"/>
        </w:rPr>
        <w:t>must</w:t>
      </w:r>
      <w:r>
        <w:rPr>
          <w:rFonts w:ascii="Arial" w:cs="Arial" w:eastAsia="Arial" w:hAnsi="Arial"/>
          <w:sz w:val="17"/>
          <w:szCs w:val="17"/>
          <w:b w:val="1"/>
          <w:bCs w:val="1"/>
          <w:i w:val="1"/>
          <w:iCs w:val="1"/>
          <w:color w:val="auto"/>
        </w:rPr>
        <w:t xml:space="preserve"> provide voting instructions to your broker, bank or other agent by the deadline provided in the materials you receive from your broker, bank or other agent.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48" w:lineRule="exact"/>
        <w:rPr>
          <w:sz w:val="20"/>
          <w:szCs w:val="20"/>
          <w:color w:val="auto"/>
        </w:rPr>
      </w:pPr>
    </w:p>
    <w:p>
      <w:pPr>
        <w:jc w:val="both"/>
        <w:ind w:left="1260" w:right="419"/>
        <w:spacing w:after="0" w:line="262"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162"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5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49"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Marker Therapeutics, Inc., Attention: Secretary at 3200 Southwest Freeway, Suite 2500, Houston, Texas 77027.</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attend the Annual Meeting and vote online. Simply attending the meeting will not, by itself, revoke your proxy.</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44"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If your shares are held by your broker, bank or other agent, you should follow the instructions provided by your broker, bank or other agent.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6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7"/>
          <w:szCs w:val="17"/>
          <w:color w:val="auto"/>
        </w:rPr>
        <w:t>To be considered for inclusion in next year’s proxy materials, your written proposal must be received by our Secretary by December 24, 2022. If you wish to submit a proposal (including a director nomination) at the meeting that is not to be included in next year’s proxy materials, you must do so not earlier than February 8, 2022 and not later than March 10, 2022. Stockholder proposals and director nominations should be addressed to Marker Therapeutics, Inc., Attention: Secretary, 3200 Southwest Freeway, Suite 2500, Houston, Texas 77027. Your notice to the Secretary must set forth information specified in our bylaws.</w:t>
      </w:r>
    </w:p>
    <w:p>
      <w:pPr>
        <w:spacing w:after="0" w:line="108"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08"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7"/>
          <w:szCs w:val="17"/>
          <w:color w:val="auto"/>
        </w:rPr>
        <w:t>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99"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For more information, and for more detailed requirements, please refer to our bylaws filed as Exhibit 3.6 to our Current Report on Form 8-K (File No. 001-37939), filed with the SEC on October 17, 2018.</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are votes counted?</w:t>
      </w:r>
    </w:p>
    <w:p>
      <w:pPr>
        <w:spacing w:after="0" w:line="162"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Votes will be counted by the inspector of election appointed for the meeting, who will separately count, for the proposal to elect directors, votes “For,” “Withhold” and broker non-votes, and, with respect to the other proposals, votes “For” and “Against,” abstentions and, if applicable, broker non-votes. Abstentions will be counted towards the vote total for each of Proposals 2 and 3 and will have the same effect as “Against” votes. Broker non-votes on Proposals 1, 2 and 3 will have no effect and will not be counted towards the vote total for any of those proposals.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“broker non-votes”?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stock exchange rules, the broker, bank or other such agent cannot vote the shares. These un-voted shares are counted as “broker non-votes.” Proposals 1 and 2 are considered to be “non-routine” under stock exchange rules and we therefore expect broker non-votes on these proposals. However, as Proposal 3 is considered “routine” under stock exchange rules, we do not expect broker non-votes on this proposal.</w:t>
      </w:r>
    </w:p>
    <w:p>
      <w:pPr>
        <w:spacing w:after="0" w:line="191" w:lineRule="exact"/>
        <w:rPr>
          <w:sz w:val="20"/>
          <w:szCs w:val="20"/>
          <w:color w:val="auto"/>
        </w:rPr>
      </w:pPr>
    </w:p>
    <w:p>
      <w:pPr>
        <w:jc w:val="both"/>
        <w:ind w:left="1260" w:right="559"/>
        <w:spacing w:after="0" w:line="294" w:lineRule="auto"/>
        <w:rPr>
          <w:sz w:val="20"/>
          <w:szCs w:val="20"/>
          <w:color w:val="auto"/>
        </w:rPr>
      </w:pPr>
      <w:r>
        <w:rPr>
          <w:rFonts w:ascii="Arial" w:cs="Arial" w:eastAsia="Arial" w:hAnsi="Arial"/>
          <w:sz w:val="16"/>
          <w:szCs w:val="16"/>
          <w:b w:val="1"/>
          <w:bCs w:val="1"/>
          <w:i w:val="1"/>
          <w:iCs w:val="1"/>
          <w:color w:val="auto"/>
        </w:rPr>
        <w:t xml:space="preserve">As a reminder, if you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4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For the election of directors, the seven nominees receiving the most “For” votes from the holders of shares present online at the meeting or represented by proxy and entitled to vote on the election of directors will be elected. Only votes “For” will affect the outcome.</w:t>
      </w:r>
    </w:p>
    <w:p>
      <w:pPr>
        <w:spacing w:after="0" w:line="114"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Proposal 2, advisory approval of the compensation of the Company’s named executive officers,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19"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7"/>
          <w:szCs w:val="17"/>
          <w:color w:val="auto"/>
        </w:rPr>
        <w:t>To be approved, Proposal 3, ratification of the selection of Marcum LLP as the Company’s independent registered public accounting firm for fiscal year 2021, must receive “For” votes from the holders of a majority of shares present online at the meeting or represented by proxy and entitled to vote on the matter. If you “Abstain” from voting, it will have the same effect as an “Against” vote. Since brokers have authority to vote on your behalf with respect to Proposal 3, we do not expect broker non-votes on this proposal.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quorum requirement?</w:t>
      </w:r>
    </w:p>
    <w:p>
      <w:pPr>
        <w:spacing w:after="0" w:line="14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at least a majority of the outstanding shares entitled to vote are present online at the virtual meeting or represented by proxy. On the record date, there were 83,013,929 shares outstanding and entitled to vote. Thus, the holders of 41,506,965 shares must be present online at the virtual meeting or represented by proxy at the meeting to have a quorum.</w:t>
      </w: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Your shares will be counted towards the quorum only if you submit a legal proxy (or one is submitted on your behalf by your broker, bank or other nominee) or if you vote online during the meeting. Abstentions and broker non-votes will be counted towards the quorum requirement. If there is no quorum, the holders of a majority of shares present at the meeting online at the virtual meeting or represented by proxy may adjourn the meeting to another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ask a question at the Annual Meeting?</w:t>
      </w:r>
    </w:p>
    <w:p>
      <w:pPr>
        <w:spacing w:after="0" w:line="148" w:lineRule="exact"/>
        <w:rPr>
          <w:sz w:val="20"/>
          <w:szCs w:val="20"/>
          <w:color w:val="auto"/>
        </w:rPr>
      </w:pPr>
    </w:p>
    <w:p>
      <w:pPr>
        <w:jc w:val="both"/>
        <w:ind w:left="1260" w:right="419"/>
        <w:spacing w:after="0" w:line="279" w:lineRule="auto"/>
        <w:rPr>
          <w:sz w:val="20"/>
          <w:szCs w:val="20"/>
          <w:color w:val="auto"/>
        </w:rPr>
      </w:pPr>
      <w:r>
        <w:rPr>
          <w:rFonts w:ascii="Arial" w:cs="Arial" w:eastAsia="Arial" w:hAnsi="Arial"/>
          <w:sz w:val="17"/>
          <w:szCs w:val="17"/>
          <w:color w:val="auto"/>
        </w:rPr>
        <w:t xml:space="preserve">Only stockholders of record as of April 12, 2021 may submit questions or comments at the Annual Meeting. If you would like to submit a question, you must first register for the Annual Meeting at </w:t>
      </w:r>
      <w:r>
        <w:rPr>
          <w:rFonts w:ascii="Arial" w:cs="Arial" w:eastAsia="Arial" w:hAnsi="Arial"/>
          <w:sz w:val="17"/>
          <w:szCs w:val="17"/>
          <w:i w:val="1"/>
          <w:iCs w:val="1"/>
          <w:color w:val="auto"/>
        </w:rPr>
        <w:t xml:space="preserve">http://viewproxy.com/markertherapeutics/2021/htype.asp </w:t>
      </w:r>
      <w:r>
        <w:rPr>
          <w:rFonts w:ascii="Arial" w:cs="Arial" w:eastAsia="Arial" w:hAnsi="Arial"/>
          <w:sz w:val="17"/>
          <w:szCs w:val="17"/>
          <w:color w:val="auto"/>
        </w:rPr>
        <w:t>by 11:59 p.m. Eastern Time on June 3,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once you join the meeting, you can type your question in the questions/chat box in the meeting portal.</w:t>
      </w:r>
    </w:p>
    <w:p>
      <w:pPr>
        <w:spacing w:after="0" w:line="104"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do I do if I have technical difficulties in connection with the Annual Meeting?</w:t>
      </w:r>
    </w:p>
    <w:p>
      <w:pPr>
        <w:spacing w:after="0" w:line="16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There will be technicians ready to assist you with any technical difficulties you may have accessing the annual meeting live audio webcast. Please be sure to check in by 7:45 a.m. Central Time on June 8, 2021, the day of the meeting, so that any technical difficulties may be addressed before the annual meeting live audio webcast begins. If you encounter any difficulties accessing the webcast during the check-in or meeting time, please email VirtualMeeting@viewproxy.com or call 866-612-8937.</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4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A list of our record stockholders as of the close of business on the record date will be made available to stockholders during the meeting. In addition, for the ten days prior to the date of the annual meeting, the list will be available for examination by any stockholder of record for a legally valid purpose at our corporate headquarters during regular business hours.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62"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7"/>
          <w:szCs w:val="17"/>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ROPOSAL</w:t>
      </w:r>
      <w:r>
        <w:rPr>
          <w:rFonts w:ascii="Arial" w:cs="Arial" w:eastAsia="Arial" w:hAnsi="Arial"/>
          <w:sz w:val="20"/>
          <w:szCs w:val="20"/>
          <w:b w:val="1"/>
          <w:bCs w:val="1"/>
          <w:color w:val="auto"/>
        </w:rPr>
        <w:t xml:space="preserve"> 1</w:t>
      </w:r>
    </w:p>
    <w:p>
      <w:pPr>
        <w:spacing w:after="0" w:line="229"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LECTION</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IRECTORS</w:t>
      </w:r>
    </w:p>
    <w:p>
      <w:pPr>
        <w:spacing w:after="0" w:line="157"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Our Board of Directors consists of seven directors, all of whom are nominees for re-election as a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See “Information Regarding the Board of Directors and Corporate Governance – Nominating and Corporate Governance Committee.” It is our policy to invite and encourage nominees for directors to attend the Annual Meeting. All seven of the directors then in office attended the 2020 Annual Meeting of Stockholders.</w:t>
      </w:r>
    </w:p>
    <w:p>
      <w:pPr>
        <w:spacing w:after="0" w:line="126"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Directors are elected by a plurality of the votes of the holders of shares present at the virtual meeting or represented by proxy and entitled to vote on the election of directors. Accordingly, the seven nominees receiving the highest number of affirmative votes will be elected. Shares represented by executed proxies will be voted, if authority to do so is not withheld, for the election of the seven nominees named below. If any nominee becomes unavailable for election as a result of an unexpected occurrence, shares that would have been voted for that nominee will instead will be voted for the election of a substitute nominee that we propose. Each person nominated for election has agreed to serve if elected. We have no reason to believe that any nominee will be unable to serve.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OMINEES</w:t>
      </w:r>
    </w:p>
    <w:p>
      <w:pPr>
        <w:spacing w:after="0" w:line="175"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color w:val="auto"/>
        </w:rPr>
        <w:t>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83"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To provide a mix of experience and perspective on the Board, the Committee also takes into account gender, age, and ethnic diversity.</w:t>
      </w:r>
    </w:p>
    <w:p>
      <w:pPr>
        <w:spacing w:after="0" w:line="124"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The brief biographies below include information, as of the date of this proxy statement, regarding the specific and particular experience, qualifications, attributes or skills of each director or nominee that led the Nominating and Corporate Governance Committee to believe that that nominee should continue to serve on the Board. However, each of the members of the Nominating and Corporate Governance Committee may have a variety of reasons why he believes a particular person would be an appropriate nominee for the Board, and these views may differ from the views of other members.</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David Eansor</w:t>
      </w:r>
      <w:r>
        <w:rPr>
          <w:rFonts w:ascii="Arial" w:cs="Arial" w:eastAsia="Arial" w:hAnsi="Arial"/>
          <w:sz w:val="18"/>
          <w:szCs w:val="18"/>
          <w:i w:val="1"/>
          <w:iCs w:val="1"/>
          <w:color w:val="auto"/>
        </w:rPr>
        <w:t>, age 60</w:t>
      </w:r>
    </w:p>
    <w:p>
      <w:pPr>
        <w:spacing w:after="0" w:line="144"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7"/>
          <w:szCs w:val="17"/>
          <w:color w:val="auto"/>
        </w:rPr>
        <w:t>Mr. Eansor joined the Board in October 2018. Since April 2018, Mr. Eansor has served as the President of the Protein Sciences Segment of Bio-Techne Corporation. From 2014 to April 2018, Mr. Eansor served as Senior Vice President of Bio-Techne’s Biotechnology Division, which he joined as result of Bio- Techne’s acquisition of Novus Biologicals. Mr. Eansor earned a B.S. in Chemistry from University of Western Ontario, as well as a Bachelor of Commerce in General Business and Economics and an M.B.A. from the University of Windsor, Ontario, Canada. The Board believes that Mr. Eansor’s extensive experience in the life sciences manufacturing industry qualifies him to serve on the Board.</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Steven Elms</w:t>
      </w:r>
      <w:r>
        <w:rPr>
          <w:rFonts w:ascii="Arial" w:cs="Arial" w:eastAsia="Arial" w:hAnsi="Arial"/>
          <w:sz w:val="18"/>
          <w:szCs w:val="18"/>
          <w:i w:val="1"/>
          <w:iCs w:val="1"/>
          <w:color w:val="auto"/>
        </w:rPr>
        <w:t>, age 57</w:t>
      </w:r>
    </w:p>
    <w:p>
      <w:pPr>
        <w:spacing w:after="0" w:line="158" w:lineRule="exact"/>
        <w:rPr>
          <w:sz w:val="20"/>
          <w:szCs w:val="20"/>
          <w:color w:val="auto"/>
        </w:rPr>
      </w:pPr>
    </w:p>
    <w:p>
      <w:pPr>
        <w:jc w:val="both"/>
        <w:ind w:left="1260" w:right="419"/>
        <w:spacing w:after="0" w:line="291" w:lineRule="auto"/>
        <w:rPr>
          <w:sz w:val="20"/>
          <w:szCs w:val="20"/>
          <w:color w:val="auto"/>
        </w:rPr>
      </w:pPr>
      <w:r>
        <w:rPr>
          <w:rFonts w:ascii="Arial" w:cs="Arial" w:eastAsia="Arial" w:hAnsi="Arial"/>
          <w:sz w:val="17"/>
          <w:szCs w:val="17"/>
          <w:color w:val="auto"/>
        </w:rPr>
        <w:t>Mr. Elms joined the Board in August 2019, and previously served as a non-voting board observer. Mr. Elms currently serves as Managing Partner at Aisling Capital, a life sciences investment firm, which he joined in</w:t>
      </w: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7"/>
          <w:szCs w:val="17"/>
          <w:color w:val="auto"/>
        </w:rPr>
        <w:t>2000. Mr. Elms has served as chairman of the board of directors of ADMA Biologics, Inc. since 2007 and as a director of Zosano Pharma Corp. since May 2018. He previously served as a member of the board of directors of LOXO Oncology from July 2013 to February 2019. Mr. Elms earned a B.A. in Human Biology from Stanford University and an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Peter Hoang</w:t>
      </w:r>
      <w:r>
        <w:rPr>
          <w:rFonts w:ascii="Arial" w:cs="Arial" w:eastAsia="Arial" w:hAnsi="Arial"/>
          <w:sz w:val="18"/>
          <w:szCs w:val="18"/>
          <w:i w:val="1"/>
          <w:iCs w:val="1"/>
          <w:color w:val="auto"/>
        </w:rPr>
        <w:t>, age 49</w:t>
      </w:r>
    </w:p>
    <w:p>
      <w:pPr>
        <w:spacing w:after="0" w:line="15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7"/>
          <w:szCs w:val="17"/>
          <w:color w:val="auto"/>
        </w:rPr>
        <w:t>Mr. Hoang joined the Board in, and has served as our President and Chief Executive Officer since, September 2017. Mr. Hoang previously served as Senior Vice President of Business Development and Strategy at Bellicum Pharmaceuticals from 2014 to March 2017 and as the Managing Director of Innovations at The University of Texas MD Anderson Cancer Center from 2012 to 2014. Mr. Hoang earned a B.A. from Yale University and an M.B.A. from the Anderson School of Management at the University of California, Los Angeles. The Board believes that Mr. Hoang’s role as our principal executive officer and leadership and management experience in the pharmaceutical industry qualify him to serve on the Board.</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David Laskow-Pooley</w:t>
      </w:r>
      <w:r>
        <w:rPr>
          <w:rFonts w:ascii="Arial" w:cs="Arial" w:eastAsia="Arial" w:hAnsi="Arial"/>
          <w:sz w:val="18"/>
          <w:szCs w:val="18"/>
          <w:i w:val="1"/>
          <w:iCs w:val="1"/>
          <w:color w:val="auto"/>
        </w:rPr>
        <w:t>, age 66</w:t>
      </w:r>
    </w:p>
    <w:p>
      <w:pPr>
        <w:spacing w:after="0" w:line="144"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color w:val="auto"/>
        </w:rPr>
        <w:t>Mr. Laskow-Pooley joined the Board in March 2015. He co-founded Pharmafor Ltd., an incubator for pharmaceutical and medical technology companies, in 2009. Mr. Laskow-Pooley served as Chief Executive Officer of LondonPharma Ltd from April 2012 to August 2017. He has served as a director of Abliva AB (f/k/a NeuroVive Pharmaceutical AB) since April 2016, and as the chairman since November 2017. Mr. Laskow-Pooley earned a B.Sc. in Pharmacy from the Sunderland School of Pharmacy. The Board believes that Mr. Laskow- Pooley’s extensive international experience in the pharmaceutical industry, including on the launches of drugs and medical devices, qualifies him to serve on the Board.</w:t>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Juan Vera, M.D.</w:t>
      </w:r>
      <w:r>
        <w:rPr>
          <w:rFonts w:ascii="Arial" w:cs="Arial" w:eastAsia="Arial" w:hAnsi="Arial"/>
          <w:sz w:val="18"/>
          <w:szCs w:val="18"/>
          <w:i w:val="1"/>
          <w:iCs w:val="1"/>
          <w:color w:val="auto"/>
        </w:rPr>
        <w:t>, age 41</w:t>
      </w:r>
    </w:p>
    <w:p>
      <w:pPr>
        <w:spacing w:after="0" w:line="158"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Dr. Vera joined the Board in, and has served as our Chief Development Officer since, October 2018. Dr. Vera is a co-inventor of the multi- tumor associated antigen technology and co-founder of our predecessor, Marker Cell Therapy, Inc. Dr. Vera has held various positions at the Center for Cell and Gene Therapy at Baylor College of Medicine, most recently as an Associate Professor from 2015 to present. Dr. Vera is also a co-founder of Allovir, Inc. and has served as its Chief Product Development Officer since 2014. Dr. Vera received the Idea Development Award from the Department of Defense and Mentored Research Scholar Award from the American Cancer Society. Dr. Vera earned an M.D. from the University El Bosque in Bogota, Colombia. The Board believes that Dr. Vera’s extensive scientific and medical experience, including as the co-inventor of the multi-tumor associated antigen technology, qualifies him to serve on the Board.</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Frederick Wasserman</w:t>
      </w:r>
      <w:r>
        <w:rPr>
          <w:rFonts w:ascii="Arial" w:cs="Arial" w:eastAsia="Arial" w:hAnsi="Arial"/>
          <w:sz w:val="18"/>
          <w:szCs w:val="18"/>
          <w:i w:val="1"/>
          <w:iCs w:val="1"/>
          <w:color w:val="auto"/>
        </w:rPr>
        <w:t>, age 66</w:t>
      </w:r>
    </w:p>
    <w:p>
      <w:pPr>
        <w:spacing w:after="0" w:line="15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Mr. Wasserman joined the Board in January 2016 and has served as the Chair of the Board since October 2018. Since 2007, Mr. Wasserman has served as the President of FGW Partners LLC. He has served on the boards of directors of DLH Holdings Corp. since January 2007, and as the chairman since July 2009, and SMTC Corporation since August 2013 and previously served on the boards of directors of Breeze Eastern Corporation from September 2007 to January 2016, National Holdings Corporation from October 2013 to September 2016 and MAM Software Group, Inc. from 2007 until the company’s acquisition in October 2019. Mr. Wasserman earned a B.S. in Economics from The Wharton School of Business at The University of Pennsylvania and has been a certified public accountant. The Board believes that Mr. Wasserman’s extensive management experience, including as a member of the boards of directors of public companies, qualifies him to serve on the Board.</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John Wilson</w:t>
      </w:r>
      <w:r>
        <w:rPr>
          <w:rFonts w:ascii="Arial" w:cs="Arial" w:eastAsia="Arial" w:hAnsi="Arial"/>
          <w:sz w:val="18"/>
          <w:szCs w:val="18"/>
          <w:i w:val="1"/>
          <w:iCs w:val="1"/>
          <w:color w:val="auto"/>
        </w:rPr>
        <w:t>, age 61</w:t>
      </w:r>
    </w:p>
    <w:p>
      <w:pPr>
        <w:spacing w:after="0" w:line="144"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Mr. Wilson joined the Board in October 2018. Mr. Wilson is a co-inventor of the multi-tumor associated antigen technology and co-founder of our predecessor, Marker Cell Therapy, Inc. Since 1996, he has been the Chief Executive Officer of Wilson Wolf Manufacturing Corporation. He is also a co-founder of Allovir, Inc. and served as its Managing Director from 2013 to 2019. Mr. Wilson earned a B.A. in Business Administration and a B.A in Economics from Hamline University and a B.S. in Mechanical Engineering from the University of Minnesota. The Board believes that Mr. Wilson’s extensive scientific and manufacturing experience qualifies him to serve on the Board.</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ACH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OMINEE</w:t>
      </w:r>
      <w:r>
        <w:rPr>
          <w:rFonts w:ascii="Arial" w:cs="Arial" w:eastAsia="Arial" w:hAnsi="Arial"/>
          <w:sz w:val="18"/>
          <w:szCs w:val="18"/>
          <w:b w:val="1"/>
          <w:bCs w:val="1"/>
          <w:color w:val="auto"/>
        </w:rPr>
        <w:t>.</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NFORMATION</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EGARDING</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HE</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OARD</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IRECTORS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ND</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ORPORATE</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OVERNANCE</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NDEPENDENCE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25"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five directors are independent directors within the meaning of the applicable Nasdaq listing standards: David Eansor, Steven Elms, David Laskow-Pooley, Frederick Wasserman and John Wilson. In making this determination, the Board found that none of these directors or nominees for director had a material or other disqualifying relationship with the Company.</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75"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The Board of Directors of the Company has an independent chair, Mr. Wasserman, who has authority, among other things, to call and preside over Board meetings and to set meeting agendas.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62" w:lineRule="exact"/>
        <w:rPr>
          <w:sz w:val="20"/>
          <w:szCs w:val="20"/>
          <w:color w:val="auto"/>
        </w:rPr>
      </w:pPr>
    </w:p>
    <w:p>
      <w:pPr>
        <w:jc w:val="both"/>
        <w:ind w:left="1260" w:right="419"/>
        <w:spacing w:after="0" w:line="267" w:lineRule="auto"/>
        <w:rPr>
          <w:sz w:val="20"/>
          <w:szCs w:val="20"/>
          <w:color w:val="auto"/>
        </w:rPr>
      </w:pPr>
      <w:r>
        <w:rPr>
          <w:rFonts w:ascii="Arial" w:cs="Arial" w:eastAsia="Arial" w:hAnsi="Arial"/>
          <w:sz w:val="17"/>
          <w:szCs w:val="17"/>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information security risk management.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Board committees meet at least annually with the employees responsible for risk management in the committees’ respective areas of oversight. Both the Board as a whole and the various standing committees receive periodic risk assessment reports from management, as well as incidental reports as matters may arise. It is the responsibility of the committee chairs to report findings regarding material risk exposures to the Board as quickly as possible.</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62"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The Board of Directors met eight times during the last fiscal year. Each director attended 75% or more of the aggregate number of meetings of the Board and of the committees on which he served held during the portion of the last fiscal year for which he was a director or committee member.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75"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The Board has three committees: an Audit Committee, a Compensation Committee and a Nominating and Corporate Governance Committee. The following table provides membership and meeting information for fiscal 2020 for each of the Board committees: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Nominating and</w:t>
            </w:r>
          </w:p>
        </w:tc>
      </w:tr>
      <w:tr>
        <w:trPr>
          <w:trHeight w:val="241"/>
        </w:trPr>
        <w:tc>
          <w:tcPr>
            <w:tcW w:w="4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Audit</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Corporate Governance</w:t>
            </w:r>
          </w:p>
        </w:tc>
      </w:tr>
      <w:tr>
        <w:trPr>
          <w:trHeight w:val="257"/>
        </w:trPr>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Eansor</w:t>
            </w:r>
          </w:p>
        </w:tc>
        <w:tc>
          <w:tcPr>
            <w:tcW w:w="2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X*</w:t>
            </w:r>
          </w:p>
        </w:tc>
        <w:tc>
          <w:tcPr>
            <w:tcW w:w="2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Steven Elms</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2"/>
                <w:szCs w:val="22"/>
                <w:color w:val="auto"/>
              </w:rPr>
            </w:pPr>
          </w:p>
        </w:tc>
      </w:tr>
      <w:tr>
        <w:trPr>
          <w:trHeight w:val="25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Hoang</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X*</w:t>
            </w:r>
          </w:p>
        </w:tc>
        <w:tc>
          <w:tcPr>
            <w:tcW w:w="1700" w:type="dxa"/>
            <w:vAlign w:val="bottom"/>
          </w:tcPr>
          <w:p>
            <w:pPr>
              <w:spacing w:after="0"/>
              <w:rPr>
                <w:sz w:val="22"/>
                <w:szCs w:val="22"/>
                <w:color w:val="auto"/>
              </w:rPr>
            </w:pPr>
          </w:p>
        </w:tc>
      </w:tr>
      <w:tr>
        <w:trPr>
          <w:trHeight w:val="27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X</w:t>
            </w: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Juan Vera</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Wilson</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X*</w:t>
            </w:r>
          </w:p>
        </w:tc>
      </w:tr>
      <w:tr>
        <w:trPr>
          <w:trHeight w:val="486"/>
        </w:trPr>
        <w:tc>
          <w:tcPr>
            <w:tcW w:w="4540" w:type="dxa"/>
            <w:vAlign w:val="bottom"/>
            <w:gridSpan w:val="2"/>
          </w:tcPr>
          <w:p>
            <w:pPr>
              <w:spacing w:after="0"/>
              <w:rPr>
                <w:sz w:val="20"/>
                <w:szCs w:val="20"/>
                <w:color w:val="auto"/>
              </w:rPr>
            </w:pPr>
            <w:r>
              <w:rPr>
                <w:rFonts w:ascii="Arial" w:cs="Arial" w:eastAsia="Arial" w:hAnsi="Arial"/>
                <w:sz w:val="18"/>
                <w:szCs w:val="18"/>
                <w:color w:val="auto"/>
              </w:rPr>
              <w:t>Total meetings in fiscal 2020</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4"/>
                <w:szCs w:val="24"/>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color w:val="auto"/>
              </w:rPr>
              <w:t>3</w:t>
            </w:r>
          </w:p>
        </w:tc>
      </w:tr>
      <w:tr>
        <w:trPr>
          <w:trHeight w:val="364"/>
        </w:trPr>
        <w:tc>
          <w:tcPr>
            <w:tcW w:w="4540" w:type="dxa"/>
            <w:vAlign w:val="bottom"/>
            <w:gridSpan w:val="2"/>
          </w:tcPr>
          <w:p>
            <w:pPr>
              <w:spacing w:after="0"/>
              <w:rPr>
                <w:sz w:val="20"/>
                <w:szCs w:val="20"/>
                <w:color w:val="auto"/>
              </w:rPr>
            </w:pPr>
            <w:r>
              <w:rPr>
                <w:rFonts w:ascii="Arial" w:cs="Arial" w:eastAsia="Arial" w:hAnsi="Arial"/>
                <w:sz w:val="18"/>
                <w:szCs w:val="18"/>
                <w:color w:val="auto"/>
              </w:rPr>
              <w:t>*   Committee Chairperson</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-1713865</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-1713865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-1713865</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7"/>
          <w:szCs w:val="17"/>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jc w:val="both"/>
        <w:ind w:left="1260" w:right="419"/>
        <w:spacing w:after="0" w:line="251" w:lineRule="auto"/>
        <w:rPr>
          <w:sz w:val="20"/>
          <w:szCs w:val="20"/>
          <w:color w:val="auto"/>
        </w:rPr>
      </w:pPr>
      <w:r>
        <w:rPr>
          <w:rFonts w:ascii="Arial" w:cs="Arial" w:eastAsia="Arial" w:hAnsi="Arial"/>
          <w:sz w:val="17"/>
          <w:szCs w:val="17"/>
          <w:color w:val="auto"/>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 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16"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 xml:space="preserve">The Audit Committee is composed of four directors: David Eansor, Steven Elms, David Laskow-Pooley and Frederick Wasserman. The Audit Committee met five times during fiscal 2020. The Board has adopted a written Audit Committee charter that is available to stockholders on our website at </w:t>
      </w:r>
      <w:r>
        <w:rPr>
          <w:rFonts w:ascii="Arial" w:cs="Arial" w:eastAsia="Arial" w:hAnsi="Arial"/>
          <w:sz w:val="18"/>
          <w:szCs w:val="18"/>
          <w:i w:val="1"/>
          <w:iCs w:val="1"/>
          <w:color w:val="auto"/>
        </w:rPr>
        <w:t>https://www.markertherapeutics.com</w:t>
      </w:r>
      <w:r>
        <w:rPr>
          <w:rFonts w:ascii="Arial" w:cs="Arial" w:eastAsia="Arial" w:hAnsi="Arial"/>
          <w:sz w:val="18"/>
          <w:szCs w:val="18"/>
          <w:color w:val="auto"/>
        </w:rPr>
        <w:t>.</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w:t>
      </w:r>
    </w:p>
    <w:p>
      <w:pPr>
        <w:spacing w:after="0" w:line="107"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color w:val="auto"/>
        </w:rPr>
        <w:t>The Board of Directors has also determined that Mr. Wasserman qualifies as an “audit committee financial expert,” as defined in applicable SEC rules. The Board made a qualitative assessment of Mr. Wasserman’s level of knowledge and experience based on a number of factors, including his formal education and experience as the chief financial officer of a publicly- traded company. In addition to the Company’s Audit Committee, Mr. Wasserman also serves as chairman of the audit committee of SMTC Corporation. The Board of Directors has determined that this simultaneous service does not impair Mr. Wasserman’s ability to effectively serve on the Company’s Audit Committee.</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 of the Audit Committee of the Board of Directors</w:t>
      </w:r>
      <w:r>
        <w:rPr>
          <w:rFonts w:ascii="Arial" w:cs="Arial" w:eastAsia="Arial" w:hAnsi="Arial"/>
          <w:sz w:val="18"/>
          <w:szCs w:val="18"/>
          <w:color w:val="auto"/>
        </w:rPr>
        <w:t>*</w:t>
      </w:r>
    </w:p>
    <w:p>
      <w:pPr>
        <w:spacing w:after="0" w:line="162"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December 31, 2020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2020.</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David Eansor, Chair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Steven Elms</w:t>
      </w:r>
    </w:p>
    <w:p>
      <w:pPr>
        <w:ind w:left="1260"/>
        <w:spacing w:after="0" w:line="234" w:lineRule="auto"/>
        <w:rPr>
          <w:sz w:val="20"/>
          <w:szCs w:val="20"/>
          <w:color w:val="auto"/>
        </w:rPr>
      </w:pPr>
      <w:r>
        <w:rPr>
          <w:rFonts w:ascii="Arial" w:cs="Arial" w:eastAsia="Arial" w:hAnsi="Arial"/>
          <w:sz w:val="18"/>
          <w:szCs w:val="18"/>
          <w:color w:val="auto"/>
        </w:rPr>
        <w:t>David Laskow-Pooley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Frederick Wasserman</w:t>
      </w:r>
    </w:p>
    <w:p>
      <w:pPr>
        <w:spacing w:after="0" w:line="12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material in this report is not “soliciting material,” is not deemed “filed” with the Commission and is</w:t>
      </w:r>
      <w:r>
        <w:rPr>
          <w:rFonts w:ascii="Arial" w:cs="Arial" w:eastAsia="Arial" w:hAnsi="Arial"/>
          <w:sz w:val="18"/>
          <w:szCs w:val="18"/>
          <w:color w:val="auto"/>
        </w:rPr>
        <w:t xml:space="preserve"> </w:t>
      </w:r>
      <w:r>
        <w:rPr>
          <w:rFonts w:ascii="Arial" w:cs="Arial" w:eastAsia="Arial" w:hAnsi="Arial"/>
          <w:sz w:val="18"/>
          <w:szCs w:val="18"/>
          <w:i w:val="1"/>
          <w:iCs w:val="1"/>
          <w:color w:val="auto"/>
        </w:rPr>
        <w:t>not to be incorporated by reference in any filing of the Company under the Securities Act or the Exchange Act, whether made before or after the date hereof and irrespective of any general incorporation language in any such filing.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The Compensation Committee of the Board of Directors acts on behalf of the Board to review and oversee the Company’s compensation strategy, policies, plans and programs, including:</w:t>
      </w:r>
    </w:p>
    <w:p>
      <w:pPr>
        <w:spacing w:after="0" w:line="49" w:lineRule="exact"/>
        <w:rPr>
          <w:sz w:val="20"/>
          <w:szCs w:val="20"/>
          <w:color w:val="auto"/>
        </w:rPr>
      </w:pPr>
    </w:p>
    <w:p>
      <w:pPr>
        <w:jc w:val="both"/>
        <w:ind w:left="1800" w:right="41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review and approval of the individual elements of total compensation and other terms of employment or service, including severance and change-in-control arrangements, of the Company’s executive officers, other than the Chief Executive Officer;</w:t>
      </w:r>
    </w:p>
    <w:p>
      <w:pPr>
        <w:spacing w:after="0" w:line="75"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review of, and recommendation to the Board for approval, the individual elements of total compensation and other terms of employment or service, including severance and change-in-control arrangements, of the Chief Executive Officer;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administration of the Company’s equity compensation and other benefit plans.</w:t>
      </w:r>
    </w:p>
    <w:p>
      <w:pPr>
        <w:spacing w:after="0" w:line="158"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7"/>
          <w:szCs w:val="17"/>
          <w:color w:val="auto"/>
        </w:rPr>
        <w:t xml:space="preserve">The Compensation Committee is composed of three directors: Steven Elms, David Laskow-Pooley and Frederick Wasserman. All current and future members of the Company’s Compensation Committee are independent (as independence is currently defined in Rule 5605(d)(2) of the Nasdaq listing standards. The Compensation Committee met five times during fiscal 2020. The Board has adopted a written Compensation Committee charter that is available to stockholders on our website at </w:t>
      </w:r>
      <w:r>
        <w:rPr>
          <w:rFonts w:ascii="Arial" w:cs="Arial" w:eastAsia="Arial" w:hAnsi="Arial"/>
          <w:sz w:val="17"/>
          <w:szCs w:val="17"/>
          <w:i w:val="1"/>
          <w:iCs w:val="1"/>
          <w:color w:val="auto"/>
        </w:rPr>
        <w:t>https://www.markertherapeutics.com.</w:t>
      </w:r>
    </w:p>
    <w:p>
      <w:pPr>
        <w:spacing w:after="0" w:line="106"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Typically, the Compensation Committee meets at least quarterly and with greater frequency if necessary. The agenda for each meeting is usually developed by the Chair of the Compensation Committee, in consultation</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0" w:lineRule="auto"/>
        <w:rPr>
          <w:sz w:val="20"/>
          <w:szCs w:val="20"/>
          <w:color w:val="auto"/>
        </w:rPr>
      </w:pPr>
      <w:r>
        <w:rPr>
          <w:rFonts w:ascii="Arial" w:cs="Arial" w:eastAsia="Arial" w:hAnsi="Arial"/>
          <w:sz w:val="17"/>
          <w:szCs w:val="17"/>
          <w:color w:val="auto"/>
        </w:rPr>
        <w:t>with the Chief Executive Officer and Radford, the compensation consultant engaged by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In 2020, after taking into consideration the six factors prescribed by the SEC and Nasdaq described above, the Compensation Committee engaged Radford as its compensation consultant. See “Executive Compensation – Summary Compensation Table – Narrative to Summary Compensation Table – Role of the Compensation Committee and Executive Officers in Setting Executive Compensation.”</w:t>
      </w:r>
    </w:p>
    <w:p>
      <w:pPr>
        <w:spacing w:after="0" w:line="109"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7"/>
          <w:szCs w:val="17"/>
          <w:color w:val="auto"/>
        </w:rPr>
        <w:t>Under its charter, the Compensation Committee may form, and delegate authority to, subcommittees as appropriate. The Compensation Committee has formed a Non-Officer Stock Option Subcommittee, currently composed of Peter Hoang, to which it has delegated authority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Typically, as part of its oversight function, the Compensation Committee will review on a quarterly basis the list of grants made by the subcommittee. During fiscal 2020, the subcommittee exercised its authority to grant options to purchase an aggregate of 361,000 shares to non-officer employees.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jc w:val="both"/>
        <w:ind w:left="1260" w:right="419"/>
        <w:spacing w:after="0" w:line="273" w:lineRule="auto"/>
        <w:rPr>
          <w:sz w:val="20"/>
          <w:szCs w:val="20"/>
          <w:color w:val="auto"/>
        </w:rPr>
      </w:pPr>
      <w:r>
        <w:rPr>
          <w:rFonts w:ascii="Arial" w:cs="Arial" w:eastAsia="Arial" w:hAnsi="Arial"/>
          <w:sz w:val="17"/>
          <w:szCs w:val="17"/>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110"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 xml:space="preserve">The Nominating and Corporate Governance Committee is composed of three directors: David Eansor, Frederick Wasserman and John Wilson. All members of the Nominating and Corporate Governance Committee are independent (as independence is currently defined in Rule 5605(a)(2) of the Nasdaq listing standards). The Nominating and Corporate Governance Committee met three times during fiscal 2020. The Board has adopted a written Nominating and Corporate Governance Committee charter that is available to stockholders on the Company’s website and </w:t>
      </w:r>
      <w:r>
        <w:rPr>
          <w:rFonts w:ascii="Arial" w:cs="Arial" w:eastAsia="Arial" w:hAnsi="Arial"/>
          <w:sz w:val="18"/>
          <w:szCs w:val="18"/>
          <w:i w:val="1"/>
          <w:iCs w:val="1"/>
          <w:color w:val="auto"/>
        </w:rPr>
        <w:t>https://www.markertherapeutics.com</w:t>
      </w:r>
      <w:r>
        <w:rPr>
          <w:rFonts w:ascii="Arial" w:cs="Arial" w:eastAsia="Arial" w:hAnsi="Arial"/>
          <w:sz w:val="18"/>
          <w:szCs w:val="18"/>
          <w:color w:val="auto"/>
        </w:rPr>
        <w:t>.</w:t>
      </w:r>
    </w:p>
    <w:p>
      <w:pPr>
        <w:spacing w:after="0" w:line="111"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However, the Nominating and Corporate Governance Committee retains the right to modify these qualifications from time to time. Board diversity and inclusion is critical to the Company’s success.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continued commitment to diversity and inclusion.</w:t>
      </w:r>
    </w:p>
    <w:p>
      <w:pPr>
        <w:spacing w:after="0" w:line="101" w:lineRule="exact"/>
        <w:rPr>
          <w:sz w:val="20"/>
          <w:szCs w:val="20"/>
          <w:color w:val="auto"/>
        </w:rPr>
      </w:pPr>
    </w:p>
    <w:p>
      <w:pPr>
        <w:jc w:val="both"/>
        <w:ind w:left="1260" w:right="419"/>
        <w:spacing w:after="0" w:line="267"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that’s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Company previously granted board observer rights to Aisling Capital, pursuant to which Mr. Elms was designated as a board observer prior to being appointed as a director, and New Enterprise Associates 16, L.P. (“NEA”), pursuant to which NEA may designate either a board observer or a director until a change of control transaction occurs or NEA ceases to own at least 2,500,000 shares of the Company’s common stock. NEA has currently designated a non-voting board observer.</w:t>
      </w:r>
    </w:p>
    <w:p>
      <w:pPr>
        <w:spacing w:after="0" w:line="118" w:lineRule="exact"/>
        <w:rPr>
          <w:sz w:val="20"/>
          <w:szCs w:val="20"/>
          <w:color w:val="auto"/>
        </w:rPr>
      </w:pPr>
    </w:p>
    <w:p>
      <w:pPr>
        <w:jc w:val="both"/>
        <w:ind w:left="1260" w:right="419"/>
        <w:spacing w:after="0" w:line="267"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Marker Therapeutics, Inc., Attention: Secretary, 3200 Southwest Freeway, Suite 2500, Houston, Texas 77027, at least 90 days, but not more than 120 days prior to the anniversary date of the preceding year’s annual meeting of stockholders. Submissions must include (1) all information related to such nominee that would be required to be disclosed in solicitations of proxies for the election of such nominee as a director pursuant to Regulation 14A under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the nominating stockholder and his, her or its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6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 Company’s Board has adopted a formal process by which stockholders may communicate with the Board or any of its directors. Stockholders who wish to communicate with the Board may do so by sending written communications addressed to the Secretary of the Company Secretary, 3200 Southwest Freeway, Suite 2500, Houston, Texas 77027. All communications will be compiled by the Secretary of the Company and submitted to the Board or the individual directors on a periodic basis.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THICS</w:t>
      </w:r>
    </w:p>
    <w:p>
      <w:pPr>
        <w:spacing w:after="0" w:line="175"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7"/>
          <w:szCs w:val="17"/>
          <w:color w:val="auto"/>
        </w:rPr>
        <w:t xml:space="preserve">The Company has adopted a Code of Business Conduct and Ethics that applies to all officers, directors and employees. The Code of Business Conduct and Ethics is available on our website at </w:t>
      </w:r>
      <w:r>
        <w:rPr>
          <w:rFonts w:ascii="Arial" w:cs="Arial" w:eastAsia="Arial" w:hAnsi="Arial"/>
          <w:sz w:val="17"/>
          <w:szCs w:val="17"/>
          <w:i w:val="1"/>
          <w:iCs w:val="1"/>
          <w:color w:val="auto"/>
        </w:rPr>
        <w:t>https://www.markertherapeutics.com</w:t>
      </w:r>
      <w:r>
        <w:rPr>
          <w:rFonts w:ascii="Arial" w:cs="Arial" w:eastAsia="Arial" w:hAnsi="Arial"/>
          <w:sz w:val="17"/>
          <w:szCs w:val="17"/>
          <w:color w:val="auto"/>
        </w:rPr>
        <w:t>. If the Company makes any substantive amendments to the Code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Conduct and Ethics or grants any waiver from a provision of the Code to any executive officer or director, the Company will promptly disclose the nature of the amendment or waiver on its website.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UIDELINES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 xml:space="preserve">In 2020,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Arial" w:cs="Arial" w:eastAsia="Arial" w:hAnsi="Arial"/>
          <w:sz w:val="18"/>
          <w:szCs w:val="18"/>
          <w:i w:val="1"/>
          <w:iCs w:val="1"/>
          <w:color w:val="auto"/>
        </w:rPr>
        <w:t>https://www.markertherapeutics.com</w:t>
      </w:r>
      <w:r>
        <w:rPr>
          <w:rFonts w:ascii="Arial" w:cs="Arial" w:eastAsia="Arial" w:hAnsi="Arial"/>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162"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ROPOSAL</w:t>
      </w:r>
      <w:r>
        <w:rPr>
          <w:rFonts w:ascii="Arial" w:cs="Arial" w:eastAsia="Arial" w:hAnsi="Arial"/>
          <w:sz w:val="20"/>
          <w:szCs w:val="20"/>
          <w:b w:val="1"/>
          <w:bCs w:val="1"/>
          <w:color w:val="auto"/>
        </w:rPr>
        <w:t xml:space="preserve"> 2</w:t>
      </w:r>
    </w:p>
    <w:p>
      <w:pPr>
        <w:spacing w:after="0" w:line="229"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DVISORY</w:t>
      </w:r>
      <w:r>
        <w:rPr>
          <w:rFonts w:ascii="Arial" w:cs="Arial" w:eastAsia="Arial" w:hAnsi="Arial"/>
          <w:sz w:val="20"/>
          <w:szCs w:val="20"/>
          <w:b w:val="1"/>
          <w:bCs w:val="1"/>
          <w:color w:val="auto"/>
        </w:rPr>
        <w:t xml:space="preserve"> V</w:t>
      </w:r>
      <w:r>
        <w:rPr>
          <w:rFonts w:ascii="Arial" w:cs="Arial" w:eastAsia="Arial" w:hAnsi="Arial"/>
          <w:sz w:val="16"/>
          <w:szCs w:val="16"/>
          <w:b w:val="1"/>
          <w:bCs w:val="1"/>
          <w:color w:val="auto"/>
        </w:rPr>
        <w:t>OTE</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N</w:t>
      </w:r>
      <w:r>
        <w:rPr>
          <w:rFonts w:ascii="Arial" w:cs="Arial" w:eastAsia="Arial" w:hAnsi="Arial"/>
          <w:sz w:val="20"/>
          <w:szCs w:val="20"/>
          <w:b w:val="1"/>
          <w:bCs w:val="1"/>
          <w:color w:val="auto"/>
        </w:rPr>
        <w:t xml:space="preserve"> E</w:t>
      </w:r>
      <w:r>
        <w:rPr>
          <w:rFonts w:ascii="Arial" w:cs="Arial" w:eastAsia="Arial" w:hAnsi="Arial"/>
          <w:sz w:val="16"/>
          <w:szCs w:val="16"/>
          <w:b w:val="1"/>
          <w:bCs w:val="1"/>
          <w:color w:val="auto"/>
        </w:rPr>
        <w:t>XECUTIVE</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OMPENSATION</w:t>
      </w:r>
    </w:p>
    <w:p>
      <w:pPr>
        <w:spacing w:after="0" w:line="157"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The Board has adopted a policy of soliciting a non-binding advisory vote on the compensation of the named executive officers, commonly referred to as a “say-on-pay vote,” every year.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strongly aligned with our stockholders’ interests and consistent with current market practices for similarly situated companies. Compensation of the Company’s named executive officers is designed to enable the Company to attract and retain talented and experienced executives to lead the Company successfully in a competitive environment.</w:t>
      </w:r>
    </w:p>
    <w:p>
      <w:pPr>
        <w:spacing w:after="0" w:line="129"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Accordingly, the Board is asking the stockholders to indicate their support for the compensation of the Company’s named executive officers as described in this proxy statement by casting a non-binding advisory vote “FOR” the following resolution:</w:t>
      </w:r>
    </w:p>
    <w:p>
      <w:pPr>
        <w:spacing w:after="0" w:line="103"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compensation tables and narrative discussion, is hereby APPROVED.”</w:t>
      </w:r>
    </w:p>
    <w:p>
      <w:pPr>
        <w:spacing w:after="0" w:line="116" w:lineRule="exact"/>
        <w:rPr>
          <w:sz w:val="20"/>
          <w:szCs w:val="20"/>
          <w:color w:val="auto"/>
        </w:rPr>
      </w:pPr>
    </w:p>
    <w:p>
      <w:pPr>
        <w:jc w:val="both"/>
        <w:ind w:left="1260" w:right="419"/>
        <w:spacing w:after="0" w:line="279" w:lineRule="auto"/>
        <w:rPr>
          <w:sz w:val="20"/>
          <w:szCs w:val="20"/>
          <w:color w:val="auto"/>
        </w:rPr>
      </w:pPr>
      <w:r>
        <w:rPr>
          <w:rFonts w:ascii="Arial" w:cs="Arial" w:eastAsia="Arial" w:hAnsi="Arial"/>
          <w:sz w:val="17"/>
          <w:szCs w:val="17"/>
          <w:color w:val="auto"/>
        </w:rPr>
        <w:t>Because the vote is advisory, it is not binding on the Board of Directors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104"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Advisory approval of this proposal requires the vote of the holders of a majority of the shares present at the virtual meeting or represented by proxy and entitled to vote on the matter at the annual meeting. Unless the Board decides to modify its policy regarding the frequency of soliciting say-on-pay votes, the next scheduled say-on-pay vote will be at the 2022 Annual Meeting of Stockholders.</w:t>
      </w:r>
    </w:p>
    <w:p>
      <w:pPr>
        <w:spacing w:after="0" w:line="18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ECOMMENDS</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ROPOSAL</w:t>
      </w:r>
      <w:r>
        <w:rPr>
          <w:rFonts w:ascii="Arial" w:cs="Arial" w:eastAsia="Arial" w:hAnsi="Arial"/>
          <w:sz w:val="18"/>
          <w:szCs w:val="18"/>
          <w:b w:val="1"/>
          <w:bCs w:val="1"/>
          <w:color w:val="auto"/>
        </w:rPr>
        <w:t xml:space="preserv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6"/>
          <w:szCs w:val="16"/>
          <w:b w:val="1"/>
          <w:bCs w:val="1"/>
          <w:color w:val="auto"/>
        </w:rPr>
        <w:t>ROPOSAL</w:t>
      </w:r>
      <w:r>
        <w:rPr>
          <w:rFonts w:ascii="Arial" w:cs="Arial" w:eastAsia="Arial" w:hAnsi="Arial"/>
          <w:sz w:val="20"/>
          <w:szCs w:val="20"/>
          <w:b w:val="1"/>
          <w:bCs w:val="1"/>
          <w:color w:val="auto"/>
        </w:rPr>
        <w:t xml:space="preserve"> 3</w:t>
      </w:r>
    </w:p>
    <w:p>
      <w:pPr>
        <w:spacing w:after="0" w:line="229"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6"/>
          <w:szCs w:val="16"/>
          <w:b w:val="1"/>
          <w:bCs w:val="1"/>
          <w:color w:val="auto"/>
        </w:rPr>
        <w:t>ATIFICATION</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ELECTION</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NDEPENDENT</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EGISTERED</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UBLIC</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CCOUNTING</w:t>
      </w:r>
      <w:r>
        <w:rPr>
          <w:rFonts w:ascii="Arial" w:cs="Arial" w:eastAsia="Arial" w:hAnsi="Arial"/>
          <w:sz w:val="20"/>
          <w:szCs w:val="20"/>
          <w:b w:val="1"/>
          <w:bCs w:val="1"/>
          <w:color w:val="auto"/>
        </w:rPr>
        <w:t xml:space="preserve"> F</w:t>
      </w:r>
      <w:r>
        <w:rPr>
          <w:rFonts w:ascii="Arial" w:cs="Arial" w:eastAsia="Arial" w:hAnsi="Arial"/>
          <w:sz w:val="16"/>
          <w:szCs w:val="16"/>
          <w:b w:val="1"/>
          <w:bCs w:val="1"/>
          <w:color w:val="auto"/>
        </w:rPr>
        <w:t>IRM</w:t>
      </w:r>
    </w:p>
    <w:p>
      <w:pPr>
        <w:spacing w:after="0" w:line="157"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The Audit Committee of the Board of Directors has selected Marcum LLP as the Company’s independent registered public accounting firm for the fiscal year ending December 31, 2021 and has further directed that management submit the selection of its independent registered public accounting firm for ratification by the stockholders at the Annual Meeting. Marcum LLP has audited the Company’s financial statements since 2014. Representatives of Marcum LLP are expected to be present online at the Annual Meeting. They will have an opportunity to make a statement if they so desire and will be available to respond to appropriate questions.</w:t>
      </w:r>
    </w:p>
    <w:p>
      <w:pPr>
        <w:spacing w:after="0" w:line="127"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Neither the Company’s Bylaws nor other governing documents or law require stockholder ratification of the selection of Marcum LLP as the Company’s independent registered public accounting firm. However, the Audit Committee of the Board is submitting the selection of Marcum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24"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The affirmative vote of the holders of a majority of the shares present at the virtual meeting or represented by proxy and entitled to vote on the matter at the Annual Meeting will be required to ratify the selection of Marcum LLP.</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162"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2020 and 2019 by Marcum LLP, the Company’s principal accountant.</w:t>
      </w:r>
    </w:p>
    <w:p>
      <w:pPr>
        <w:spacing w:after="0" w:line="13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Fiscal Year Ended</w:t>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6630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7"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5580" w:type="dxa"/>
            <w:vAlign w:val="bottom"/>
            <w:tcBorders>
              <w:bottom w:val="single" w:sz="8" w:color="CCED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D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0"/>
        </w:trPr>
        <w:tc>
          <w:tcPr>
            <w:tcW w:w="5580" w:type="dxa"/>
            <w:vAlign w:val="bottom"/>
            <w:shd w:val="clear" w:color="auto" w:fill="CCEDFF"/>
          </w:tcPr>
          <w:p>
            <w:pPr>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122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$185,400</w:t>
            </w:r>
          </w:p>
        </w:tc>
        <w:tc>
          <w:tcPr>
            <w:tcW w:w="200" w:type="dxa"/>
            <w:vAlign w:val="bottom"/>
            <w:shd w:val="clear" w:color="auto" w:fill="CCEDFF"/>
          </w:tcPr>
          <w:p>
            <w:pPr>
              <w:spacing w:after="0"/>
              <w:rPr>
                <w:sz w:val="23"/>
                <w:szCs w:val="23"/>
                <w:color w:val="auto"/>
              </w:rPr>
            </w:pPr>
          </w:p>
        </w:tc>
        <w:tc>
          <w:tcPr>
            <w:tcW w:w="120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$258,530</w:t>
            </w:r>
          </w:p>
        </w:tc>
      </w:tr>
      <w:tr>
        <w:trPr>
          <w:trHeight w:val="270"/>
        </w:trPr>
        <w:tc>
          <w:tcPr>
            <w:tcW w:w="5580" w:type="dxa"/>
            <w:vAlign w:val="bottom"/>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83"/>
        </w:trPr>
        <w:tc>
          <w:tcPr>
            <w:tcW w:w="5580" w:type="dxa"/>
            <w:vAlign w:val="bottom"/>
            <w:shd w:val="clear" w:color="auto" w:fill="CCEDFF"/>
          </w:tcPr>
          <w:p>
            <w:pPr>
              <w:spacing w:after="0" w:line="283"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1420" w:type="dxa"/>
            <w:vAlign w:val="bottom"/>
            <w:gridSpan w:val="2"/>
            <w:shd w:val="clear" w:color="auto" w:fill="CCEDFF"/>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DFF"/>
          </w:tcPr>
          <w:p>
            <w:pPr>
              <w:jc w:val="right"/>
              <w:ind w:right="150"/>
              <w:spacing w:after="0"/>
              <w:rPr>
                <w:sz w:val="20"/>
                <w:szCs w:val="20"/>
                <w:color w:val="auto"/>
              </w:rPr>
            </w:pPr>
            <w:r>
              <w:rPr>
                <w:rFonts w:ascii="Arial" w:cs="Arial" w:eastAsia="Arial" w:hAnsi="Arial"/>
                <w:sz w:val="18"/>
                <w:szCs w:val="18"/>
                <w:color w:val="auto"/>
              </w:rPr>
              <w:t>20,600</w:t>
            </w:r>
          </w:p>
        </w:tc>
      </w:tr>
      <w:tr>
        <w:trPr>
          <w:trHeight w:val="250"/>
        </w:trPr>
        <w:tc>
          <w:tcPr>
            <w:tcW w:w="5580" w:type="dxa"/>
            <w:vAlign w:val="bottom"/>
            <w:tcBorders>
              <w:top w:val="single" w:sz="8" w:color="CCEDFF"/>
            </w:tcBorders>
          </w:tcPr>
          <w:p>
            <w:pPr>
              <w:spacing w:after="0"/>
              <w:rPr>
                <w:sz w:val="20"/>
                <w:szCs w:val="20"/>
                <w:color w:val="auto"/>
              </w:rPr>
            </w:pPr>
            <w:r>
              <w:rPr>
                <w:rFonts w:ascii="Arial" w:cs="Arial" w:eastAsia="Arial" w:hAnsi="Arial"/>
                <w:sz w:val="18"/>
                <w:szCs w:val="18"/>
                <w:color w:val="auto"/>
              </w:rPr>
              <w:t>Total Fees</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$185,400</w:t>
            </w:r>
          </w:p>
        </w:tc>
        <w:tc>
          <w:tcPr>
            <w:tcW w:w="200" w:type="dxa"/>
            <w:vAlign w:val="bottom"/>
            <w:tcBorders>
              <w:top w:val="single" w:sz="8" w:color="CCEDFF"/>
            </w:tcBorders>
          </w:tcPr>
          <w:p>
            <w:pPr>
              <w:spacing w:after="0"/>
              <w:rPr>
                <w:sz w:val="21"/>
                <w:szCs w:val="21"/>
                <w:color w:val="auto"/>
              </w:rPr>
            </w:pP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$279,130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-702310</wp:posOffset>
            </wp:positionV>
            <wp:extent cx="44488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8256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62" w:lineRule="exact"/>
        <w:rPr>
          <w:sz w:val="20"/>
          <w:szCs w:val="20"/>
          <w:color w:val="auto"/>
        </w:rPr>
      </w:pPr>
    </w:p>
    <w:p>
      <w:pPr>
        <w:jc w:val="both"/>
        <w:ind w:left="1620" w:right="419" w:hanging="360"/>
        <w:spacing w:after="0" w:line="221" w:lineRule="auto"/>
        <w:tabs>
          <w:tab w:leader="none" w:pos="162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Audit fees consist of the aggregate fees billed for professional services rendered by our independent auditors for the audit of our annual financial statements, the review of the financial statements, including internal control attestations, included in each of our quarterly reports and services provided in connection with statutory and regulatory filings or engagements.</w:t>
      </w:r>
    </w:p>
    <w:p>
      <w:pPr>
        <w:spacing w:after="0" w:line="64" w:lineRule="exact"/>
        <w:rPr>
          <w:rFonts w:ascii="Arial" w:cs="Arial" w:eastAsia="Arial" w:hAnsi="Arial"/>
          <w:sz w:val="25"/>
          <w:szCs w:val="25"/>
          <w:color w:val="auto"/>
          <w:vertAlign w:val="superscript"/>
        </w:rPr>
      </w:pPr>
    </w:p>
    <w:p>
      <w:pPr>
        <w:jc w:val="both"/>
        <w:ind w:left="1620" w:right="419" w:hanging="360"/>
        <w:spacing w:after="0" w:line="213" w:lineRule="auto"/>
        <w:tabs>
          <w:tab w:leader="none" w:pos="162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Audit-related fees consist of the aggregate fees billed by our independent auditors for assurance and related services that are reasonably related to the performance of the audit or review of our financial statements and are not described in the preceding category.</w:t>
      </w:r>
    </w:p>
    <w:p>
      <w:pPr>
        <w:spacing w:after="0" w:line="2" w:lineRule="exact"/>
        <w:rPr>
          <w:rFonts w:ascii="Arial" w:cs="Arial" w:eastAsia="Arial" w:hAnsi="Arial"/>
          <w:sz w:val="25"/>
          <w:szCs w:val="25"/>
          <w:color w:val="auto"/>
          <w:vertAlign w:val="superscript"/>
        </w:rPr>
      </w:pPr>
    </w:p>
    <w:p>
      <w:pPr>
        <w:ind w:left="1620" w:hanging="360"/>
        <w:spacing w:after="0" w:line="214" w:lineRule="auto"/>
        <w:tabs>
          <w:tab w:leader="none" w:pos="162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Tax fees are billed by our independent auditors for tax compliance, tax advice and tax planning.</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w:t>
      </w:r>
      <w:r>
        <w:rPr>
          <w:rFonts w:ascii="Arial" w:cs="Arial" w:eastAsia="Arial" w:hAnsi="Arial"/>
          <w:sz w:val="18"/>
          <w:szCs w:val="18"/>
          <w:b w:val="1"/>
          <w:bCs w:val="1"/>
          <w:color w:val="auto"/>
        </w:rPr>
        <w:t>A</w:t>
      </w:r>
      <w:r>
        <w:rPr>
          <w:rFonts w:ascii="Arial" w:cs="Arial" w:eastAsia="Arial" w:hAnsi="Arial"/>
          <w:sz w:val="14"/>
          <w:szCs w:val="14"/>
          <w:b w:val="1"/>
          <w:bCs w:val="1"/>
          <w:color w:val="auto"/>
        </w:rPr>
        <w:t>PPROVAL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62"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The Audit Committee pre-approves all audit and non-audit services rendered by the Company’s independent registered public accounting firm, Marcum LLP.</w:t>
      </w:r>
    </w:p>
    <w:p>
      <w:pPr>
        <w:spacing w:after="0" w:line="103"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The Audit Committee has determined that the rendering of services other than audit services by Marcum LLP is compatible with maintaining the principal accountant’s independence.</w:t>
      </w:r>
    </w:p>
    <w:p>
      <w:pPr>
        <w:spacing w:after="0" w:line="16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2"/>
          <w:szCs w:val="12"/>
          <w:b w:val="1"/>
          <w:bCs w:val="1"/>
          <w:color w:val="auto"/>
        </w:rPr>
        <w:t>OTE IN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AVOR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ROPOSAL</w:t>
      </w:r>
      <w:r>
        <w:rPr>
          <w:rFonts w:ascii="Arial" w:cs="Arial" w:eastAsia="Arial" w:hAnsi="Arial"/>
          <w:sz w:val="18"/>
          <w:szCs w:val="18"/>
          <w:b w:val="1"/>
          <w:bCs w:val="1"/>
          <w:color w:val="auto"/>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XECUTIVE</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FFICERS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executive officers, and their respective ages as of April 23, 2021, are as follows: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2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Position(s)</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Peter Hoang</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Anthony Kim</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Juan Vera, M.D.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Development Officer and Director</w:t>
            </w:r>
          </w:p>
        </w:tc>
      </w:tr>
      <w:tr>
        <w:trPr>
          <w:trHeight w:val="256"/>
        </w:trPr>
        <w:tc>
          <w:tcPr>
            <w:tcW w:w="2920" w:type="dxa"/>
            <w:vAlign w:val="bottom"/>
            <w:gridSpan w:val="2"/>
          </w:tcPr>
          <w:p>
            <w:pPr>
              <w:spacing w:after="0"/>
              <w:rPr>
                <w:sz w:val="20"/>
                <w:szCs w:val="20"/>
                <w:color w:val="auto"/>
              </w:rPr>
            </w:pPr>
            <w:r>
              <w:rPr>
                <w:rFonts w:ascii="Arial" w:cs="Arial" w:eastAsia="Arial" w:hAnsi="Arial"/>
                <w:sz w:val="18"/>
                <w:szCs w:val="18"/>
                <w:color w:val="auto"/>
              </w:rPr>
              <w:t>Mythili Koneru, M.D., Ph.D.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Michael Loiacono</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Nadia Agopyan, Ph.D.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Vice President, Regulatory Affairs</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Gerald Garrett</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Vice President, Clinical Operations</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Tsvetelina Hoang, Ph.D.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Vice President, Research &amp; Development</w:t>
            </w: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Anna Szymanska</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Vice President, Quality</w:t>
            </w:r>
          </w:p>
        </w:tc>
      </w:tr>
    </w:tbl>
    <w:p>
      <w:pPr>
        <w:spacing w:after="0" w:line="1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biographies of Peter Hoang and Juan Vera are set forth in “Proposal 1: Election of Directors” above.</w:t>
      </w:r>
    </w:p>
    <w:p>
      <w:pPr>
        <w:spacing w:after="0" w:line="169"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8"/>
          <w:szCs w:val="18"/>
          <w:b w:val="1"/>
          <w:bCs w:val="1"/>
          <w:i w:val="1"/>
          <w:iCs w:val="1"/>
          <w:color w:val="auto"/>
        </w:rPr>
        <w:t xml:space="preserve">Anthony Kim </w:t>
      </w:r>
      <w:r>
        <w:rPr>
          <w:rFonts w:ascii="Arial" w:cs="Arial" w:eastAsia="Arial" w:hAnsi="Arial"/>
          <w:sz w:val="18"/>
          <w:szCs w:val="18"/>
          <w:color w:val="auto"/>
        </w:rPr>
        <w:t>has served as our Chief Financial Officer since November 2018. Mr. Kim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Executive Director in the Healthcare Group of Nomura Securities International, Inc. from October 2017 until November 2018. Before joining Nomura, Mr. Kim served as Senior Vice President in the Healthcare Group of Houlihan Lokey from April 2016 to October 2017 and, prior to that, as a Senior Vice President at Jefferies in their Healthcare Group from 2012 to March 2016. Mr. Kim earned an AB in Economics from the University of Chicago and an M.B.A. with a concentration in Finance from the Anderson School of Management at the University of California, Los Angeles.</w:t>
      </w:r>
    </w:p>
    <w:p>
      <w:pPr>
        <w:spacing w:after="0" w:line="110"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b w:val="1"/>
          <w:bCs w:val="1"/>
          <w:i w:val="1"/>
          <w:iCs w:val="1"/>
          <w:color w:val="auto"/>
        </w:rPr>
        <w:t xml:space="preserve">Mythili Koneru, M.D., Ph.D. </w:t>
      </w:r>
      <w:r>
        <w:rPr>
          <w:rFonts w:ascii="Arial" w:cs="Arial" w:eastAsia="Arial" w:hAnsi="Arial"/>
          <w:sz w:val="18"/>
          <w:szCs w:val="18"/>
          <w:color w:val="auto"/>
        </w:rPr>
        <w:t>has served as our Chief Medical Officer since December 2019. Dr. Koneru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Vice President of Clinical Development from February 2019 to December 2019. Dr. Koneru previously served in positions of increasing responsibility at Eli Lilly and Company from April 2015 to February 2019, most recently as Associate Vice President of Immuno-Oncology. Prior to Eli Lilly, Dr. Koneru was an oncology fellow in the laboratory of Dr. Renier Brentjens at Memorial Sloan-Kettering Cancer Center. Dr. Koneru earned a B.A. in Cellular and Molecular Biology from the University of Chicago, a Ph.D. in Biomedical Research: Tumor Immunology from New York University and an M.D. from the Robert Wood Johnson Medical School.</w:t>
      </w:r>
    </w:p>
    <w:p>
      <w:pPr>
        <w:spacing w:after="0" w:line="126"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b w:val="1"/>
          <w:bCs w:val="1"/>
          <w:i w:val="1"/>
          <w:iCs w:val="1"/>
          <w:color w:val="auto"/>
        </w:rPr>
        <w:t xml:space="preserve">Michael Loiacono </w:t>
      </w:r>
      <w:r>
        <w:rPr>
          <w:rFonts w:ascii="Arial" w:cs="Arial" w:eastAsia="Arial" w:hAnsi="Arial"/>
          <w:sz w:val="18"/>
          <w:szCs w:val="18"/>
          <w:color w:val="auto"/>
        </w:rPr>
        <w:t>has served as our Chief Accounting Officer, Secretary and Treasurer since August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Loiacono also previously served as our Chief Financial Officer from August 2016 until November 2018 when the roles of Chief Accounting Officer and Chief Financial Officer of the Company were separated. Mr. Loiacono previously was responsible for strategic development at FTCI, Inc. from 2013 to August 2016. Mr. Loiacono earned a B.S. from Rutgers University.</w:t>
      </w:r>
    </w:p>
    <w:p>
      <w:pPr>
        <w:spacing w:after="0" w:line="122"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b w:val="1"/>
          <w:bCs w:val="1"/>
          <w:i w:val="1"/>
          <w:iCs w:val="1"/>
          <w:color w:val="auto"/>
        </w:rPr>
        <w:t xml:space="preserve">Nadia Agopyan, Ph.D. </w:t>
      </w:r>
      <w:r>
        <w:rPr>
          <w:rFonts w:ascii="Arial" w:cs="Arial" w:eastAsia="Arial" w:hAnsi="Arial"/>
          <w:sz w:val="18"/>
          <w:szCs w:val="18"/>
          <w:color w:val="auto"/>
        </w:rPr>
        <w:t>has served as our Vice President of Regulatory Affairs since August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Agopyan previously served as Director of Regulatory Affairs of Kite Pharma, a subsidiary of Gilead Sciences, from April 2015 to August 2019. She also served as Global Regulatory Lead at Baxter Biosciences from 2012 to April 2015. Ms. Agopyan earned a B.Sc. and a Ph.D. in Neurophysiology from McGill University.</w:t>
      </w:r>
    </w:p>
    <w:p>
      <w:pPr>
        <w:spacing w:after="0" w:line="107"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b w:val="1"/>
          <w:bCs w:val="1"/>
          <w:i w:val="1"/>
          <w:iCs w:val="1"/>
          <w:color w:val="auto"/>
        </w:rPr>
        <w:t xml:space="preserve">Gerald Garrett </w:t>
      </w:r>
      <w:r>
        <w:rPr>
          <w:rFonts w:ascii="Arial" w:cs="Arial" w:eastAsia="Arial" w:hAnsi="Arial"/>
          <w:sz w:val="18"/>
          <w:szCs w:val="18"/>
          <w:color w:val="auto"/>
        </w:rPr>
        <w:t>has served as our Vice President of Clinical Operations since November 2019, a position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from April 2016 to November 2019 as a consultant and thereafter as our employee. Mr. Garrett has also owned and operated CMB Consulting, Inc., a contract research organization, since 2003. Mr. Garrett earned a B.S. in Biology from Texas A&amp;M University.</w:t>
      </w:r>
    </w:p>
    <w:p>
      <w:pPr>
        <w:spacing w:after="0" w:line="119" w:lineRule="exact"/>
        <w:rPr>
          <w:sz w:val="20"/>
          <w:szCs w:val="20"/>
          <w:color w:val="auto"/>
        </w:rPr>
      </w:pPr>
    </w:p>
    <w:p>
      <w:pPr>
        <w:jc w:val="both"/>
        <w:ind w:left="1260" w:right="419"/>
        <w:spacing w:after="0" w:line="273" w:lineRule="auto"/>
        <w:rPr>
          <w:sz w:val="20"/>
          <w:szCs w:val="20"/>
          <w:color w:val="auto"/>
        </w:rPr>
      </w:pPr>
      <w:r>
        <w:rPr>
          <w:rFonts w:ascii="Arial" w:cs="Arial" w:eastAsia="Arial" w:hAnsi="Arial"/>
          <w:sz w:val="17"/>
          <w:szCs w:val="17"/>
          <w:b w:val="1"/>
          <w:bCs w:val="1"/>
          <w:i w:val="1"/>
          <w:iCs w:val="1"/>
          <w:color w:val="auto"/>
        </w:rPr>
        <w:t xml:space="preserve">Tsvetelina P. Hoang, Ph.D. </w:t>
      </w:r>
      <w:r>
        <w:rPr>
          <w:rFonts w:ascii="Arial" w:cs="Arial" w:eastAsia="Arial" w:hAnsi="Arial"/>
          <w:sz w:val="17"/>
          <w:szCs w:val="17"/>
          <w:color w:val="auto"/>
        </w:rPr>
        <w:t>has served as our Vice President of Research and Development since July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 previously served in positions of increasing responsibility at Bellicum Pharmaceuticals, Inc. from February 2015 to July 2018, including as Senior Scientist and most recently as Director of Translational Research. Previously, she was a member of the faculty at The University of Texas MD Anderson Cancer Center from 2013 to 2015. Ms. Hoang earned a combined B.S./M.S. in Molecular Biophysics and Biochemistry from Yale University and a Ph.D. in Biology from Johns Hopkins University.</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2" w:lineRule="auto"/>
        <w:rPr>
          <w:sz w:val="20"/>
          <w:szCs w:val="20"/>
          <w:color w:val="auto"/>
        </w:rPr>
      </w:pPr>
      <w:r>
        <w:rPr>
          <w:rFonts w:ascii="Arial" w:cs="Arial" w:eastAsia="Arial" w:hAnsi="Arial"/>
          <w:sz w:val="17"/>
          <w:szCs w:val="17"/>
          <w:b w:val="1"/>
          <w:bCs w:val="1"/>
          <w:i w:val="1"/>
          <w:iCs w:val="1"/>
          <w:color w:val="auto"/>
        </w:rPr>
        <w:t xml:space="preserve">Anna Szymanska </w:t>
      </w:r>
      <w:r>
        <w:rPr>
          <w:rFonts w:ascii="Arial" w:cs="Arial" w:eastAsia="Arial" w:hAnsi="Arial"/>
          <w:sz w:val="17"/>
          <w:szCs w:val="17"/>
          <w:color w:val="auto"/>
        </w:rPr>
        <w:t>has served as our Vice President of Quality since December 2019. She previously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Senior Director of Quality from April 2019 to December 2019. Prior to joining our Company, Ms. Szymanska served as Director of Quality Control for Bellicum Pharmaceuticals, Inc. from May 2016 to March 2019. She also served as Quality Validation Specialists and Project Manager of Opexa Therapeutics, Inc. from August 2015 to March 2016 and in roles of increasing responsibility at Woodfield Pharmaceutical, LLC (formerly Pernix Manufacturing, LLC) from 2008 to August 2015, most recently as Director of Microbiology. Ms. Szymanska earned an M.S. in Microbiology from the University of Warsaw.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ECURITY</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WNERSHIP</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ERTAIN</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ENEFICIAL</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WNERS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ND</w:t>
      </w:r>
      <w:r>
        <w:rPr>
          <w:rFonts w:ascii="Arial" w:cs="Arial" w:eastAsia="Arial" w:hAnsi="Arial"/>
          <w:sz w:val="20"/>
          <w:szCs w:val="20"/>
          <w:b w:val="1"/>
          <w:bCs w:val="1"/>
          <w:color w:val="auto"/>
        </w:rPr>
        <w:t xml:space="preserve"> M</w:t>
      </w:r>
      <w:r>
        <w:rPr>
          <w:rFonts w:ascii="Arial" w:cs="Arial" w:eastAsia="Arial" w:hAnsi="Arial"/>
          <w:sz w:val="16"/>
          <w:szCs w:val="16"/>
          <w:b w:val="1"/>
          <w:bCs w:val="1"/>
          <w:color w:val="auto"/>
        </w:rPr>
        <w:t>ANAGEMENT</w:t>
      </w:r>
    </w:p>
    <w:p>
      <w:pPr>
        <w:spacing w:after="0" w:line="157" w:lineRule="exact"/>
        <w:rPr>
          <w:sz w:val="20"/>
          <w:szCs w:val="20"/>
          <w:color w:val="auto"/>
        </w:rPr>
      </w:pPr>
    </w:p>
    <w:p>
      <w:pPr>
        <w:jc w:val="both"/>
        <w:ind w:left="1260" w:right="419"/>
        <w:spacing w:after="0" w:line="274" w:lineRule="auto"/>
        <w:rPr>
          <w:sz w:val="20"/>
          <w:szCs w:val="20"/>
          <w:color w:val="auto"/>
        </w:rPr>
      </w:pPr>
      <w:r>
        <w:rPr>
          <w:rFonts w:ascii="Arial" w:cs="Arial" w:eastAsia="Arial" w:hAnsi="Arial"/>
          <w:sz w:val="17"/>
          <w:szCs w:val="17"/>
          <w:color w:val="auto"/>
        </w:rPr>
        <w:t>The following table sets forth certain information regarding the ownership of the Company’s common stock as of March 31, 2021 by: (i) each director and nominee for director; (ii) each named executive officer;</w:t>
      </w:r>
    </w:p>
    <w:p>
      <w:pPr>
        <w:jc w:val="both"/>
        <w:ind w:left="1260" w:right="419"/>
        <w:spacing w:after="0" w:line="253" w:lineRule="auto"/>
        <w:tabs>
          <w:tab w:leader="none" w:pos="1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March 31, 2021.</w:t>
      </w:r>
    </w:p>
    <w:p>
      <w:pPr>
        <w:spacing w:after="0" w:line="113"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Beneficial Ownership</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-1270</wp:posOffset>
            </wp:positionV>
            <wp:extent cx="1868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5% or greater stockholders:</w:t>
      </w:r>
    </w:p>
    <w:p>
      <w:pPr>
        <w:ind w:left="1440"/>
        <w:spacing w:after="0" w:line="236" w:lineRule="auto"/>
        <w:rPr>
          <w:sz w:val="20"/>
          <w:szCs w:val="20"/>
          <w:color w:val="auto"/>
        </w:rPr>
      </w:pPr>
      <w:r>
        <w:rPr>
          <w:rFonts w:ascii="Arial" w:cs="Arial" w:eastAsia="Arial" w:hAnsi="Arial"/>
          <w:sz w:val="18"/>
          <w:szCs w:val="18"/>
          <w:color w:val="auto"/>
        </w:rPr>
        <w:t>New Enterprise Associates</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Aisling Capital IV LP</w:t>
      </w:r>
      <w:r>
        <w:rPr>
          <w:rFonts w:ascii="Arial" w:cs="Arial" w:eastAsia="Arial" w:hAnsi="Arial"/>
          <w:sz w:val="26"/>
          <w:szCs w:val="26"/>
          <w:color w:val="auto"/>
          <w:vertAlign w:val="superscript"/>
        </w:rPr>
        <w:t>(3)</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Named executive officers and directors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line="223" w:lineRule="auto"/>
        <w:rPr>
          <w:sz w:val="20"/>
          <w:szCs w:val="20"/>
          <w:color w:val="auto"/>
        </w:rPr>
      </w:pPr>
      <w:r>
        <w:rPr>
          <w:rFonts w:ascii="Arial" w:cs="Arial" w:eastAsia="Arial" w:hAnsi="Arial"/>
          <w:sz w:val="18"/>
          <w:szCs w:val="18"/>
          <w:color w:val="auto"/>
        </w:rPr>
        <w:t>Peter L. Hoang</w:t>
      </w:r>
      <w:r>
        <w:rPr>
          <w:rFonts w:ascii="Arial" w:cs="Arial" w:eastAsia="Arial" w:hAnsi="Arial"/>
          <w:sz w:val="26"/>
          <w:szCs w:val="26"/>
          <w:color w:val="auto"/>
          <w:vertAlign w:val="superscript"/>
        </w:rPr>
        <w:t>(4)</w:t>
      </w:r>
    </w:p>
    <w:p>
      <w:pPr>
        <w:ind w:left="1440"/>
        <w:spacing w:after="0" w:line="217" w:lineRule="auto"/>
        <w:rPr>
          <w:sz w:val="20"/>
          <w:szCs w:val="20"/>
          <w:color w:val="auto"/>
        </w:rPr>
      </w:pPr>
      <w:r>
        <w:rPr>
          <w:rFonts w:ascii="Arial" w:cs="Arial" w:eastAsia="Arial" w:hAnsi="Arial"/>
          <w:sz w:val="18"/>
          <w:szCs w:val="18"/>
          <w:color w:val="auto"/>
        </w:rPr>
        <w:t>Anthony Kim</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line="217" w:lineRule="auto"/>
        <w:rPr>
          <w:sz w:val="20"/>
          <w:szCs w:val="20"/>
          <w:color w:val="auto"/>
        </w:rPr>
      </w:pPr>
      <w:r>
        <w:rPr>
          <w:rFonts w:ascii="Arial" w:cs="Arial" w:eastAsia="Arial" w:hAnsi="Arial"/>
          <w:sz w:val="18"/>
          <w:szCs w:val="18"/>
          <w:color w:val="auto"/>
        </w:rPr>
        <w:t>Mythili Koneru</w:t>
      </w:r>
      <w:r>
        <w:rPr>
          <w:rFonts w:ascii="Arial" w:cs="Arial" w:eastAsia="Arial" w:hAnsi="Arial"/>
          <w:sz w:val="26"/>
          <w:szCs w:val="26"/>
          <w:color w:val="auto"/>
          <w:vertAlign w:val="superscript"/>
        </w:rPr>
        <w:t>(6)</w:t>
      </w:r>
    </w:p>
    <w:p>
      <w:pPr>
        <w:ind w:left="1440"/>
        <w:spacing w:after="0" w:line="216" w:lineRule="auto"/>
        <w:rPr>
          <w:sz w:val="20"/>
          <w:szCs w:val="20"/>
          <w:color w:val="auto"/>
        </w:rPr>
      </w:pPr>
      <w:r>
        <w:rPr>
          <w:rFonts w:ascii="Arial" w:cs="Arial" w:eastAsia="Arial" w:hAnsi="Arial"/>
          <w:sz w:val="18"/>
          <w:szCs w:val="18"/>
          <w:color w:val="auto"/>
        </w:rPr>
        <w:t>David Eansor</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line="217" w:lineRule="auto"/>
        <w:rPr>
          <w:sz w:val="20"/>
          <w:szCs w:val="20"/>
          <w:color w:val="auto"/>
        </w:rPr>
      </w:pPr>
      <w:r>
        <w:rPr>
          <w:rFonts w:ascii="Arial" w:cs="Arial" w:eastAsia="Arial" w:hAnsi="Arial"/>
          <w:sz w:val="18"/>
          <w:szCs w:val="18"/>
          <w:color w:val="auto"/>
        </w:rPr>
        <w:t>Steven Elms</w:t>
      </w:r>
      <w:r>
        <w:rPr>
          <w:rFonts w:ascii="Arial" w:cs="Arial" w:eastAsia="Arial" w:hAnsi="Arial"/>
          <w:sz w:val="26"/>
          <w:szCs w:val="26"/>
          <w:color w:val="auto"/>
          <w:vertAlign w:val="superscript"/>
        </w:rPr>
        <w:t>(8)</w:t>
      </w:r>
    </w:p>
    <w:p>
      <w:pPr>
        <w:ind w:left="1440"/>
        <w:spacing w:after="0" w:line="217" w:lineRule="auto"/>
        <w:rPr>
          <w:sz w:val="20"/>
          <w:szCs w:val="20"/>
          <w:color w:val="auto"/>
        </w:rPr>
      </w:pPr>
      <w:r>
        <w:rPr>
          <w:rFonts w:ascii="Arial" w:cs="Arial" w:eastAsia="Arial" w:hAnsi="Arial"/>
          <w:sz w:val="18"/>
          <w:szCs w:val="18"/>
          <w:color w:val="auto"/>
        </w:rPr>
        <w:t>David Laskow-Pooley</w:t>
      </w:r>
      <w:r>
        <w:rPr>
          <w:rFonts w:ascii="Arial" w:cs="Arial" w:eastAsia="Arial" w:hAnsi="Arial"/>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line="216" w:lineRule="auto"/>
        <w:rPr>
          <w:sz w:val="20"/>
          <w:szCs w:val="20"/>
          <w:color w:val="auto"/>
        </w:rPr>
      </w:pPr>
      <w:r>
        <w:rPr>
          <w:rFonts w:ascii="Arial" w:cs="Arial" w:eastAsia="Arial" w:hAnsi="Arial"/>
          <w:sz w:val="18"/>
          <w:szCs w:val="18"/>
          <w:color w:val="auto"/>
        </w:rPr>
        <w:t>Dr. Juan Vera, M.D</w:t>
      </w:r>
      <w:r>
        <w:rPr>
          <w:rFonts w:ascii="Arial" w:cs="Arial" w:eastAsia="Arial" w:hAnsi="Arial"/>
          <w:sz w:val="26"/>
          <w:szCs w:val="26"/>
          <w:color w:val="auto"/>
          <w:vertAlign w:val="superscript"/>
        </w:rPr>
        <w:t>(10)</w:t>
      </w:r>
      <w:r>
        <w:rPr>
          <w:rFonts w:ascii="Arial" w:cs="Arial" w:eastAsia="Arial" w:hAnsi="Arial"/>
          <w:sz w:val="18"/>
          <w:szCs w:val="18"/>
          <w:color w:val="auto"/>
        </w:rPr>
        <w:t>.</w:t>
      </w:r>
    </w:p>
    <w:p>
      <w:pPr>
        <w:ind w:left="1440"/>
        <w:spacing w:after="0" w:line="217" w:lineRule="auto"/>
        <w:rPr>
          <w:sz w:val="20"/>
          <w:szCs w:val="20"/>
          <w:color w:val="auto"/>
        </w:rPr>
      </w:pPr>
      <w:r>
        <w:rPr>
          <w:rFonts w:ascii="Arial" w:cs="Arial" w:eastAsia="Arial" w:hAnsi="Arial"/>
          <w:sz w:val="18"/>
          <w:szCs w:val="18"/>
          <w:color w:val="auto"/>
        </w:rPr>
        <w:t>Frederick Wasserman</w:t>
      </w:r>
      <w:r>
        <w:rPr>
          <w:rFonts w:ascii="Arial" w:cs="Arial" w:eastAsia="Arial" w:hAnsi="Arial"/>
          <w:sz w:val="26"/>
          <w:szCs w:val="26"/>
          <w:color w:val="auto"/>
          <w:vertAlign w:val="superscript"/>
        </w:rPr>
        <w:t>(11)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line="217" w:lineRule="auto"/>
        <w:rPr>
          <w:sz w:val="20"/>
          <w:szCs w:val="20"/>
          <w:color w:val="auto"/>
        </w:rPr>
      </w:pPr>
      <w:r>
        <w:rPr>
          <w:rFonts w:ascii="Arial" w:cs="Arial" w:eastAsia="Arial" w:hAnsi="Arial"/>
          <w:sz w:val="18"/>
          <w:szCs w:val="18"/>
          <w:color w:val="auto"/>
        </w:rPr>
        <w:t>John Wilson</w:t>
      </w:r>
      <w:r>
        <w:rPr>
          <w:rFonts w:ascii="Arial" w:cs="Arial" w:eastAsia="Arial" w:hAnsi="Arial"/>
          <w:sz w:val="26"/>
          <w:szCs w:val="26"/>
          <w:color w:val="auto"/>
          <w:vertAlign w:val="superscript"/>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All executive officers and directors as a group (14 persons)</w:t>
      </w:r>
      <w:r>
        <w:rPr>
          <w:rFonts w:ascii="Arial" w:cs="Arial" w:eastAsia="Arial" w:hAnsi="Arial"/>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148590</wp:posOffset>
            </wp:positionV>
            <wp:extent cx="18256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48" w:lineRule="exact"/>
        <w:rPr>
          <w:sz w:val="20"/>
          <w:szCs w:val="20"/>
          <w:color w:val="auto"/>
        </w:rPr>
      </w:pPr>
    </w:p>
    <w:p>
      <w:pPr>
        <w:ind w:left="1620" w:hanging="36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Number of</w:t>
            </w:r>
          </w:p>
        </w:tc>
        <w:tc>
          <w:tcPr>
            <w:tcW w:w="1360" w:type="dxa"/>
            <w:vAlign w:val="bottom"/>
          </w:tcPr>
          <w:p>
            <w:pPr>
              <w:spacing w:after="0"/>
              <w:rPr>
                <w:sz w:val="17"/>
                <w:szCs w:val="17"/>
                <w:color w:val="auto"/>
              </w:rPr>
            </w:pPr>
          </w:p>
        </w:tc>
      </w:tr>
      <w:tr>
        <w:trPr>
          <w:trHeight w:val="241"/>
        </w:trPr>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Shares</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Percent of Total</w:t>
            </w:r>
          </w:p>
        </w:tc>
      </w:tr>
      <w:tr>
        <w:trPr>
          <w:trHeight w:val="527"/>
        </w:trPr>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14,464,285</w:t>
            </w:r>
          </w:p>
        </w:tc>
        <w:tc>
          <w:tcPr>
            <w:tcW w:w="220" w:type="dxa"/>
            <w:vAlign w:val="bottom"/>
          </w:tcPr>
          <w:p>
            <w:pPr>
              <w:spacing w:after="0"/>
              <w:rPr>
                <w:sz w:val="24"/>
                <w:szCs w:val="24"/>
                <w:color w:val="auto"/>
              </w:rPr>
            </w:pPr>
          </w:p>
        </w:tc>
        <w:tc>
          <w:tcPr>
            <w:tcW w:w="13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16.7%</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4,642,857</w:t>
            </w:r>
          </w:p>
        </w:tc>
        <w:tc>
          <w:tcPr>
            <w:tcW w:w="2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5.5%</w:t>
            </w:r>
          </w:p>
        </w:tc>
      </w:tr>
      <w:tr>
        <w:trPr>
          <w:trHeight w:val="527"/>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1,363,112</w:t>
            </w:r>
          </w:p>
        </w:tc>
        <w:tc>
          <w:tcPr>
            <w:tcW w:w="220" w:type="dxa"/>
            <w:vAlign w:val="bottom"/>
          </w:tcPr>
          <w:p>
            <w:pPr>
              <w:spacing w:after="0"/>
              <w:rPr>
                <w:sz w:val="24"/>
                <w:szCs w:val="24"/>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1.6%</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306,651</w:t>
            </w:r>
          </w:p>
        </w:tc>
        <w:tc>
          <w:tcPr>
            <w:tcW w:w="220" w:type="dxa"/>
            <w:vAlign w:val="bottom"/>
          </w:tcPr>
          <w:p>
            <w:pPr>
              <w:spacing w:after="0"/>
              <w:rPr>
                <w:sz w:val="23"/>
                <w:szCs w:val="23"/>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222,089</w:t>
            </w:r>
          </w:p>
        </w:tc>
        <w:tc>
          <w:tcPr>
            <w:tcW w:w="220" w:type="dxa"/>
            <w:vAlign w:val="bottom"/>
          </w:tcPr>
          <w:p>
            <w:pPr>
              <w:spacing w:after="0"/>
              <w:rPr>
                <w:sz w:val="23"/>
                <w:szCs w:val="23"/>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36,782</w:t>
            </w:r>
          </w:p>
        </w:tc>
        <w:tc>
          <w:tcPr>
            <w:tcW w:w="220" w:type="dxa"/>
            <w:vAlign w:val="bottom"/>
          </w:tcPr>
          <w:p>
            <w:pPr>
              <w:spacing w:after="0"/>
              <w:rPr>
                <w:sz w:val="23"/>
                <w:szCs w:val="23"/>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4,670,820</w:t>
            </w:r>
          </w:p>
        </w:tc>
        <w:tc>
          <w:tcPr>
            <w:tcW w:w="2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5.5%</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55,065</w:t>
            </w:r>
          </w:p>
        </w:tc>
        <w:tc>
          <w:tcPr>
            <w:tcW w:w="220" w:type="dxa"/>
            <w:vAlign w:val="bottom"/>
          </w:tcPr>
          <w:p>
            <w:pPr>
              <w:spacing w:after="0"/>
              <w:rPr>
                <w:sz w:val="23"/>
                <w:szCs w:val="23"/>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3,649,365</w:t>
            </w:r>
          </w:p>
        </w:tc>
        <w:tc>
          <w:tcPr>
            <w:tcW w:w="2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4.3%</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55,065</w:t>
            </w:r>
          </w:p>
        </w:tc>
        <w:tc>
          <w:tcPr>
            <w:tcW w:w="220" w:type="dxa"/>
            <w:vAlign w:val="bottom"/>
          </w:tcPr>
          <w:p>
            <w:pPr>
              <w:spacing w:after="0"/>
              <w:rPr>
                <w:sz w:val="23"/>
                <w:szCs w:val="23"/>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10,009,792</w:t>
            </w:r>
          </w:p>
        </w:tc>
        <w:tc>
          <w:tcPr>
            <w:tcW w:w="2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11.7%</w:t>
            </w:r>
          </w:p>
        </w:tc>
      </w:tr>
      <w:tr>
        <w:trPr>
          <w:trHeight w:val="270"/>
        </w:trPr>
        <w:tc>
          <w:tcPr>
            <w:tcW w:w="1360" w:type="dxa"/>
            <w:vAlign w:val="bottom"/>
          </w:tcPr>
          <w:p>
            <w:pPr>
              <w:jc w:val="right"/>
              <w:ind w:right="190"/>
              <w:spacing w:after="0"/>
              <w:rPr>
                <w:sz w:val="20"/>
                <w:szCs w:val="20"/>
                <w:color w:val="auto"/>
              </w:rPr>
            </w:pPr>
            <w:r>
              <w:rPr>
                <w:rFonts w:ascii="Arial" w:cs="Arial" w:eastAsia="Arial" w:hAnsi="Arial"/>
                <w:sz w:val="18"/>
                <w:szCs w:val="18"/>
                <w:color w:val="auto"/>
              </w:rPr>
              <w:t>21,061,703</w:t>
            </w:r>
          </w:p>
        </w:tc>
        <w:tc>
          <w:tcPr>
            <w:tcW w:w="2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23.4%</w:t>
            </w:r>
          </w:p>
        </w:tc>
      </w:tr>
    </w:tbl>
    <w:p>
      <w:pPr>
        <w:spacing w:after="0" w:line="660" w:lineRule="exact"/>
        <w:rPr>
          <w:sz w:val="20"/>
          <w:szCs w:val="20"/>
          <w:color w:val="auto"/>
        </w:rPr>
      </w:pPr>
    </w:p>
    <w:p>
      <w:pPr>
        <w:sectPr>
          <w:pgSz w:w="11900" w:h="16838" w:orient="portrait"/>
          <w:cols w:equalWidth="0" w:num="2">
            <w:col w:w="6140" w:space="380"/>
            <w:col w:w="3359"/>
          </w:cols>
          <w:pgMar w:left="580" w:top="131" w:right="1440" w:bottom="1440" w:gutter="0" w:footer="0" w:header="0"/>
          <w:type w:val="continuous"/>
        </w:sectPr>
      </w:pPr>
    </w:p>
    <w:p>
      <w:pPr>
        <w:jc w:val="both"/>
        <w:ind w:left="2020" w:right="419" w:hanging="760"/>
        <w:spacing w:after="0" w:line="273" w:lineRule="auto"/>
        <w:tabs>
          <w:tab w:leader="none" w:pos="2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83,013,929 shares outstanding on March 31, 2021, adjusted as required by rules promulgated by the SEC.</w:t>
      </w:r>
    </w:p>
    <w:p>
      <w:pPr>
        <w:spacing w:after="0" w:line="96" w:lineRule="exact"/>
        <w:rPr>
          <w:rFonts w:ascii="Arial" w:cs="Arial" w:eastAsia="Arial" w:hAnsi="Arial"/>
          <w:sz w:val="17"/>
          <w:szCs w:val="17"/>
          <w:color w:val="auto"/>
        </w:rPr>
      </w:pPr>
    </w:p>
    <w:p>
      <w:pPr>
        <w:jc w:val="both"/>
        <w:ind w:left="2020" w:right="419" w:hanging="760"/>
        <w:spacing w:after="0" w:line="258" w:lineRule="auto"/>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13D/A filed on filed on March 16, 2021 with the SEC by New Enterprise Associates 16, L.P. (“NEA 16”) and its affiliates. Consists of</w:t>
      </w:r>
    </w:p>
    <w:p>
      <w:pPr>
        <w:spacing w:after="0" w:line="1" w:lineRule="exact"/>
        <w:rPr>
          <w:rFonts w:ascii="Arial" w:cs="Arial" w:eastAsia="Arial" w:hAnsi="Arial"/>
          <w:sz w:val="18"/>
          <w:szCs w:val="18"/>
          <w:color w:val="auto"/>
        </w:rPr>
      </w:pPr>
    </w:p>
    <w:p>
      <w:pPr>
        <w:jc w:val="both"/>
        <w:ind w:left="2020" w:right="419" w:hanging="4"/>
        <w:spacing w:after="0" w:line="251" w:lineRule="auto"/>
        <w:tabs>
          <w:tab w:leader="none" w:pos="23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10,714,285 shares of common stock held directly by NEA 16 and (b) 3,750,000 shares of common stock issuable upon the exercise of warrants held directly by NEA 16. NEA Partners 16, L.P. (“NEA Partners 16”) is the sole general partner of NEA 16, and NEA 16 GP, LLC (“NEA 16 LLC”) is the sole general partner of NEA Partner 16. The mangers of NEA 16 LLC are Peter J. Barris, Forest Baskett, Ali Behbahani, Carmen Chang, Anthony A. Florence, Jr., Mohamad H. Makhzoumi, Joshua Makower, David M. Mott, Scott D. Sandell, Peter W. Sonsini, Ravi Viswanathan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128" w:lineRule="exact"/>
        <w:rPr>
          <w:rFonts w:ascii="Arial" w:cs="Arial" w:eastAsia="Arial" w:hAnsi="Arial"/>
          <w:sz w:val="18"/>
          <w:szCs w:val="18"/>
          <w:color w:val="auto"/>
        </w:rPr>
      </w:pPr>
    </w:p>
    <w:p>
      <w:pPr>
        <w:jc w:val="both"/>
        <w:ind w:left="2020" w:right="419" w:hanging="760"/>
        <w:spacing w:after="0" w:line="257" w:lineRule="auto"/>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 filed on October 19, 2018 with the SEC by Aisling Capital IV, LP (“Aisling”) and its affiliates. Consists of (a) 3,142,857 shares of common stock held directly by Aisling and (b) 1,500,000 shares of common stock issuable upon exercise of warrants held directly by Aisling. Aisling Capital Partners IV, LP, (“Aisling LP”) is the general</w:t>
      </w:r>
    </w:p>
    <w:p>
      <w:pPr>
        <w:sectPr>
          <w:pgSz w:w="11900" w:h="16838" w:orient="portrait"/>
          <w:cols w:equalWidth="0" w:num="1">
            <w:col w:w="9879"/>
          </w:cols>
          <w:pgMar w:left="580" w:top="131" w:right="1440" w:bottom="1440" w:gutter="0" w:footer="0" w:header="0"/>
          <w:type w:val="continuous"/>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020" w:right="419"/>
        <w:spacing w:after="0" w:line="254" w:lineRule="auto"/>
        <w:rPr>
          <w:sz w:val="20"/>
          <w:szCs w:val="20"/>
          <w:color w:val="auto"/>
        </w:rPr>
      </w:pPr>
      <w:r>
        <w:rPr>
          <w:rFonts w:ascii="Arial" w:cs="Arial" w:eastAsia="Arial" w:hAnsi="Arial"/>
          <w:sz w:val="18"/>
          <w:szCs w:val="18"/>
          <w:color w:val="auto"/>
        </w:rPr>
        <w:t>partner of Aisling and Aisling Capital Partners IV LLC, (“Aisling LLC”) is the general partner of Aisling LLC. Steven Elms, a member of the Company’s board of directors, and Mr. Andrew Schiff are the managing members of Aisling LLC (together, the “Managing Members”). Aisling, Aisling LP, Aisling LLC and the Managing Members share voting and dispositive power with regard to the shares owned directly by Aisling. The principal business address for all entities and individuals affiliated with Aisling is Aisling Capital, 888 Seventh Avenue, 12th Floor, New York, NY 10106.</w:t>
      </w:r>
    </w:p>
    <w:p>
      <w:pPr>
        <w:spacing w:after="0" w:line="114" w:lineRule="exact"/>
        <w:rPr>
          <w:sz w:val="20"/>
          <w:szCs w:val="20"/>
          <w:color w:val="auto"/>
        </w:rPr>
      </w:pPr>
    </w:p>
    <w:p>
      <w:pPr>
        <w:ind w:left="2020" w:right="419" w:hanging="760"/>
        <w:spacing w:after="0" w:line="277"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332,568 shares of common stock and (b) 1,030,544 shares of common stock issuable upon exercise of options within 60 days of March 31, 2021.</w:t>
      </w:r>
    </w:p>
    <w:p>
      <w:pPr>
        <w:spacing w:after="0" w:line="102" w:lineRule="exact"/>
        <w:rPr>
          <w:rFonts w:ascii="Arial" w:cs="Arial" w:eastAsia="Arial" w:hAnsi="Arial"/>
          <w:sz w:val="18"/>
          <w:szCs w:val="18"/>
          <w:color w:val="auto"/>
        </w:rPr>
      </w:pPr>
    </w:p>
    <w:p>
      <w:pPr>
        <w:ind w:left="2020" w:right="419" w:hanging="760"/>
        <w:spacing w:after="0" w:line="277"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306,651 shares of common stock issuable upon exercise of options within 60 days of March 31, 2021.</w:t>
      </w:r>
    </w:p>
    <w:p>
      <w:pPr>
        <w:spacing w:after="0" w:line="102" w:lineRule="exact"/>
        <w:rPr>
          <w:rFonts w:ascii="Arial" w:cs="Arial" w:eastAsia="Arial" w:hAnsi="Arial"/>
          <w:sz w:val="18"/>
          <w:szCs w:val="18"/>
          <w:color w:val="auto"/>
        </w:rPr>
      </w:pPr>
    </w:p>
    <w:p>
      <w:pPr>
        <w:ind w:left="2020" w:right="419" w:hanging="760"/>
        <w:spacing w:after="0" w:line="277"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222,089 shares of common stock issuable upon exercise of options within 60 days of March 31, 2021.</w:t>
      </w:r>
    </w:p>
    <w:p>
      <w:pPr>
        <w:spacing w:after="0" w:line="89" w:lineRule="exact"/>
        <w:rPr>
          <w:rFonts w:ascii="Arial" w:cs="Arial" w:eastAsia="Arial" w:hAnsi="Arial"/>
          <w:sz w:val="18"/>
          <w:szCs w:val="18"/>
          <w:color w:val="auto"/>
        </w:rPr>
      </w:pPr>
    </w:p>
    <w:p>
      <w:pPr>
        <w:ind w:left="2020" w:right="419" w:hanging="760"/>
        <w:spacing w:after="0" w:line="277"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24,282 shares of common stock and (b) 12,500 shares of common stock issuable upon exercise of options within 60 days of March 31, 2021.</w:t>
      </w:r>
    </w:p>
    <w:p>
      <w:pPr>
        <w:spacing w:after="0" w:line="102" w:lineRule="exact"/>
        <w:rPr>
          <w:rFonts w:ascii="Arial" w:cs="Arial" w:eastAsia="Arial" w:hAnsi="Arial"/>
          <w:sz w:val="18"/>
          <w:szCs w:val="18"/>
          <w:color w:val="auto"/>
        </w:rPr>
      </w:pPr>
    </w:p>
    <w:p>
      <w:pPr>
        <w:jc w:val="both"/>
        <w:ind w:left="2020" w:right="419" w:hanging="760"/>
        <w:spacing w:after="0" w:line="257"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17,022 shares of common stock held directly by Mr. Elms, (b) 3,142,857 shares of common stock held directly by Aisling as described above in footnote 4, (c) 1,500,000 shares of common stock issuable upon exercise of warrants held directly by Aisling as described above in footnote 4 and (d) 10,941 shares of common stock issuable upon exercise of options within 60 days of March 31, 2021.</w:t>
      </w:r>
    </w:p>
    <w:p>
      <w:pPr>
        <w:spacing w:after="0" w:line="120" w:lineRule="exact"/>
        <w:rPr>
          <w:rFonts w:ascii="Arial" w:cs="Arial" w:eastAsia="Arial" w:hAnsi="Arial"/>
          <w:sz w:val="18"/>
          <w:szCs w:val="18"/>
          <w:color w:val="auto"/>
        </w:rPr>
      </w:pPr>
    </w:p>
    <w:p>
      <w:pPr>
        <w:ind w:left="2020" w:right="419" w:hanging="760"/>
        <w:spacing w:after="0" w:line="277"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42,565 shares of common stock and (b) 12,500 shares of common stock issuable upon exercise of options within 60 days of March 31, 2021.</w:t>
      </w:r>
    </w:p>
    <w:p>
      <w:pPr>
        <w:spacing w:after="0" w:line="89" w:lineRule="exact"/>
        <w:rPr>
          <w:rFonts w:ascii="Arial" w:cs="Arial" w:eastAsia="Arial" w:hAnsi="Arial"/>
          <w:sz w:val="18"/>
          <w:szCs w:val="18"/>
          <w:color w:val="auto"/>
        </w:rPr>
      </w:pPr>
    </w:p>
    <w:p>
      <w:pPr>
        <w:jc w:val="both"/>
        <w:ind w:left="2020" w:right="419" w:hanging="760"/>
        <w:spacing w:after="0" w:line="263"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2,564,487 shares of common stock, (b) 722,783 shares of common stock issuable upon exercise of warrants within 60 days of March 31, 2021 and (c) 362,095 shares of common stock issuable upon exercise of options within 60 days of March 31, 2021.</w:t>
      </w:r>
    </w:p>
    <w:p>
      <w:pPr>
        <w:spacing w:after="0" w:line="116" w:lineRule="exact"/>
        <w:rPr>
          <w:rFonts w:ascii="Arial" w:cs="Arial" w:eastAsia="Arial" w:hAnsi="Arial"/>
          <w:sz w:val="18"/>
          <w:szCs w:val="18"/>
          <w:color w:val="auto"/>
        </w:rPr>
      </w:pPr>
    </w:p>
    <w:p>
      <w:pPr>
        <w:ind w:left="2020" w:right="419" w:hanging="760"/>
        <w:spacing w:after="0" w:line="277"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42,565 shares of common stock and (b) 12,500 shares of common stock issuable upon exercise of options within 60 days of March 31, 2021.</w:t>
      </w:r>
    </w:p>
    <w:p>
      <w:pPr>
        <w:spacing w:after="0" w:line="102" w:lineRule="exact"/>
        <w:rPr>
          <w:rFonts w:ascii="Arial" w:cs="Arial" w:eastAsia="Arial" w:hAnsi="Arial"/>
          <w:sz w:val="18"/>
          <w:szCs w:val="18"/>
          <w:color w:val="auto"/>
        </w:rPr>
      </w:pPr>
    </w:p>
    <w:p>
      <w:pPr>
        <w:jc w:val="both"/>
        <w:ind w:left="2020" w:right="419" w:hanging="760"/>
        <w:spacing w:after="0" w:line="263"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7,799,350 shares of common stock, (b) 2,197,942 shares of common stock issuable upon exercise of warrants within 60 days of March 31, 2021 and (c) 12,500 shares of common stock issuable upon exercise of options within 60 days of March 31, 2021.</w:t>
      </w:r>
    </w:p>
    <w:p>
      <w:pPr>
        <w:spacing w:after="0" w:line="102" w:lineRule="exact"/>
        <w:rPr>
          <w:rFonts w:ascii="Arial" w:cs="Arial" w:eastAsia="Arial" w:hAnsi="Arial"/>
          <w:sz w:val="18"/>
          <w:szCs w:val="18"/>
          <w:color w:val="auto"/>
        </w:rPr>
      </w:pPr>
    </w:p>
    <w:p>
      <w:pPr>
        <w:jc w:val="both"/>
        <w:ind w:left="2020" w:right="419" w:hanging="760"/>
        <w:spacing w:after="0" w:line="263"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(a) 13,965,756 shares of common stock, (b) 4,420,725 shares of common stock issuable upon exercise of warrants within 60 days of March 31, 2021 and (c) 2,675,222 shares of common stock issuable upon exercise of options within 60 days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ELINQUENT</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ECTION</w:t>
      </w:r>
      <w:r>
        <w:rPr>
          <w:rFonts w:ascii="Arial" w:cs="Arial" w:eastAsia="Arial" w:hAnsi="Arial"/>
          <w:sz w:val="20"/>
          <w:szCs w:val="20"/>
          <w:b w:val="1"/>
          <w:bCs w:val="1"/>
          <w:color w:val="auto"/>
        </w:rPr>
        <w:t xml:space="preserve"> 16(A) R</w:t>
      </w:r>
      <w:r>
        <w:rPr>
          <w:rFonts w:ascii="Arial" w:cs="Arial" w:eastAsia="Arial" w:hAnsi="Arial"/>
          <w:sz w:val="16"/>
          <w:szCs w:val="16"/>
          <w:b w:val="1"/>
          <w:bCs w:val="1"/>
          <w:color w:val="auto"/>
        </w:rPr>
        <w:t>EPORTS</w:t>
      </w:r>
    </w:p>
    <w:p>
      <w:pPr>
        <w:spacing w:after="0" w:line="157"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20"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December 31, 2020, all Section 16(a) filing requirements applicable to its officers, directors and greater than ten percent beneficial owners were complied with, except for Form 4s filed by Eastern Capital LTD on June 19, 2020 and November 13, 2020, and Form 5s filed by David Eansor, Steven Elms, David Laskow-Pooley, Frederick Wasserman and John Wilson on February 12, 2021 for transactions that took place on May 19, 2020, each due to administrative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XECUTIVE</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OMPENSATION</w:t>
      </w:r>
    </w:p>
    <w:p>
      <w:pPr>
        <w:spacing w:after="0" w:line="157" w:lineRule="exact"/>
        <w:rPr>
          <w:sz w:val="20"/>
          <w:szCs w:val="20"/>
          <w:color w:val="auto"/>
        </w:rPr>
      </w:pPr>
    </w:p>
    <w:p>
      <w:pPr>
        <w:jc w:val="both"/>
        <w:ind w:left="1260" w:right="419"/>
        <w:spacing w:after="0" w:line="241" w:lineRule="auto"/>
        <w:rPr>
          <w:sz w:val="20"/>
          <w:szCs w:val="20"/>
          <w:color w:val="auto"/>
        </w:rPr>
      </w:pPr>
      <w:r>
        <w:rPr>
          <w:rFonts w:ascii="Arial" w:cs="Arial" w:eastAsia="Arial" w:hAnsi="Arial"/>
          <w:sz w:val="18"/>
          <w:szCs w:val="18"/>
          <w:color w:val="auto"/>
        </w:rPr>
        <w:t>We are currently a smaller reporting company and have elected to be subject to the scaled reporting rules applicable to smaller reporting companies. The following section describes, under the scaled reporting rules applicable to smaller reporting companies, the compensation we paid to our named executive officers for 2020 and 2019. Our named executive officers for 2020 include our principal executive officer and our two other most highly compensated executive officers:</w:t>
      </w:r>
    </w:p>
    <w:p>
      <w:pPr>
        <w:spacing w:after="0" w:line="81"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Peter Hoang, our President and Chief Executive Officer;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Anthony Kim, our Chief Financial Officer;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Mythili Koneru, our Chief Medical Officer.</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6"/>
          <w:szCs w:val="16"/>
          <w:b w:val="1"/>
          <w:bCs w:val="1"/>
          <w:color w:val="auto"/>
        </w:rPr>
        <w:t>UMMARY</w:t>
      </w:r>
      <w:r>
        <w:rPr>
          <w:rFonts w:ascii="Arial" w:cs="Arial" w:eastAsia="Arial" w:hAnsi="Arial"/>
          <w:sz w:val="22"/>
          <w:szCs w:val="22"/>
          <w:b w:val="1"/>
          <w:bCs w:val="1"/>
          <w:color w:val="auto"/>
        </w:rPr>
        <w:t xml:space="preserve"> C</w:t>
      </w:r>
      <w:r>
        <w:rPr>
          <w:rFonts w:ascii="Arial" w:cs="Arial" w:eastAsia="Arial" w:hAnsi="Arial"/>
          <w:sz w:val="16"/>
          <w:szCs w:val="16"/>
          <w:b w:val="1"/>
          <w:bCs w:val="1"/>
          <w:color w:val="auto"/>
        </w:rPr>
        <w:t>OMPENSATION</w:t>
      </w:r>
      <w:r>
        <w:rPr>
          <w:rFonts w:ascii="Arial" w:cs="Arial" w:eastAsia="Arial" w:hAnsi="Arial"/>
          <w:sz w:val="22"/>
          <w:szCs w:val="22"/>
          <w:b w:val="1"/>
          <w:bCs w:val="1"/>
          <w:color w:val="auto"/>
        </w:rPr>
        <w:t xml:space="preserve"> T</w:t>
      </w:r>
      <w:r>
        <w:rPr>
          <w:rFonts w:ascii="Arial" w:cs="Arial" w:eastAsia="Arial" w:hAnsi="Arial"/>
          <w:sz w:val="16"/>
          <w:szCs w:val="16"/>
          <w:b w:val="1"/>
          <w:bCs w:val="1"/>
          <w:color w:val="auto"/>
        </w:rPr>
        <w:t>ABLE</w:t>
      </w:r>
    </w:p>
    <w:p>
      <w:pPr>
        <w:spacing w:after="0" w:line="165" w:lineRule="exact"/>
        <w:rPr>
          <w:sz w:val="20"/>
          <w:szCs w:val="20"/>
          <w:color w:val="auto"/>
        </w:rPr>
      </w:pPr>
    </w:p>
    <w:p>
      <w:pPr>
        <w:ind w:left="1260" w:right="419"/>
        <w:spacing w:after="0" w:line="291" w:lineRule="auto"/>
        <w:rPr>
          <w:sz w:val="20"/>
          <w:szCs w:val="20"/>
          <w:color w:val="auto"/>
        </w:rPr>
      </w:pPr>
      <w:r>
        <w:rPr>
          <w:rFonts w:ascii="Arial" w:cs="Arial" w:eastAsia="Arial" w:hAnsi="Arial"/>
          <w:sz w:val="17"/>
          <w:szCs w:val="17"/>
          <w:color w:val="auto"/>
        </w:rPr>
        <w:t>The following table sets forth information regarding compensation awarded to, earned by and paid to our named executive officers with respect to the years ended December 31, 2020 and 2019, respectively.</w:t>
      </w:r>
    </w:p>
    <w:p>
      <w:pPr>
        <w:spacing w:after="0" w:line="9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Non-Equity</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1"/>
              </w:rPr>
              <w:t>Bonus</w:t>
            </w: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Awards</w:t>
            </w:r>
          </w:p>
        </w:tc>
        <w:tc>
          <w:tcPr>
            <w:tcW w:w="130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Incentive Plan</w:t>
            </w:r>
          </w:p>
        </w:tc>
        <w:tc>
          <w:tcPr>
            <w:tcW w:w="7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9"/>
                <w:szCs w:val="1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6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740" w:type="dxa"/>
            <w:vAlign w:val="bottom"/>
          </w:tcPr>
          <w:p>
            <w:pPr>
              <w:jc w:val="center"/>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(1)</w:t>
            </w:r>
          </w:p>
        </w:tc>
        <w:tc>
          <w:tcPr>
            <w:tcW w:w="220" w:type="dxa"/>
            <w:vAlign w:val="bottom"/>
          </w:tcPr>
          <w:p>
            <w:pPr>
              <w:spacing w:after="0"/>
              <w:rPr>
                <w:sz w:val="19"/>
                <w:szCs w:val="19"/>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Compensation ($)</w:t>
            </w: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200" w:type="dxa"/>
            <w:vAlign w:val="bottom"/>
            <w:tcBorders>
              <w:top w:val="single" w:sz="8" w:color="auto"/>
            </w:tcBorders>
            <w:gridSpan w:val="2"/>
            <w:shd w:val="clear" w:color="auto" w:fill="CCEDFF"/>
          </w:tcPr>
          <w:p>
            <w:pPr>
              <w:spacing w:after="0" w:line="263" w:lineRule="exact"/>
              <w:rPr>
                <w:sz w:val="20"/>
                <w:szCs w:val="20"/>
                <w:color w:val="auto"/>
              </w:rPr>
            </w:pPr>
            <w:r>
              <w:rPr>
                <w:rFonts w:ascii="Arial" w:cs="Arial" w:eastAsia="Arial" w:hAnsi="Arial"/>
                <w:sz w:val="18"/>
                <w:szCs w:val="18"/>
                <w:color w:val="auto"/>
              </w:rPr>
              <w:t>Peter Hoang</w:t>
            </w:r>
            <w:r>
              <w:rPr>
                <w:rFonts w:ascii="Arial" w:cs="Arial" w:eastAsia="Arial" w:hAnsi="Arial"/>
                <w:sz w:val="26"/>
                <w:szCs w:val="26"/>
                <w:color w:val="auto"/>
                <w:vertAlign w:val="superscript"/>
              </w:rPr>
              <w:t>(2)</w:t>
            </w:r>
          </w:p>
        </w:tc>
        <w:tc>
          <w:tcPr>
            <w:tcW w:w="180" w:type="dxa"/>
            <w:vAlign w:val="bottom"/>
            <w:tcBorders>
              <w:top w:val="single" w:sz="8" w:color="CCEDFF"/>
            </w:tcBorders>
            <w:shd w:val="clear" w:color="auto" w:fill="CCEDFF"/>
          </w:tcPr>
          <w:p>
            <w:pPr>
              <w:spacing w:after="0"/>
              <w:rPr>
                <w:sz w:val="22"/>
                <w:szCs w:val="22"/>
                <w:color w:val="auto"/>
              </w:rPr>
            </w:pPr>
          </w:p>
        </w:tc>
        <w:tc>
          <w:tcPr>
            <w:tcW w:w="380" w:type="dxa"/>
            <w:vAlign w:val="bottom"/>
            <w:tcBorders>
              <w:top w:val="single" w:sz="8" w:color="auto"/>
            </w:tcBorders>
            <w:shd w:val="clear" w:color="auto" w:fill="CCEDFF"/>
          </w:tcPr>
          <w:p>
            <w:pPr>
              <w:spacing w:after="0"/>
              <w:rPr>
                <w:sz w:val="22"/>
                <w:szCs w:val="22"/>
                <w:color w:val="auto"/>
              </w:rPr>
            </w:pPr>
          </w:p>
        </w:tc>
        <w:tc>
          <w:tcPr>
            <w:tcW w:w="180" w:type="dxa"/>
            <w:vAlign w:val="bottom"/>
            <w:tcBorders>
              <w:top w:val="single" w:sz="8" w:color="CCEDFF"/>
            </w:tcBorders>
            <w:shd w:val="clear" w:color="auto" w:fill="CCEDFF"/>
          </w:tcPr>
          <w:p>
            <w:pPr>
              <w:spacing w:after="0"/>
              <w:rPr>
                <w:sz w:val="22"/>
                <w:szCs w:val="22"/>
                <w:color w:val="auto"/>
              </w:rPr>
            </w:pPr>
          </w:p>
        </w:tc>
        <w:tc>
          <w:tcPr>
            <w:tcW w:w="300" w:type="dxa"/>
            <w:vAlign w:val="bottom"/>
            <w:tcBorders>
              <w:top w:val="single" w:sz="8" w:color="auto"/>
            </w:tcBorders>
            <w:shd w:val="clear" w:color="auto" w:fill="CCEDFF"/>
          </w:tcPr>
          <w:p>
            <w:pPr>
              <w:spacing w:after="0"/>
              <w:rPr>
                <w:sz w:val="22"/>
                <w:szCs w:val="22"/>
                <w:color w:val="auto"/>
              </w:rPr>
            </w:pPr>
          </w:p>
        </w:tc>
        <w:tc>
          <w:tcPr>
            <w:tcW w:w="320" w:type="dxa"/>
            <w:vAlign w:val="bottom"/>
            <w:tcBorders>
              <w:top w:val="single" w:sz="8" w:color="auto"/>
            </w:tcBorders>
            <w:shd w:val="clear" w:color="auto" w:fill="CCEDFF"/>
          </w:tcPr>
          <w:p>
            <w:pPr>
              <w:spacing w:after="0"/>
              <w:rPr>
                <w:sz w:val="22"/>
                <w:szCs w:val="22"/>
                <w:color w:val="auto"/>
              </w:rPr>
            </w:pPr>
          </w:p>
        </w:tc>
        <w:tc>
          <w:tcPr>
            <w:tcW w:w="200" w:type="dxa"/>
            <w:vAlign w:val="bottom"/>
            <w:tcBorders>
              <w:top w:val="single" w:sz="8" w:color="CCEDFF"/>
            </w:tcBorders>
            <w:shd w:val="clear" w:color="auto" w:fill="CCEDFF"/>
          </w:tcPr>
          <w:p>
            <w:pPr>
              <w:spacing w:after="0"/>
              <w:rPr>
                <w:sz w:val="22"/>
                <w:szCs w:val="22"/>
                <w:color w:val="auto"/>
              </w:rPr>
            </w:pPr>
          </w:p>
        </w:tc>
        <w:tc>
          <w:tcPr>
            <w:tcW w:w="520" w:type="dxa"/>
            <w:vAlign w:val="bottom"/>
            <w:tcBorders>
              <w:top w:val="single" w:sz="8" w:color="auto"/>
            </w:tcBorders>
            <w:shd w:val="clear" w:color="auto" w:fill="CCEDFF"/>
          </w:tcPr>
          <w:p>
            <w:pPr>
              <w:spacing w:after="0"/>
              <w:rPr>
                <w:sz w:val="22"/>
                <w:szCs w:val="22"/>
                <w:color w:val="auto"/>
              </w:rPr>
            </w:pPr>
          </w:p>
        </w:tc>
        <w:tc>
          <w:tcPr>
            <w:tcW w:w="200" w:type="dxa"/>
            <w:vAlign w:val="bottom"/>
            <w:tcBorders>
              <w:top w:val="single" w:sz="8" w:color="CCEDFF"/>
            </w:tcBorders>
            <w:shd w:val="clear" w:color="auto" w:fill="CCEDFF"/>
          </w:tcPr>
          <w:p>
            <w:pPr>
              <w:spacing w:after="0"/>
              <w:rPr>
                <w:sz w:val="22"/>
                <w:szCs w:val="22"/>
                <w:color w:val="auto"/>
              </w:rPr>
            </w:pPr>
          </w:p>
        </w:tc>
        <w:tc>
          <w:tcPr>
            <w:tcW w:w="740" w:type="dxa"/>
            <w:vAlign w:val="bottom"/>
            <w:tcBorders>
              <w:top w:val="single" w:sz="8" w:color="auto"/>
            </w:tcBorders>
            <w:shd w:val="clear" w:color="auto" w:fill="CCEDFF"/>
          </w:tcPr>
          <w:p>
            <w:pPr>
              <w:spacing w:after="0"/>
              <w:rPr>
                <w:sz w:val="22"/>
                <w:szCs w:val="22"/>
                <w:color w:val="auto"/>
              </w:rPr>
            </w:pPr>
          </w:p>
        </w:tc>
        <w:tc>
          <w:tcPr>
            <w:tcW w:w="220" w:type="dxa"/>
            <w:vAlign w:val="bottom"/>
            <w:tcBorders>
              <w:top w:val="single" w:sz="8" w:color="CCEDFF"/>
            </w:tcBorders>
            <w:shd w:val="clear" w:color="auto" w:fill="CCEDFF"/>
          </w:tcPr>
          <w:p>
            <w:pPr>
              <w:spacing w:after="0"/>
              <w:rPr>
                <w:sz w:val="22"/>
                <w:szCs w:val="22"/>
                <w:color w:val="auto"/>
              </w:rPr>
            </w:pPr>
          </w:p>
        </w:tc>
        <w:tc>
          <w:tcPr>
            <w:tcW w:w="840" w:type="dxa"/>
            <w:vAlign w:val="bottom"/>
            <w:tcBorders>
              <w:top w:val="single" w:sz="8" w:color="auto"/>
            </w:tcBorders>
            <w:shd w:val="clear" w:color="auto" w:fill="CCEDFF"/>
          </w:tcPr>
          <w:p>
            <w:pPr>
              <w:spacing w:after="0"/>
              <w:rPr>
                <w:sz w:val="22"/>
                <w:szCs w:val="22"/>
                <w:color w:val="auto"/>
              </w:rPr>
            </w:pPr>
          </w:p>
        </w:tc>
        <w:tc>
          <w:tcPr>
            <w:tcW w:w="240" w:type="dxa"/>
            <w:vAlign w:val="bottom"/>
            <w:tcBorders>
              <w:top w:val="single" w:sz="8" w:color="auto"/>
            </w:tcBorders>
            <w:shd w:val="clear" w:color="auto" w:fill="CCEDFF"/>
          </w:tcPr>
          <w:p>
            <w:pPr>
              <w:spacing w:after="0"/>
              <w:rPr>
                <w:sz w:val="22"/>
                <w:szCs w:val="22"/>
                <w:color w:val="auto"/>
              </w:rPr>
            </w:pPr>
          </w:p>
        </w:tc>
        <w:tc>
          <w:tcPr>
            <w:tcW w:w="220" w:type="dxa"/>
            <w:vAlign w:val="bottom"/>
            <w:tcBorders>
              <w:top w:val="single" w:sz="8" w:color="CCEDFF"/>
            </w:tcBorders>
            <w:shd w:val="clear" w:color="auto" w:fill="CCEDFF"/>
          </w:tcPr>
          <w:p>
            <w:pPr>
              <w:spacing w:after="0"/>
              <w:rPr>
                <w:sz w:val="22"/>
                <w:szCs w:val="22"/>
                <w:color w:val="auto"/>
              </w:rPr>
            </w:pPr>
          </w:p>
        </w:tc>
        <w:tc>
          <w:tcPr>
            <w:tcW w:w="740" w:type="dxa"/>
            <w:vAlign w:val="bottom"/>
            <w:tcBorders>
              <w:top w:val="single" w:sz="8" w:color="auto"/>
            </w:tcBorders>
            <w:shd w:val="clear" w:color="auto" w:fill="CCED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00" w:type="dxa"/>
            <w:vAlign w:val="bottom"/>
            <w:gridSpan w:val="2"/>
            <w:shd w:val="clear" w:color="auto" w:fill="CCEDFF"/>
          </w:tcPr>
          <w:p>
            <w:pPr>
              <w:ind w:left="180"/>
              <w:spacing w:after="0"/>
              <w:rPr>
                <w:sz w:val="20"/>
                <w:szCs w:val="20"/>
                <w:color w:val="auto"/>
              </w:rPr>
            </w:pPr>
            <w:r>
              <w:rPr>
                <w:rFonts w:ascii="Arial" w:cs="Arial" w:eastAsia="Arial" w:hAnsi="Arial"/>
                <w:sz w:val="18"/>
                <w:szCs w:val="18"/>
                <w:i w:val="1"/>
                <w:iCs w:val="1"/>
                <w:color w:val="auto"/>
              </w:rPr>
              <w:t>President and Chief</w:t>
            </w:r>
          </w:p>
        </w:tc>
        <w:tc>
          <w:tcPr>
            <w:tcW w:w="180" w:type="dxa"/>
            <w:vAlign w:val="bottom"/>
            <w:shd w:val="clear" w:color="auto" w:fill="CCEDFF"/>
          </w:tcPr>
          <w:p>
            <w:pPr>
              <w:spacing w:after="0"/>
              <w:rPr>
                <w:sz w:val="22"/>
                <w:szCs w:val="22"/>
                <w:color w:val="auto"/>
              </w:rPr>
            </w:pPr>
          </w:p>
        </w:tc>
        <w:tc>
          <w:tcPr>
            <w:tcW w:w="3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shd w:val="clear" w:color="auto" w:fill="CCEDFF"/>
          </w:tcPr>
          <w:p>
            <w:pPr>
              <w:spacing w:after="0"/>
              <w:rPr>
                <w:sz w:val="22"/>
                <w:szCs w:val="22"/>
                <w:color w:val="auto"/>
              </w:rPr>
            </w:pPr>
          </w:p>
        </w:tc>
        <w:tc>
          <w:tcPr>
            <w:tcW w:w="620" w:type="dxa"/>
            <w:vAlign w:val="bottom"/>
            <w:gridSpan w:val="2"/>
            <w:shd w:val="clear" w:color="auto" w:fill="CCEDFF"/>
          </w:tcPr>
          <w:p>
            <w:pPr>
              <w:ind w:left="20"/>
              <w:spacing w:after="0"/>
              <w:rPr>
                <w:sz w:val="20"/>
                <w:szCs w:val="20"/>
                <w:color w:val="auto"/>
              </w:rPr>
            </w:pPr>
            <w:r>
              <w:rPr>
                <w:rFonts w:ascii="Arial" w:cs="Arial" w:eastAsia="Arial" w:hAnsi="Arial"/>
                <w:sz w:val="18"/>
                <w:szCs w:val="18"/>
                <w:color w:val="auto"/>
                <w:w w:val="89"/>
              </w:rPr>
              <w:t>416,882</w:t>
            </w:r>
          </w:p>
        </w:tc>
        <w:tc>
          <w:tcPr>
            <w:tcW w:w="200" w:type="dxa"/>
            <w:vAlign w:val="bottom"/>
            <w:shd w:val="clear" w:color="auto" w:fill="CCEDFF"/>
          </w:tcPr>
          <w:p>
            <w:pPr>
              <w:spacing w:after="0"/>
              <w:rPr>
                <w:sz w:val="22"/>
                <w:szCs w:val="22"/>
                <w:color w:val="auto"/>
              </w:rPr>
            </w:pPr>
          </w:p>
        </w:tc>
        <w:tc>
          <w:tcPr>
            <w:tcW w:w="720" w:type="dxa"/>
            <w:vAlign w:val="bottom"/>
            <w:gridSpan w:val="2"/>
            <w:shd w:val="clear" w:color="auto" w:fill="CCED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748,200</w:t>
            </w:r>
          </w:p>
        </w:tc>
        <w:tc>
          <w:tcPr>
            <w:tcW w:w="220" w:type="dxa"/>
            <w:vAlign w:val="bottom"/>
            <w:shd w:val="clear" w:color="auto" w:fill="CCEDFF"/>
          </w:tcPr>
          <w:p>
            <w:pPr>
              <w:spacing w:after="0"/>
              <w:rPr>
                <w:sz w:val="22"/>
                <w:szCs w:val="22"/>
                <w:color w:val="auto"/>
              </w:rPr>
            </w:pPr>
          </w:p>
        </w:tc>
        <w:tc>
          <w:tcPr>
            <w:tcW w:w="8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209,000</w:t>
            </w:r>
          </w:p>
        </w:tc>
        <w:tc>
          <w:tcPr>
            <w:tcW w:w="24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w w:val="89"/>
              </w:rPr>
              <w:t>1,165,082</w:t>
            </w:r>
          </w:p>
        </w:tc>
        <w:tc>
          <w:tcPr>
            <w:tcW w:w="0" w:type="dxa"/>
            <w:vAlign w:val="bottom"/>
          </w:tcPr>
          <w:p>
            <w:pPr>
              <w:spacing w:after="0"/>
              <w:rPr>
                <w:sz w:val="1"/>
                <w:szCs w:val="1"/>
                <w:color w:val="auto"/>
              </w:rPr>
            </w:pPr>
          </w:p>
        </w:tc>
      </w:tr>
      <w:tr>
        <w:trPr>
          <w:trHeight w:val="230"/>
        </w:trPr>
        <w:tc>
          <w:tcPr>
            <w:tcW w:w="360" w:type="dxa"/>
            <w:vAlign w:val="bottom"/>
            <w:shd w:val="clear" w:color="auto" w:fill="CCEDFF"/>
          </w:tcPr>
          <w:p>
            <w:pPr>
              <w:spacing w:after="0"/>
              <w:rPr>
                <w:sz w:val="20"/>
                <w:szCs w:val="20"/>
                <w:color w:val="auto"/>
              </w:rPr>
            </w:pPr>
          </w:p>
        </w:tc>
        <w:tc>
          <w:tcPr>
            <w:tcW w:w="1840" w:type="dxa"/>
            <w:vAlign w:val="bottom"/>
            <w:shd w:val="clear" w:color="auto" w:fill="CCEDFF"/>
          </w:tcPr>
          <w:p>
            <w:pPr>
              <w:spacing w:after="0"/>
              <w:rPr>
                <w:sz w:val="20"/>
                <w:szCs w:val="20"/>
                <w:color w:val="auto"/>
              </w:rPr>
            </w:pPr>
            <w:r>
              <w:rPr>
                <w:rFonts w:ascii="Arial" w:cs="Arial" w:eastAsia="Arial" w:hAnsi="Arial"/>
                <w:sz w:val="18"/>
                <w:szCs w:val="18"/>
                <w:i w:val="1"/>
                <w:iCs w:val="1"/>
                <w:color w:val="auto"/>
              </w:rPr>
              <w:t>Executive Officer</w:t>
            </w:r>
          </w:p>
        </w:tc>
        <w:tc>
          <w:tcPr>
            <w:tcW w:w="180" w:type="dxa"/>
            <w:vAlign w:val="bottom"/>
            <w:shd w:val="clear" w:color="auto" w:fill="CCEDFF"/>
          </w:tcPr>
          <w:p>
            <w:pPr>
              <w:spacing w:after="0"/>
              <w:rPr>
                <w:sz w:val="20"/>
                <w:szCs w:val="20"/>
                <w:color w:val="auto"/>
              </w:rPr>
            </w:pPr>
          </w:p>
        </w:tc>
        <w:tc>
          <w:tcPr>
            <w:tcW w:w="380" w:type="dxa"/>
            <w:vAlign w:val="bottom"/>
            <w:vMerge w:val="restart"/>
            <w:shd w:val="clear" w:color="auto" w:fill="CCEDFF"/>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shd w:val="clear" w:color="auto" w:fill="CCEDFF"/>
          </w:tcPr>
          <w:p>
            <w:pPr>
              <w:spacing w:after="0"/>
              <w:rPr>
                <w:sz w:val="20"/>
                <w:szCs w:val="20"/>
                <w:color w:val="auto"/>
              </w:rPr>
            </w:pPr>
          </w:p>
        </w:tc>
        <w:tc>
          <w:tcPr>
            <w:tcW w:w="620" w:type="dxa"/>
            <w:vAlign w:val="bottom"/>
            <w:gridSpan w:val="2"/>
            <w:vMerge w:val="restart"/>
            <w:shd w:val="clear" w:color="auto" w:fill="CCEDFF"/>
          </w:tcPr>
          <w:p>
            <w:pPr>
              <w:ind w:left="20"/>
              <w:spacing w:after="0"/>
              <w:rPr>
                <w:sz w:val="20"/>
                <w:szCs w:val="20"/>
                <w:color w:val="auto"/>
              </w:rPr>
            </w:pPr>
            <w:r>
              <w:rPr>
                <w:rFonts w:ascii="Arial" w:cs="Arial" w:eastAsia="Arial" w:hAnsi="Arial"/>
                <w:sz w:val="18"/>
                <w:szCs w:val="18"/>
                <w:color w:val="auto"/>
                <w:w w:val="89"/>
              </w:rPr>
              <w:t>380,000</w:t>
            </w:r>
          </w:p>
        </w:tc>
        <w:tc>
          <w:tcPr>
            <w:tcW w:w="200" w:type="dxa"/>
            <w:vAlign w:val="bottom"/>
            <w:shd w:val="clear" w:color="auto" w:fill="CCEDFF"/>
          </w:tcPr>
          <w:p>
            <w:pPr>
              <w:spacing w:after="0"/>
              <w:rPr>
                <w:sz w:val="20"/>
                <w:szCs w:val="20"/>
                <w:color w:val="auto"/>
              </w:rPr>
            </w:pPr>
          </w:p>
        </w:tc>
        <w:tc>
          <w:tcPr>
            <w:tcW w:w="720" w:type="dxa"/>
            <w:vAlign w:val="bottom"/>
            <w:gridSpan w:val="2"/>
            <w:vMerge w:val="restart"/>
            <w:shd w:val="clear" w:color="auto" w:fill="CCED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D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DFF"/>
          </w:tcPr>
          <w:p>
            <w:pPr>
              <w:jc w:val="right"/>
              <w:spacing w:after="0"/>
              <w:rPr>
                <w:sz w:val="20"/>
                <w:szCs w:val="20"/>
                <w:color w:val="auto"/>
              </w:rPr>
            </w:pPr>
            <w:r>
              <w:rPr>
                <w:rFonts w:ascii="Arial" w:cs="Arial" w:eastAsia="Arial" w:hAnsi="Arial"/>
                <w:sz w:val="18"/>
                <w:szCs w:val="18"/>
                <w:color w:val="auto"/>
              </w:rPr>
              <w:t>71,665</w:t>
            </w:r>
          </w:p>
        </w:tc>
        <w:tc>
          <w:tcPr>
            <w:tcW w:w="24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w w:val="87"/>
              </w:rPr>
              <w:t>(5)</w:t>
            </w:r>
          </w:p>
        </w:tc>
        <w:tc>
          <w:tcPr>
            <w:tcW w:w="220" w:type="dxa"/>
            <w:vAlign w:val="bottom"/>
            <w:shd w:val="clear" w:color="auto" w:fill="CCEDFF"/>
          </w:tcPr>
          <w:p>
            <w:pPr>
              <w:spacing w:after="0"/>
              <w:rPr>
                <w:sz w:val="20"/>
                <w:szCs w:val="20"/>
                <w:color w:val="auto"/>
              </w:rPr>
            </w:pPr>
          </w:p>
        </w:tc>
        <w:tc>
          <w:tcPr>
            <w:tcW w:w="740" w:type="dxa"/>
            <w:vAlign w:val="bottom"/>
            <w:vMerge w:val="restart"/>
            <w:shd w:val="clear" w:color="auto" w:fill="CCEDFF"/>
          </w:tcPr>
          <w:p>
            <w:pPr>
              <w:jc w:val="right"/>
              <w:spacing w:after="0"/>
              <w:rPr>
                <w:sz w:val="20"/>
                <w:szCs w:val="20"/>
                <w:color w:val="auto"/>
              </w:rPr>
            </w:pPr>
            <w:r>
              <w:rPr>
                <w:rFonts w:ascii="Arial" w:cs="Arial" w:eastAsia="Arial" w:hAnsi="Arial"/>
                <w:sz w:val="18"/>
                <w:szCs w:val="18"/>
                <w:color w:val="auto"/>
              </w:rPr>
              <w:t>451,665</w:t>
            </w:r>
          </w:p>
        </w:tc>
        <w:tc>
          <w:tcPr>
            <w:tcW w:w="0" w:type="dxa"/>
            <w:vAlign w:val="bottom"/>
          </w:tcPr>
          <w:p>
            <w:pPr>
              <w:spacing w:after="0"/>
              <w:rPr>
                <w:sz w:val="1"/>
                <w:szCs w:val="1"/>
                <w:color w:val="auto"/>
              </w:rPr>
            </w:pPr>
          </w:p>
        </w:tc>
      </w:tr>
      <w:tr>
        <w:trPr>
          <w:trHeight w:val="81"/>
        </w:trPr>
        <w:tc>
          <w:tcPr>
            <w:tcW w:w="360" w:type="dxa"/>
            <w:vAlign w:val="bottom"/>
            <w:shd w:val="clear" w:color="auto" w:fill="CCEDFF"/>
          </w:tcPr>
          <w:p>
            <w:pPr>
              <w:spacing w:after="0"/>
              <w:rPr>
                <w:sz w:val="7"/>
                <w:szCs w:val="7"/>
                <w:color w:val="auto"/>
              </w:rPr>
            </w:pPr>
          </w:p>
        </w:tc>
        <w:tc>
          <w:tcPr>
            <w:tcW w:w="1840" w:type="dxa"/>
            <w:vAlign w:val="bottom"/>
            <w:shd w:val="clear" w:color="auto" w:fill="CCEDFF"/>
          </w:tcPr>
          <w:p>
            <w:pPr>
              <w:spacing w:after="0"/>
              <w:rPr>
                <w:sz w:val="7"/>
                <w:szCs w:val="7"/>
                <w:color w:val="auto"/>
              </w:rPr>
            </w:pPr>
          </w:p>
        </w:tc>
        <w:tc>
          <w:tcPr>
            <w:tcW w:w="180" w:type="dxa"/>
            <w:vAlign w:val="bottom"/>
            <w:shd w:val="clear" w:color="auto" w:fill="CCEDFF"/>
          </w:tcPr>
          <w:p>
            <w:pPr>
              <w:spacing w:after="0"/>
              <w:rPr>
                <w:sz w:val="7"/>
                <w:szCs w:val="7"/>
                <w:color w:val="auto"/>
              </w:rPr>
            </w:pPr>
          </w:p>
        </w:tc>
        <w:tc>
          <w:tcPr>
            <w:tcW w:w="380" w:type="dxa"/>
            <w:vAlign w:val="bottom"/>
            <w:vMerge w:val="continue"/>
            <w:shd w:val="clear" w:color="auto" w:fill="CCEDFF"/>
          </w:tcPr>
          <w:p>
            <w:pPr>
              <w:spacing w:after="0"/>
              <w:rPr>
                <w:sz w:val="7"/>
                <w:szCs w:val="7"/>
                <w:color w:val="auto"/>
              </w:rPr>
            </w:pPr>
          </w:p>
        </w:tc>
        <w:tc>
          <w:tcPr>
            <w:tcW w:w="180" w:type="dxa"/>
            <w:vAlign w:val="bottom"/>
            <w:shd w:val="clear" w:color="auto" w:fill="CCEDFF"/>
          </w:tcPr>
          <w:p>
            <w:pPr>
              <w:spacing w:after="0"/>
              <w:rPr>
                <w:sz w:val="7"/>
                <w:szCs w:val="7"/>
                <w:color w:val="auto"/>
              </w:rPr>
            </w:pPr>
          </w:p>
        </w:tc>
        <w:tc>
          <w:tcPr>
            <w:tcW w:w="620" w:type="dxa"/>
            <w:vAlign w:val="bottom"/>
            <w:gridSpan w:val="2"/>
            <w:vMerge w:val="continue"/>
            <w:shd w:val="clear" w:color="auto" w:fill="CCEDFF"/>
          </w:tcPr>
          <w:p>
            <w:pPr>
              <w:spacing w:after="0"/>
              <w:rPr>
                <w:sz w:val="7"/>
                <w:szCs w:val="7"/>
                <w:color w:val="auto"/>
              </w:rPr>
            </w:pPr>
          </w:p>
        </w:tc>
        <w:tc>
          <w:tcPr>
            <w:tcW w:w="200" w:type="dxa"/>
            <w:vAlign w:val="bottom"/>
            <w:shd w:val="clear" w:color="auto" w:fill="CCEDFF"/>
          </w:tcPr>
          <w:p>
            <w:pPr>
              <w:spacing w:after="0"/>
              <w:rPr>
                <w:sz w:val="7"/>
                <w:szCs w:val="7"/>
                <w:color w:val="auto"/>
              </w:rPr>
            </w:pPr>
          </w:p>
        </w:tc>
        <w:tc>
          <w:tcPr>
            <w:tcW w:w="720" w:type="dxa"/>
            <w:vAlign w:val="bottom"/>
            <w:gridSpan w:val="2"/>
            <w:vMerge w:val="continue"/>
            <w:shd w:val="clear" w:color="auto" w:fill="CCEDFF"/>
          </w:tcPr>
          <w:p>
            <w:pPr>
              <w:spacing w:after="0"/>
              <w:rPr>
                <w:sz w:val="7"/>
                <w:szCs w:val="7"/>
                <w:color w:val="auto"/>
              </w:rPr>
            </w:pPr>
          </w:p>
        </w:tc>
        <w:tc>
          <w:tcPr>
            <w:tcW w:w="960" w:type="dxa"/>
            <w:vAlign w:val="bottom"/>
            <w:gridSpan w:val="2"/>
            <w:vMerge w:val="continue"/>
            <w:shd w:val="clear" w:color="auto" w:fill="CCEDFF"/>
          </w:tcPr>
          <w:p>
            <w:pPr>
              <w:spacing w:after="0"/>
              <w:rPr>
                <w:sz w:val="7"/>
                <w:szCs w:val="7"/>
                <w:color w:val="auto"/>
              </w:rPr>
            </w:pPr>
          </w:p>
        </w:tc>
        <w:tc>
          <w:tcPr>
            <w:tcW w:w="840" w:type="dxa"/>
            <w:vAlign w:val="bottom"/>
            <w:vMerge w:val="continue"/>
            <w:shd w:val="clear" w:color="auto" w:fill="CCEDFF"/>
          </w:tcPr>
          <w:p>
            <w:pPr>
              <w:spacing w:after="0"/>
              <w:rPr>
                <w:sz w:val="7"/>
                <w:szCs w:val="7"/>
                <w:color w:val="auto"/>
              </w:rPr>
            </w:pPr>
          </w:p>
        </w:tc>
        <w:tc>
          <w:tcPr>
            <w:tcW w:w="240" w:type="dxa"/>
            <w:vAlign w:val="bottom"/>
            <w:shd w:val="clear" w:color="auto" w:fill="CCEDFF"/>
          </w:tcPr>
          <w:p>
            <w:pPr>
              <w:spacing w:after="0"/>
              <w:rPr>
                <w:sz w:val="7"/>
                <w:szCs w:val="7"/>
                <w:color w:val="auto"/>
              </w:rPr>
            </w:pPr>
          </w:p>
        </w:tc>
        <w:tc>
          <w:tcPr>
            <w:tcW w:w="220" w:type="dxa"/>
            <w:vAlign w:val="bottom"/>
            <w:shd w:val="clear" w:color="auto" w:fill="CCEDFF"/>
          </w:tcPr>
          <w:p>
            <w:pPr>
              <w:spacing w:after="0"/>
              <w:rPr>
                <w:sz w:val="7"/>
                <w:szCs w:val="7"/>
                <w:color w:val="auto"/>
              </w:rPr>
            </w:pPr>
          </w:p>
        </w:tc>
        <w:tc>
          <w:tcPr>
            <w:tcW w:w="740" w:type="dxa"/>
            <w:vAlign w:val="bottom"/>
            <w:vMerge w:val="continue"/>
            <w:shd w:val="clear" w:color="auto" w:fill="CCED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200" w:type="dxa"/>
            <w:vAlign w:val="bottom"/>
            <w:gridSpan w:val="2"/>
          </w:tcPr>
          <w:p>
            <w:pPr>
              <w:spacing w:after="0"/>
              <w:rPr>
                <w:sz w:val="20"/>
                <w:szCs w:val="20"/>
                <w:color w:val="auto"/>
              </w:rPr>
            </w:pPr>
            <w:r>
              <w:rPr>
                <w:rFonts w:ascii="Arial" w:cs="Arial" w:eastAsia="Arial" w:hAnsi="Arial"/>
                <w:sz w:val="18"/>
                <w:szCs w:val="18"/>
                <w:color w:val="auto"/>
              </w:rPr>
              <w:t>Anthony Kim</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3"/>
                <w:szCs w:val="23"/>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89"/>
              </w:rPr>
              <w:t>392,906</w:t>
            </w:r>
          </w:p>
        </w:tc>
        <w:tc>
          <w:tcPr>
            <w:tcW w:w="2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278,400</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158,000</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671,306</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89"/>
              </w:rPr>
              <w:t>375,000</w:t>
            </w:r>
          </w:p>
        </w:tc>
        <w:tc>
          <w:tcPr>
            <w:tcW w:w="20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
              <w:spacing w:after="0" w:line="297" w:lineRule="exact"/>
              <w:rPr>
                <w:sz w:val="20"/>
                <w:szCs w:val="20"/>
                <w:color w:val="auto"/>
              </w:rPr>
            </w:pPr>
            <w:r>
              <w:rPr>
                <w:rFonts w:ascii="Arial" w:cs="Arial" w:eastAsia="Arial" w:hAnsi="Arial"/>
                <w:sz w:val="18"/>
                <w:szCs w:val="18"/>
                <w:color w:val="auto"/>
              </w:rPr>
              <w:t>56,523</w:t>
            </w:r>
            <w:r>
              <w:rPr>
                <w:rFonts w:ascii="Arial" w:cs="Arial" w:eastAsia="Arial" w:hAnsi="Arial"/>
                <w:sz w:val="26"/>
                <w:szCs w:val="26"/>
                <w:color w:val="auto"/>
                <w:vertAlign w:val="superscript"/>
              </w:rPr>
              <w:t>(5)</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431,523</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Mythili Koneru</w:t>
            </w:r>
          </w:p>
        </w:tc>
        <w:tc>
          <w:tcPr>
            <w:tcW w:w="180" w:type="dxa"/>
            <w:vAlign w:val="bottom"/>
            <w:shd w:val="clear" w:color="auto" w:fill="CCEDFF"/>
          </w:tcPr>
          <w:p>
            <w:pPr>
              <w:spacing w:after="0"/>
              <w:rPr>
                <w:sz w:val="22"/>
                <w:szCs w:val="22"/>
                <w:color w:val="auto"/>
              </w:rPr>
            </w:pPr>
          </w:p>
        </w:tc>
        <w:tc>
          <w:tcPr>
            <w:tcW w:w="380" w:type="dxa"/>
            <w:vAlign w:val="bottom"/>
            <w:shd w:val="clear" w:color="auto" w:fill="CCEDFF"/>
          </w:tcPr>
          <w:p>
            <w:pPr>
              <w:spacing w:after="0"/>
              <w:rPr>
                <w:sz w:val="22"/>
                <w:szCs w:val="22"/>
                <w:color w:val="auto"/>
              </w:rPr>
            </w:pPr>
          </w:p>
        </w:tc>
        <w:tc>
          <w:tcPr>
            <w:tcW w:w="180" w:type="dxa"/>
            <w:vAlign w:val="bottom"/>
            <w:shd w:val="clear" w:color="auto" w:fill="CCEDFF"/>
          </w:tcPr>
          <w:p>
            <w:pPr>
              <w:spacing w:after="0"/>
              <w:rPr>
                <w:sz w:val="22"/>
                <w:szCs w:val="22"/>
                <w:color w:val="auto"/>
              </w:rPr>
            </w:pPr>
          </w:p>
        </w:tc>
        <w:tc>
          <w:tcPr>
            <w:tcW w:w="300" w:type="dxa"/>
            <w:vAlign w:val="bottom"/>
            <w:shd w:val="clear" w:color="auto" w:fill="CCEDFF"/>
          </w:tcPr>
          <w:p>
            <w:pPr>
              <w:spacing w:after="0"/>
              <w:rPr>
                <w:sz w:val="22"/>
                <w:szCs w:val="22"/>
                <w:color w:val="auto"/>
              </w:rPr>
            </w:pPr>
          </w:p>
        </w:tc>
        <w:tc>
          <w:tcPr>
            <w:tcW w:w="32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520" w:type="dxa"/>
            <w:vAlign w:val="bottom"/>
            <w:shd w:val="clear" w:color="auto" w:fill="CCEDFF"/>
          </w:tcPr>
          <w:p>
            <w:pPr>
              <w:spacing w:after="0"/>
              <w:rPr>
                <w:sz w:val="22"/>
                <w:szCs w:val="22"/>
                <w:color w:val="auto"/>
              </w:rPr>
            </w:pPr>
          </w:p>
        </w:tc>
        <w:tc>
          <w:tcPr>
            <w:tcW w:w="200" w:type="dxa"/>
            <w:vAlign w:val="bottom"/>
            <w:shd w:val="clear" w:color="auto" w:fill="CCEDFF"/>
          </w:tcPr>
          <w:p>
            <w:pPr>
              <w:spacing w:after="0"/>
              <w:rPr>
                <w:sz w:val="22"/>
                <w:szCs w:val="22"/>
                <w:color w:val="auto"/>
              </w:rPr>
            </w:pPr>
          </w:p>
        </w:tc>
        <w:tc>
          <w:tcPr>
            <w:tcW w:w="74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840" w:type="dxa"/>
            <w:vAlign w:val="bottom"/>
            <w:shd w:val="clear" w:color="auto" w:fill="CCEDFF"/>
          </w:tcPr>
          <w:p>
            <w:pPr>
              <w:spacing w:after="0"/>
              <w:rPr>
                <w:sz w:val="22"/>
                <w:szCs w:val="22"/>
                <w:color w:val="auto"/>
              </w:rPr>
            </w:pPr>
          </w:p>
        </w:tc>
        <w:tc>
          <w:tcPr>
            <w:tcW w:w="240" w:type="dxa"/>
            <w:vAlign w:val="bottom"/>
            <w:shd w:val="clear" w:color="auto" w:fill="CCEDFF"/>
          </w:tcPr>
          <w:p>
            <w:pPr>
              <w:spacing w:after="0"/>
              <w:rPr>
                <w:sz w:val="22"/>
                <w:szCs w:val="22"/>
                <w:color w:val="auto"/>
              </w:rPr>
            </w:pP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00" w:type="dxa"/>
            <w:vAlign w:val="bottom"/>
            <w:gridSpan w:val="2"/>
            <w:shd w:val="clear" w:color="auto" w:fill="CCED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80" w:type="dxa"/>
            <w:vAlign w:val="bottom"/>
            <w:shd w:val="clear" w:color="auto" w:fill="CCEDFF"/>
          </w:tcPr>
          <w:p>
            <w:pPr>
              <w:spacing w:after="0"/>
              <w:rPr>
                <w:sz w:val="23"/>
                <w:szCs w:val="23"/>
                <w:color w:val="auto"/>
              </w:rPr>
            </w:pPr>
          </w:p>
        </w:tc>
        <w:tc>
          <w:tcPr>
            <w:tcW w:w="3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shd w:val="clear" w:color="auto" w:fill="CCEDFF"/>
          </w:tcPr>
          <w:p>
            <w:pPr>
              <w:spacing w:after="0"/>
              <w:rPr>
                <w:sz w:val="23"/>
                <w:szCs w:val="23"/>
                <w:color w:val="auto"/>
              </w:rPr>
            </w:pPr>
          </w:p>
        </w:tc>
        <w:tc>
          <w:tcPr>
            <w:tcW w:w="620" w:type="dxa"/>
            <w:vAlign w:val="bottom"/>
            <w:gridSpan w:val="2"/>
            <w:shd w:val="clear" w:color="auto" w:fill="CCEDFF"/>
          </w:tcPr>
          <w:p>
            <w:pPr>
              <w:ind w:left="20"/>
              <w:spacing w:after="0"/>
              <w:rPr>
                <w:sz w:val="20"/>
                <w:szCs w:val="20"/>
                <w:color w:val="auto"/>
              </w:rPr>
            </w:pPr>
            <w:r>
              <w:rPr>
                <w:rFonts w:ascii="Arial" w:cs="Arial" w:eastAsia="Arial" w:hAnsi="Arial"/>
                <w:sz w:val="18"/>
                <w:szCs w:val="18"/>
                <w:color w:val="auto"/>
                <w:w w:val="89"/>
              </w:rPr>
              <w:t>398,600</w:t>
            </w:r>
          </w:p>
        </w:tc>
        <w:tc>
          <w:tcPr>
            <w:tcW w:w="200" w:type="dxa"/>
            <w:vAlign w:val="bottom"/>
            <w:shd w:val="clear" w:color="auto" w:fill="CCEDFF"/>
          </w:tcPr>
          <w:p>
            <w:pPr>
              <w:spacing w:after="0"/>
              <w:rPr>
                <w:sz w:val="23"/>
                <w:szCs w:val="23"/>
                <w:color w:val="auto"/>
              </w:rPr>
            </w:pPr>
          </w:p>
        </w:tc>
        <w:tc>
          <w:tcPr>
            <w:tcW w:w="520" w:type="dxa"/>
            <w:vAlign w:val="bottom"/>
            <w:shd w:val="clear" w:color="auto" w:fill="CCEDFF"/>
          </w:tcPr>
          <w:p>
            <w:pPr>
              <w:spacing w:after="0"/>
              <w:rPr>
                <w:sz w:val="23"/>
                <w:szCs w:val="23"/>
                <w:color w:val="auto"/>
              </w:rPr>
            </w:pPr>
          </w:p>
        </w:tc>
        <w:tc>
          <w:tcPr>
            <w:tcW w:w="200" w:type="dxa"/>
            <w:vAlign w:val="bottom"/>
            <w:shd w:val="clear" w:color="auto" w:fill="CCEDFF"/>
          </w:tcPr>
          <w:p>
            <w:pPr>
              <w:spacing w:after="0"/>
              <w:rPr>
                <w:sz w:val="23"/>
                <w:szCs w:val="23"/>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243,600</w:t>
            </w:r>
          </w:p>
        </w:tc>
        <w:tc>
          <w:tcPr>
            <w:tcW w:w="220" w:type="dxa"/>
            <w:vAlign w:val="bottom"/>
            <w:shd w:val="clear" w:color="auto" w:fill="CCEDFF"/>
          </w:tcPr>
          <w:p>
            <w:pPr>
              <w:spacing w:after="0"/>
              <w:rPr>
                <w:sz w:val="23"/>
                <w:szCs w:val="23"/>
                <w:color w:val="auto"/>
              </w:rPr>
            </w:pPr>
          </w:p>
        </w:tc>
        <w:tc>
          <w:tcPr>
            <w:tcW w:w="8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140,000</w:t>
            </w:r>
          </w:p>
        </w:tc>
        <w:tc>
          <w:tcPr>
            <w:tcW w:w="240" w:type="dxa"/>
            <w:vAlign w:val="bottom"/>
            <w:shd w:val="clear" w:color="auto" w:fill="CCEDFF"/>
          </w:tcPr>
          <w:p>
            <w:pPr>
              <w:spacing w:after="0"/>
              <w:rPr>
                <w:sz w:val="23"/>
                <w:szCs w:val="23"/>
                <w:color w:val="auto"/>
              </w:rPr>
            </w:pPr>
          </w:p>
        </w:tc>
        <w:tc>
          <w:tcPr>
            <w:tcW w:w="220" w:type="dxa"/>
            <w:vAlign w:val="bottom"/>
            <w:shd w:val="clear" w:color="auto" w:fill="CCEDFF"/>
          </w:tcPr>
          <w:p>
            <w:pPr>
              <w:spacing w:after="0"/>
              <w:rPr>
                <w:sz w:val="23"/>
                <w:szCs w:val="23"/>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642,318</w:t>
            </w:r>
          </w:p>
        </w:tc>
        <w:tc>
          <w:tcPr>
            <w:tcW w:w="0" w:type="dxa"/>
            <w:vAlign w:val="bottom"/>
          </w:tcPr>
          <w:p>
            <w:pPr>
              <w:spacing w:after="0"/>
              <w:rPr>
                <w:sz w:val="1"/>
                <w:szCs w:val="1"/>
                <w:color w:val="auto"/>
              </w:rPr>
            </w:pPr>
          </w:p>
        </w:tc>
      </w:tr>
      <w:tr>
        <w:trPr>
          <w:trHeight w:val="364"/>
        </w:trPr>
        <w:tc>
          <w:tcPr>
            <w:tcW w:w="360" w:type="dxa"/>
            <w:vAlign w:val="bottom"/>
            <w:shd w:val="clear" w:color="auto" w:fill="CCEDFF"/>
          </w:tcPr>
          <w:p>
            <w:pPr>
              <w:spacing w:after="0"/>
              <w:rPr>
                <w:sz w:val="24"/>
                <w:szCs w:val="24"/>
                <w:color w:val="auto"/>
              </w:rPr>
            </w:pPr>
          </w:p>
        </w:tc>
        <w:tc>
          <w:tcPr>
            <w:tcW w:w="1840" w:type="dxa"/>
            <w:vAlign w:val="bottom"/>
            <w:shd w:val="clear" w:color="auto" w:fill="CCEDFF"/>
          </w:tcPr>
          <w:p>
            <w:pPr>
              <w:spacing w:after="0"/>
              <w:rPr>
                <w:sz w:val="24"/>
                <w:szCs w:val="24"/>
                <w:color w:val="auto"/>
              </w:rPr>
            </w:pPr>
          </w:p>
        </w:tc>
        <w:tc>
          <w:tcPr>
            <w:tcW w:w="180" w:type="dxa"/>
            <w:vAlign w:val="bottom"/>
            <w:shd w:val="clear" w:color="auto" w:fill="CCEDFF"/>
          </w:tcPr>
          <w:p>
            <w:pPr>
              <w:spacing w:after="0"/>
              <w:rPr>
                <w:sz w:val="24"/>
                <w:szCs w:val="24"/>
                <w:color w:val="auto"/>
              </w:rPr>
            </w:pPr>
          </w:p>
        </w:tc>
        <w:tc>
          <w:tcPr>
            <w:tcW w:w="3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shd w:val="clear" w:color="auto" w:fill="CCEDFF"/>
          </w:tcPr>
          <w:p>
            <w:pPr>
              <w:spacing w:after="0"/>
              <w:rPr>
                <w:sz w:val="24"/>
                <w:szCs w:val="24"/>
                <w:color w:val="auto"/>
              </w:rPr>
            </w:pPr>
          </w:p>
        </w:tc>
        <w:tc>
          <w:tcPr>
            <w:tcW w:w="820" w:type="dxa"/>
            <w:vAlign w:val="bottom"/>
            <w:gridSpan w:val="3"/>
            <w:shd w:val="clear" w:color="auto" w:fill="CCEDFF"/>
          </w:tcPr>
          <w:p>
            <w:pPr>
              <w:ind w:left="20"/>
              <w:spacing w:after="0"/>
              <w:rPr>
                <w:sz w:val="20"/>
                <w:szCs w:val="20"/>
                <w:color w:val="auto"/>
              </w:rPr>
            </w:pPr>
            <w:r>
              <w:rPr>
                <w:rFonts w:ascii="Arial" w:cs="Arial" w:eastAsia="Arial" w:hAnsi="Arial"/>
                <w:sz w:val="18"/>
                <w:szCs w:val="18"/>
                <w:color w:val="auto"/>
                <w:w w:val="90"/>
              </w:rPr>
              <w:t>313,542</w:t>
            </w:r>
            <w:r>
              <w:rPr>
                <w:rFonts w:ascii="Arial" w:cs="Arial" w:eastAsia="Arial" w:hAnsi="Arial"/>
                <w:sz w:val="26"/>
                <w:szCs w:val="26"/>
                <w:color w:val="auto"/>
                <w:w w:val="90"/>
                <w:vertAlign w:val="superscript"/>
              </w:rPr>
              <w:t>(3)</w:t>
            </w:r>
          </w:p>
        </w:tc>
        <w:tc>
          <w:tcPr>
            <w:tcW w:w="720" w:type="dxa"/>
            <w:vAlign w:val="bottom"/>
            <w:gridSpan w:val="2"/>
            <w:shd w:val="clear" w:color="auto" w:fill="CCEDFF"/>
          </w:tcPr>
          <w:p>
            <w:pPr>
              <w:jc w:val="right"/>
              <w:ind w:right="60"/>
              <w:spacing w:after="0"/>
              <w:rPr>
                <w:sz w:val="20"/>
                <w:szCs w:val="20"/>
                <w:color w:val="auto"/>
              </w:rPr>
            </w:pPr>
            <w:r>
              <w:rPr>
                <w:rFonts w:ascii="Arial" w:cs="Arial" w:eastAsia="Arial" w:hAnsi="Arial"/>
                <w:sz w:val="18"/>
                <w:szCs w:val="18"/>
                <w:color w:val="auto"/>
                <w:w w:val="83"/>
              </w:rPr>
              <w:t>50,000</w:t>
            </w:r>
            <w:r>
              <w:rPr>
                <w:rFonts w:ascii="Arial" w:cs="Arial" w:eastAsia="Arial" w:hAnsi="Arial"/>
                <w:sz w:val="26"/>
                <w:szCs w:val="26"/>
                <w:color w:val="auto"/>
                <w:w w:val="83"/>
                <w:vertAlign w:val="superscript"/>
              </w:rPr>
              <w:t>(4)</w:t>
            </w: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w w:val="89"/>
              </w:rPr>
              <w:t>1,438,656</w:t>
            </w:r>
          </w:p>
        </w:tc>
        <w:tc>
          <w:tcPr>
            <w:tcW w:w="220" w:type="dxa"/>
            <w:vAlign w:val="bottom"/>
            <w:shd w:val="clear" w:color="auto" w:fill="CCEDFF"/>
          </w:tcPr>
          <w:p>
            <w:pPr>
              <w:spacing w:after="0"/>
              <w:rPr>
                <w:sz w:val="24"/>
                <w:szCs w:val="24"/>
                <w:color w:val="auto"/>
              </w:rPr>
            </w:pPr>
          </w:p>
        </w:tc>
        <w:tc>
          <w:tcPr>
            <w:tcW w:w="1080" w:type="dxa"/>
            <w:vAlign w:val="bottom"/>
            <w:gridSpan w:val="2"/>
            <w:shd w:val="clear" w:color="auto" w:fill="CCEDFF"/>
          </w:tcPr>
          <w:p>
            <w:pPr>
              <w:jc w:val="right"/>
              <w:ind w:right="13"/>
              <w:spacing w:after="0"/>
              <w:rPr>
                <w:sz w:val="20"/>
                <w:szCs w:val="20"/>
                <w:color w:val="auto"/>
              </w:rPr>
            </w:pPr>
            <w:r>
              <w:rPr>
                <w:rFonts w:ascii="Arial" w:cs="Arial" w:eastAsia="Arial" w:hAnsi="Arial"/>
                <w:sz w:val="18"/>
                <w:szCs w:val="18"/>
                <w:color w:val="auto"/>
              </w:rPr>
              <w:t>41,565</w:t>
            </w:r>
            <w:r>
              <w:rPr>
                <w:rFonts w:ascii="Arial" w:cs="Arial" w:eastAsia="Arial" w:hAnsi="Arial"/>
                <w:sz w:val="26"/>
                <w:szCs w:val="26"/>
                <w:color w:val="auto"/>
                <w:vertAlign w:val="superscript"/>
              </w:rPr>
              <w:t>(5)</w:t>
            </w:r>
          </w:p>
        </w:tc>
        <w:tc>
          <w:tcPr>
            <w:tcW w:w="220" w:type="dxa"/>
            <w:vAlign w:val="bottom"/>
            <w:shd w:val="clear" w:color="auto" w:fill="CCEDFF"/>
          </w:tcPr>
          <w:p>
            <w:pPr>
              <w:spacing w:after="0"/>
              <w:rPr>
                <w:sz w:val="24"/>
                <w:szCs w:val="24"/>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w w:val="89"/>
              </w:rPr>
              <w:t>1,843,763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-1782445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-1782445</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-1782445</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-1782445</wp:posOffset>
            </wp:positionV>
            <wp:extent cx="128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-1782445</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-1782445</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1" w:lineRule="exact"/>
        <w:rPr>
          <w:sz w:val="20"/>
          <w:szCs w:val="20"/>
          <w:color w:val="auto"/>
        </w:rPr>
      </w:pPr>
    </w:p>
    <w:p>
      <w:pPr>
        <w:jc w:val="both"/>
        <w:ind w:left="2340" w:right="419" w:hanging="360"/>
        <w:spacing w:after="0" w:line="269" w:lineRule="auto"/>
        <w:tabs>
          <w:tab w:leader="none" w:pos="2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2020, as computed in accordance with Financial Accounting Standard Board Accounting Standards Codification Topic 718 for stock-based compensation transactions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19" w:lineRule="exact"/>
        <w:rPr>
          <w:rFonts w:ascii="Arial" w:cs="Arial" w:eastAsia="Arial" w:hAnsi="Arial"/>
          <w:sz w:val="17"/>
          <w:szCs w:val="17"/>
          <w:color w:val="auto"/>
        </w:rPr>
      </w:pPr>
    </w:p>
    <w:p>
      <w:pPr>
        <w:ind w:left="2340" w:right="419" w:hanging="360"/>
        <w:spacing w:after="0" w:line="277"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Hoang did not earn compensation during 2019 or 2020 for his service on the Board of Directors.</w:t>
      </w:r>
    </w:p>
    <w:p>
      <w:pPr>
        <w:spacing w:after="0" w:line="8" w:lineRule="exact"/>
        <w:rPr>
          <w:rFonts w:ascii="Arial" w:cs="Arial" w:eastAsia="Arial" w:hAnsi="Arial"/>
          <w:sz w:val="18"/>
          <w:szCs w:val="18"/>
          <w:color w:val="auto"/>
        </w:rPr>
      </w:pPr>
    </w:p>
    <w:p>
      <w:pPr>
        <w:jc w:val="both"/>
        <w:ind w:left="2340" w:right="419" w:hanging="360"/>
        <w:spacing w:after="0" w:line="257"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Koneru’s employment with us commenced in February 2019. Dr. Koneru ceased serving as our Senior Vice President of Clinical Development and was appointed as our Chief Medical Officer in December 2019. The 2019 salary reported reflects the pro rata portion of Dr. Koneru’s annual salary of $350,000 earned during 2019 from commencement of her employment through December 31, 2019.</w:t>
      </w:r>
    </w:p>
    <w:p>
      <w:pPr>
        <w:spacing w:after="0" w:line="25" w:lineRule="exact"/>
        <w:rPr>
          <w:rFonts w:ascii="Arial" w:cs="Arial" w:eastAsia="Arial" w:hAnsi="Arial"/>
          <w:sz w:val="18"/>
          <w:szCs w:val="18"/>
          <w:color w:val="auto"/>
        </w:rPr>
      </w:pPr>
    </w:p>
    <w:p>
      <w:pPr>
        <w:ind w:left="2340" w:right="419" w:hanging="360"/>
        <w:spacing w:after="0" w:line="277"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 one-time cash sign-on bonus of $50,000 pursuant to Dr. Koneru’s employment agreement.</w:t>
      </w:r>
    </w:p>
    <w:p>
      <w:pPr>
        <w:spacing w:after="0" w:line="8" w:lineRule="exact"/>
        <w:rPr>
          <w:rFonts w:ascii="Arial" w:cs="Arial" w:eastAsia="Arial" w:hAnsi="Arial"/>
          <w:sz w:val="18"/>
          <w:szCs w:val="18"/>
          <w:color w:val="auto"/>
        </w:rPr>
      </w:pPr>
    </w:p>
    <w:p>
      <w:pPr>
        <w:jc w:val="both"/>
        <w:ind w:left="2340" w:right="419" w:hanging="360"/>
        <w:spacing w:after="0" w:line="263"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Directors determined to pay the 2019 annual incentives in the form of stock options that vest monthly over a four-year period, subject to the named executive officer’s continued service with us through each applicable vesting date, as described below in</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340" w:right="419"/>
        <w:spacing w:after="0" w:line="254" w:lineRule="auto"/>
        <w:rPr>
          <w:sz w:val="20"/>
          <w:szCs w:val="20"/>
          <w:color w:val="auto"/>
        </w:rPr>
      </w:pPr>
      <w:r>
        <w:rPr>
          <w:rFonts w:ascii="Arial" w:cs="Arial" w:eastAsia="Arial" w:hAnsi="Arial"/>
          <w:sz w:val="18"/>
          <w:szCs w:val="18"/>
          <w:color w:val="auto"/>
        </w:rPr>
        <w:t>“– Narrative to Summary Compensation Table – Executive Compensation Program – Annual Incentive Compensation.” Pursuant to SEC rules, the amount of the annual incentives awarded to each named executive officer has been reported in the Summary Compensation Table under the “Non-Equity Incentive Plan Compensation” column for fiscal year 2019. Because the stock options were granted to our named executive officers in March 2020, the same awards are also reported under the “Option Awards” column of the Summary Compensation Table for fiscal year 2020.</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ARRATIVE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executive compensation program is designed to achieve the following objectives:</w:t>
      </w:r>
    </w:p>
    <w:p>
      <w:pPr>
        <w:spacing w:after="0" w:line="117" w:lineRule="exact"/>
        <w:rPr>
          <w:sz w:val="20"/>
          <w:szCs w:val="20"/>
          <w:color w:val="auto"/>
        </w:rPr>
      </w:pPr>
    </w:p>
    <w:p>
      <w:pPr>
        <w:ind w:left="1800" w:right="41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motivate and reward our named executive officers whose knowledge, skills, performance and business relationships are critical to our success;</w:t>
      </w:r>
    </w:p>
    <w:p>
      <w:pPr>
        <w:spacing w:after="0" w:line="62" w:lineRule="exact"/>
        <w:rPr>
          <w:rFonts w:ascii="Arial" w:cs="Arial" w:eastAsia="Arial" w:hAnsi="Arial"/>
          <w:sz w:val="18"/>
          <w:szCs w:val="18"/>
          <w:color w:val="auto"/>
        </w:rPr>
      </w:pPr>
    </w:p>
    <w:p>
      <w:pPr>
        <w:jc w:val="both"/>
        <w:ind w:left="1800" w:right="419" w:hanging="180"/>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motivate our named executive officers to manage our business to meet short-term and long-range goals designed to drive the responsible creation of stockholder value and reward accomplishment of these goals;</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the interests of our executive officers and stockholders by linking their long-term incentive compensation opportunities to stockholder value creation;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a competitive compensation package within the context of responsible cost management.</w:t>
      </w:r>
    </w:p>
    <w:p>
      <w:pPr>
        <w:spacing w:after="0" w:line="169"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We review compensation annually for all employees, including our named executive officers. In setting executive base salaries and granting equity and non-equity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the Company. We do not target a specific mix of compensation among base salary, bonus or long-term incentives, but we structure a significant portion of our executives’ compensation to be variable, at risk and tied directly to the measurable performance of our Company and each executive officer.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Role of the Compensation Committee and Executive Officers in Setting Executive Compensation</w:t>
      </w:r>
    </w:p>
    <w:p>
      <w:pPr>
        <w:spacing w:after="0" w:line="169"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The Compensation Committee of our Board of Directors is responsible for determining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 The Chief Executive Officer may not participate in, or be present during, any deliberations or determinations of the Compensation Committee regarding his compensation. The Compensation Committee makes recommendations to the Board regarding the Chief Executive Officer’s compensation for approval by the full Board.</w:t>
      </w:r>
    </w:p>
    <w:p>
      <w:pPr>
        <w:spacing w:after="0" w:line="97" w:lineRule="exact"/>
        <w:rPr>
          <w:sz w:val="20"/>
          <w:szCs w:val="20"/>
          <w:color w:val="auto"/>
        </w:rPr>
      </w:pPr>
    </w:p>
    <w:p>
      <w:pPr>
        <w:jc w:val="both"/>
        <w:ind w:left="1260" w:right="419"/>
        <w:spacing w:after="0" w:line="279" w:lineRule="auto"/>
        <w:rPr>
          <w:sz w:val="20"/>
          <w:szCs w:val="20"/>
          <w:color w:val="auto"/>
        </w:rPr>
      </w:pPr>
      <w:r>
        <w:rPr>
          <w:rFonts w:ascii="Arial" w:cs="Arial" w:eastAsia="Arial" w:hAnsi="Arial"/>
          <w:sz w:val="17"/>
          <w:szCs w:val="17"/>
          <w:color w:val="auto"/>
        </w:rPr>
        <w:t>During the past fiscal year, after taking into consideration the six factors prescribed by the SEC and Nasdaq described above, the Compensation Committee engaged Radford, which is part of the Rewards Solutions practice at Aon plc, as its compensation consultant. Our Compensation Committee identified Radford based on Radford’s general reputation in the industry. The Compensation Committee requested that Radford:</w:t>
      </w:r>
    </w:p>
    <w:p>
      <w:pPr>
        <w:spacing w:after="0" w:line="63" w:lineRule="exact"/>
        <w:rPr>
          <w:sz w:val="20"/>
          <w:szCs w:val="20"/>
          <w:color w:val="auto"/>
        </w:rPr>
      </w:pPr>
    </w:p>
    <w:p>
      <w:pPr>
        <w:ind w:left="1800" w:right="4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 and</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in developing and implementing an executive compensation program to execute that strategy.</w:t>
      </w:r>
    </w:p>
    <w:p>
      <w:pPr>
        <w:spacing w:after="0" w:line="103"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As part of its engagement, Radford was also requested by the Compensation Committee to develop a comparative group of companies and to perform analyses of competitive performance and compensation levels for that group and ultimately developed recommendations that were presented to the Compensation Committee for its consideration. Following an active dialogue with Radford, the Compensation Committee approved the recommendations.</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0" w:lineRule="auto"/>
        <w:rPr>
          <w:sz w:val="20"/>
          <w:szCs w:val="20"/>
          <w:color w:val="auto"/>
        </w:rPr>
      </w:pPr>
      <w:r>
        <w:rPr>
          <w:rFonts w:ascii="Arial" w:cs="Arial" w:eastAsia="Arial" w:hAnsi="Arial"/>
          <w:sz w:val="17"/>
          <w:szCs w:val="17"/>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recommends to the Board for approval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13" w:lineRule="exact"/>
        <w:rPr>
          <w:sz w:val="20"/>
          <w:szCs w:val="20"/>
          <w:color w:val="auto"/>
        </w:rPr>
      </w:pPr>
    </w:p>
    <w:p>
      <w:pPr>
        <w:jc w:val="both"/>
        <w:ind w:left="1260" w:right="419"/>
        <w:spacing w:after="0" w:line="294" w:lineRule="auto"/>
        <w:rPr>
          <w:sz w:val="20"/>
          <w:szCs w:val="20"/>
          <w:color w:val="auto"/>
        </w:rPr>
      </w:pPr>
      <w:r>
        <w:rPr>
          <w:rFonts w:ascii="Arial" w:cs="Arial" w:eastAsia="Arial" w:hAnsi="Arial"/>
          <w:sz w:val="16"/>
          <w:szCs w:val="16"/>
          <w:color w:val="auto"/>
        </w:rPr>
        <w:t>The Compensation Committee also evaluates our executive compensation program in light of our stockholders’ views and our transforming business needs and expects to continue to consider the outcome of our “say on pay” votes and our stockholders’ views when making future executive compensation decisions.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ROGRAM</w:t>
      </w:r>
    </w:p>
    <w:p>
      <w:pPr>
        <w:spacing w:after="0" w:line="175" w:lineRule="exact"/>
        <w:rPr>
          <w:sz w:val="20"/>
          <w:szCs w:val="20"/>
          <w:color w:val="auto"/>
        </w:rPr>
      </w:pPr>
    </w:p>
    <w:p>
      <w:pPr>
        <w:jc w:val="both"/>
        <w:ind w:left="1260" w:right="419"/>
        <w:spacing w:after="0"/>
        <w:rPr>
          <w:sz w:val="20"/>
          <w:szCs w:val="20"/>
          <w:color w:val="auto"/>
        </w:rPr>
      </w:pPr>
      <w:r>
        <w:rPr>
          <w:rFonts w:ascii="Arial" w:cs="Arial" w:eastAsia="Arial" w:hAnsi="Arial"/>
          <w:sz w:val="18"/>
          <w:szCs w:val="18"/>
          <w:color w:val="auto"/>
        </w:rPr>
        <w:t>The annual compensation arrangements for our named executive officers consist of an annual base salary and long-term incentive compensation in the form of equity awards. Our named executive officers are also eligible to receive short-term incentive compensation in the form of annual incentive awards, which may be paid in cash or equity-based awards. We have historically emphasized the use of equity to provide incentives for our named executive officers to focus on the growth of our overall enterprise value and, correspondingly, to create sustainable value for our stockholders.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58"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individual executive’s performance, the recommendations made by the Chief Executive Officer to the Compensation Committee and the competitive market in which the Company operates for talent.</w:t>
      </w:r>
    </w:p>
    <w:p>
      <w:pPr>
        <w:spacing w:after="0" w:line="107" w:lineRule="exact"/>
        <w:rPr>
          <w:sz w:val="20"/>
          <w:szCs w:val="20"/>
          <w:color w:val="auto"/>
        </w:rPr>
      </w:pPr>
    </w:p>
    <w:p>
      <w:pPr>
        <w:jc w:val="both"/>
        <w:ind w:left="1260" w:right="419"/>
        <w:spacing w:after="0" w:line="261" w:lineRule="auto"/>
        <w:rPr>
          <w:sz w:val="20"/>
          <w:szCs w:val="20"/>
          <w:color w:val="auto"/>
        </w:rPr>
      </w:pPr>
      <w:r>
        <w:rPr>
          <w:rFonts w:ascii="Arial" w:cs="Arial" w:eastAsia="Arial" w:hAnsi="Arial"/>
          <w:sz w:val="18"/>
          <w:szCs w:val="18"/>
          <w:color w:val="auto"/>
        </w:rPr>
        <w:t>The following table presents the annual base salaries for each of our named executive officers for 2020 and 2019, as determined by the Board or Compensation Committee, as applicable:</w:t>
      </w:r>
    </w:p>
    <w:p>
      <w:pPr>
        <w:spacing w:after="0" w:line="149"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2020 Base Salary</w:t>
            </w:r>
          </w:p>
        </w:tc>
        <w:tc>
          <w:tcPr>
            <w:tcW w:w="1320" w:type="dxa"/>
            <w:vAlign w:val="bottom"/>
          </w:tcPr>
          <w:p>
            <w:pPr>
              <w:ind w:left="140"/>
              <w:spacing w:after="0"/>
              <w:rPr>
                <w:sz w:val="20"/>
                <w:szCs w:val="20"/>
                <w:color w:val="auto"/>
              </w:rPr>
            </w:pPr>
            <w:r>
              <w:rPr>
                <w:rFonts w:ascii="Arial" w:cs="Arial" w:eastAsia="Arial" w:hAnsi="Arial"/>
                <w:sz w:val="14"/>
                <w:szCs w:val="14"/>
                <w:b w:val="1"/>
                <w:bCs w:val="1"/>
                <w:color w:val="auto"/>
              </w:rPr>
              <w:t>2019 Base Salary</w:t>
            </w:r>
          </w:p>
        </w:tc>
      </w:tr>
      <w:tr>
        <w:trPr>
          <w:trHeight w:val="186"/>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
        </w:trPr>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298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Peter Hoang</w:t>
            </w:r>
          </w:p>
        </w:tc>
        <w:tc>
          <w:tcPr>
            <w:tcW w:w="13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418,000</w:t>
            </w:r>
          </w:p>
        </w:tc>
        <w:tc>
          <w:tcPr>
            <w:tcW w:w="220" w:type="dxa"/>
            <w:vAlign w:val="bottom"/>
            <w:shd w:val="clear" w:color="auto" w:fill="CCEDFF"/>
          </w:tcPr>
          <w:p>
            <w:pPr>
              <w:spacing w:after="0"/>
              <w:rPr>
                <w:sz w:val="22"/>
                <w:szCs w:val="22"/>
                <w:color w:val="auto"/>
              </w:rPr>
            </w:pPr>
          </w:p>
        </w:tc>
        <w:tc>
          <w:tcPr>
            <w:tcW w:w="13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380,000</w:t>
            </w:r>
          </w:p>
        </w:tc>
      </w:tr>
      <w:tr>
        <w:trPr>
          <w:trHeight w:val="283"/>
        </w:trPr>
        <w:tc>
          <w:tcPr>
            <w:tcW w:w="2980" w:type="dxa"/>
            <w:vAlign w:val="bottom"/>
            <w:gridSpan w:val="2"/>
          </w:tcPr>
          <w:p>
            <w:pPr>
              <w:spacing w:after="0"/>
              <w:rPr>
                <w:sz w:val="20"/>
                <w:szCs w:val="20"/>
                <w:color w:val="auto"/>
              </w:rPr>
            </w:pPr>
            <w:r>
              <w:rPr>
                <w:rFonts w:ascii="Arial" w:cs="Arial" w:eastAsia="Arial" w:hAnsi="Arial"/>
                <w:sz w:val="18"/>
                <w:szCs w:val="18"/>
                <w:color w:val="auto"/>
              </w:rPr>
              <w:t>Anthony Kim</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395,000</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375,000</w:t>
            </w:r>
          </w:p>
        </w:tc>
      </w:tr>
      <w:tr>
        <w:trPr>
          <w:trHeight w:val="284"/>
        </w:trPr>
        <w:tc>
          <w:tcPr>
            <w:tcW w:w="298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Mythili Koneru</w:t>
            </w:r>
          </w:p>
        </w:tc>
        <w:tc>
          <w:tcPr>
            <w:tcW w:w="13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400,000</w:t>
            </w:r>
          </w:p>
        </w:tc>
        <w:tc>
          <w:tcPr>
            <w:tcW w:w="220" w:type="dxa"/>
            <w:vAlign w:val="bottom"/>
            <w:shd w:val="clear" w:color="auto" w:fill="CCEDFF"/>
          </w:tcPr>
          <w:p>
            <w:pPr>
              <w:spacing w:after="0"/>
              <w:rPr>
                <w:sz w:val="24"/>
                <w:szCs w:val="24"/>
                <w:color w:val="auto"/>
              </w:rPr>
            </w:pPr>
          </w:p>
        </w:tc>
        <w:tc>
          <w:tcPr>
            <w:tcW w:w="13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350,000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-539750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-539750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15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Our named executive officers are eligible to receive annual incentive compensation based on the satisfaction of individual and corporate performance objectives established by the Board. Each named executive office has a</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target annual incentive opportunity, calculated as a percentage of annual base salary, and may earn more or less than the target amount based on our company’s and his or her individual performance. For 2020, the target annual incentive opportunities as a percentage of base salary for our named executive officers were 50% for Mr. Hoang, 40% for Mr. Kim and 35% for Dr. Koneru. The amounts of any annual incentives earned are determined after the end of the year, based on the achievement of the designated corporate and individual performance objectives, and may be paid in cash or equity.</w:t>
      </w:r>
    </w:p>
    <w:p>
      <w:pPr>
        <w:spacing w:after="0" w:line="111"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For 2020 and 2019, annual incentives were earned based on the Compensation Committee’s assessment of each executive’s performance. The amounts of such annual incentives, which are set forth in the “Summary Compensation Table” above, were recommended by the Compensation Committee and approved by the Board in March 2021 and March 2020 based on each executive’s and our corporate performance in 2020 and 2019, respectively. The Board determined that our percentage attainment of our corporate goals for each of 2020 and 2019 was 100% and approved individual performance payouts for each named executive officer for each such year. The annual incentives paid to the named executive officers for 2020 performance are included in the “Non-Equity Incentive Plan Compensation” column of the Summary Compensation Table above.</w:t>
      </w:r>
    </w:p>
    <w:p>
      <w:pPr>
        <w:spacing w:after="0" w:line="129" w:lineRule="exact"/>
        <w:rPr>
          <w:sz w:val="20"/>
          <w:szCs w:val="20"/>
          <w:color w:val="auto"/>
        </w:rPr>
      </w:pPr>
    </w:p>
    <w:p>
      <w:pPr>
        <w:jc w:val="both"/>
        <w:ind w:left="1260" w:right="419"/>
        <w:spacing w:after="0" w:line="257" w:lineRule="auto"/>
        <w:rPr>
          <w:sz w:val="20"/>
          <w:szCs w:val="20"/>
          <w:color w:val="auto"/>
        </w:rPr>
      </w:pPr>
      <w:r>
        <w:rPr>
          <w:rFonts w:ascii="Arial" w:cs="Arial" w:eastAsia="Arial" w:hAnsi="Arial"/>
          <w:sz w:val="18"/>
          <w:szCs w:val="18"/>
          <w:color w:val="auto"/>
        </w:rPr>
        <w:t>For 2019, the Board determined to pay these awards in the form of options in order to further enhance the alignment of the interests of our named executive officers with those of our stockholders. Such option awards were granted under our 2014 Omnibus Stock Ownership Plan and are set forth in the table below. Each option award vests monthly over a four-year period, subject to the named executive officer’s continued service with us through each applicable vesting date.</w:t>
      </w:r>
    </w:p>
    <w:p>
      <w:pPr>
        <w:spacing w:after="0" w:line="152" w:lineRule="exact"/>
        <w:rPr>
          <w:sz w:val="20"/>
          <w:szCs w:val="20"/>
          <w:color w:val="auto"/>
        </w:rPr>
      </w:pPr>
    </w:p>
    <w:tbl>
      <w:tblPr>
        <w:tblLayout w:type="fixed"/>
        <w:tblInd w:w="244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Stock Option Grant</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Lieu of Earned</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Annual Incentive</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6"/>
              </w:rPr>
              <w:t>Compensation</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D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220" w:type="dxa"/>
            <w:vAlign w:val="bottom"/>
            <w:tcBorders>
              <w:bottom w:val="single" w:sz="8" w:color="CCEDFF"/>
            </w:tcBorders>
          </w:tcPr>
          <w:p>
            <w:pPr>
              <w:spacing w:after="0"/>
              <w:rPr>
                <w:sz w:val="19"/>
                <w:szCs w:val="19"/>
                <w:color w:val="auto"/>
              </w:rPr>
            </w:pPr>
          </w:p>
        </w:tc>
        <w:tc>
          <w:tcPr>
            <w:tcW w:w="1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Value ($)</w:t>
            </w:r>
            <w:r>
              <w:rPr>
                <w:rFonts w:ascii="Arial" w:cs="Arial" w:eastAsia="Arial" w:hAnsi="Arial"/>
                <w:sz w:val="21"/>
                <w:szCs w:val="21"/>
                <w:b w:val="1"/>
                <w:bCs w:val="1"/>
                <w:color w:val="auto"/>
                <w:w w:val="84"/>
                <w:vertAlign w:val="superscript"/>
              </w:rPr>
              <w:t>(1)</w:t>
            </w:r>
          </w:p>
        </w:tc>
        <w:tc>
          <w:tcPr>
            <w:tcW w:w="0" w:type="dxa"/>
            <w:vAlign w:val="bottom"/>
          </w:tcPr>
          <w:p>
            <w:pPr>
              <w:spacing w:after="0"/>
              <w:rPr>
                <w:sz w:val="1"/>
                <w:szCs w:val="1"/>
                <w:color w:val="auto"/>
              </w:rPr>
            </w:pPr>
          </w:p>
        </w:tc>
      </w:tr>
      <w:tr>
        <w:trPr>
          <w:trHeight w:val="263"/>
        </w:trPr>
        <w:tc>
          <w:tcPr>
            <w:tcW w:w="258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Peter L. Hoang</w:t>
            </w:r>
          </w:p>
        </w:tc>
        <w:tc>
          <w:tcPr>
            <w:tcW w:w="15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7"/>
              </w:rPr>
              <w:t>41,200</w:t>
            </w:r>
          </w:p>
        </w:tc>
        <w:tc>
          <w:tcPr>
            <w:tcW w:w="220" w:type="dxa"/>
            <w:vAlign w:val="bottom"/>
            <w:shd w:val="clear" w:color="auto" w:fill="CCEDFF"/>
          </w:tcPr>
          <w:p>
            <w:pPr>
              <w:spacing w:after="0"/>
              <w:rPr>
                <w:sz w:val="22"/>
                <w:szCs w:val="22"/>
                <w:color w:val="auto"/>
              </w:rPr>
            </w:pPr>
          </w:p>
        </w:tc>
        <w:tc>
          <w:tcPr>
            <w:tcW w:w="15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7"/>
              </w:rPr>
              <w:t>71,665</w:t>
            </w:r>
          </w:p>
        </w:tc>
        <w:tc>
          <w:tcPr>
            <w:tcW w:w="0" w:type="dxa"/>
            <w:vAlign w:val="bottom"/>
          </w:tcPr>
          <w:p>
            <w:pPr>
              <w:spacing w:after="0"/>
              <w:rPr>
                <w:sz w:val="1"/>
                <w:szCs w:val="1"/>
                <w:color w:val="auto"/>
              </w:rPr>
            </w:pPr>
          </w:p>
        </w:tc>
      </w:tr>
      <w:tr>
        <w:trPr>
          <w:trHeight w:val="283"/>
        </w:trPr>
        <w:tc>
          <w:tcPr>
            <w:tcW w:w="2580" w:type="dxa"/>
            <w:vAlign w:val="bottom"/>
            <w:gridSpan w:val="2"/>
          </w:tcPr>
          <w:p>
            <w:pPr>
              <w:spacing w:after="0"/>
              <w:rPr>
                <w:sz w:val="20"/>
                <w:szCs w:val="20"/>
                <w:color w:val="auto"/>
              </w:rPr>
            </w:pPr>
            <w:r>
              <w:rPr>
                <w:rFonts w:ascii="Arial" w:cs="Arial" w:eastAsia="Arial" w:hAnsi="Arial"/>
                <w:sz w:val="18"/>
                <w:szCs w:val="18"/>
                <w:color w:val="auto"/>
              </w:rPr>
              <w:t>Anthony Kim</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32,500</w:t>
            </w:r>
          </w:p>
        </w:tc>
        <w:tc>
          <w:tcPr>
            <w:tcW w:w="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56,523</w:t>
            </w:r>
          </w:p>
        </w:tc>
        <w:tc>
          <w:tcPr>
            <w:tcW w:w="0" w:type="dxa"/>
            <w:vAlign w:val="bottom"/>
          </w:tcPr>
          <w:p>
            <w:pPr>
              <w:spacing w:after="0"/>
              <w:rPr>
                <w:sz w:val="1"/>
                <w:szCs w:val="1"/>
                <w:color w:val="auto"/>
              </w:rPr>
            </w:pPr>
          </w:p>
        </w:tc>
      </w:tr>
      <w:tr>
        <w:trPr>
          <w:trHeight w:val="284"/>
        </w:trPr>
        <w:tc>
          <w:tcPr>
            <w:tcW w:w="258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Mythili Koneru</w:t>
            </w:r>
          </w:p>
        </w:tc>
        <w:tc>
          <w:tcPr>
            <w:tcW w:w="15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7"/>
              </w:rPr>
              <w:t>23,900</w:t>
            </w:r>
          </w:p>
        </w:tc>
        <w:tc>
          <w:tcPr>
            <w:tcW w:w="220" w:type="dxa"/>
            <w:vAlign w:val="bottom"/>
            <w:shd w:val="clear" w:color="auto" w:fill="CCEDFF"/>
          </w:tcPr>
          <w:p>
            <w:pPr>
              <w:spacing w:after="0"/>
              <w:rPr>
                <w:sz w:val="24"/>
                <w:szCs w:val="24"/>
                <w:color w:val="auto"/>
              </w:rPr>
            </w:pPr>
          </w:p>
        </w:tc>
        <w:tc>
          <w:tcPr>
            <w:tcW w:w="152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7"/>
              </w:rPr>
              <w:t>41,565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-539115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-539115</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154305</wp:posOffset>
            </wp:positionV>
            <wp:extent cx="1834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84" w:lineRule="exact"/>
        <w:rPr>
          <w:sz w:val="20"/>
          <w:szCs w:val="20"/>
          <w:color w:val="auto"/>
        </w:rPr>
      </w:pPr>
    </w:p>
    <w:p>
      <w:pPr>
        <w:jc w:val="both"/>
        <w:ind w:left="2340" w:right="419" w:hanging="360"/>
        <w:spacing w:after="0" w:line="253" w:lineRule="auto"/>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2019, as computed in accordance with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113"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The annual incentives paid to the named executive officers for 2019 performance are included in the “Non-Equity Incentive Plan Compensation” column of the Summary Compensation Table above.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Equity-Based Awards</w:t>
      </w:r>
    </w:p>
    <w:p>
      <w:pPr>
        <w:spacing w:after="0" w:line="15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Beginning in June 2020, we grant all equity awards pursuant to our 2020 Equity Incentive Plan, which replaced our 2014 Omnibus Stock Ownership Plan in May 2020. Our executives generally are awarded an initial new hire grant upon commencement of employment and thereafter on an annual basis, subject to the discretion of the Board or Compensation Committee, as applicable. The equity awards described in this section are included in the “Option Awards” column of the Summary Compensation Table above.</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62"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retirement or deferred compensation plan sponsored by us during 2020. Our named executive officers are eligible to participate in our benefit programs on the same basis as all employees of our company. We generally do not provide perquisites or personal benefits to our named executive officers except in limited circumstances, and we did not provide any perquisites or personal benefits to our named executive officers in 2020.</w:t>
      </w:r>
    </w:p>
    <w:p>
      <w:pPr>
        <w:spacing w:after="0" w:line="188" w:lineRule="exact"/>
        <w:rPr>
          <w:sz w:val="20"/>
          <w:szCs w:val="20"/>
          <w:color w:val="auto"/>
        </w:rPr>
      </w:pPr>
    </w:p>
    <w:p>
      <w:pPr>
        <w:ind w:left="1260" w:right="559"/>
        <w:spacing w:after="0" w:line="297"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OTENTIAL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p>
    <w:p>
      <w:pPr>
        <w:spacing w:after="0" w:line="99" w:lineRule="exact"/>
        <w:rPr>
          <w:sz w:val="20"/>
          <w:szCs w:val="20"/>
          <w:color w:val="auto"/>
        </w:rPr>
      </w:pPr>
    </w:p>
    <w:p>
      <w:pPr>
        <w:jc w:val="both"/>
        <w:ind w:left="1260" w:right="419"/>
        <w:spacing w:after="0" w:line="259" w:lineRule="auto"/>
        <w:rPr>
          <w:sz w:val="20"/>
          <w:szCs w:val="20"/>
          <w:color w:val="auto"/>
        </w:rPr>
      </w:pPr>
      <w:r>
        <w:rPr>
          <w:rFonts w:ascii="Arial" w:cs="Arial" w:eastAsia="Arial" w:hAnsi="Arial"/>
          <w:sz w:val="18"/>
          <w:szCs w:val="18"/>
          <w:color w:val="auto"/>
        </w:rPr>
        <w:t>We have entered into employment agreements with each of our named executive officers that provide for the basic terms of their employment, including base salary, annual incentive opportunity and equity grants, as well as certain severance and change of control benefits. Each of our named executive officers is employed at will and may be terminated at any time for any reason.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Peter Hoang</w:t>
      </w:r>
    </w:p>
    <w:p>
      <w:pPr>
        <w:spacing w:after="0" w:line="158"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We entered into an employment agreement with Mr. Hoang in September 2017 and an amendment thereto in March 2019. The term of the agreement is for three years and will be automatically extended for an additional 12 months unless terminated by Mr. Hoang or us. Under the terms of his employment agreement, Mr. Hoang was eligible to receive a base salary of $362,500, which was subsequently increased by the Board to $380,000 in the amended employment agreement, and an annual target incentive opportunity of up to 50% of his annual base salary based upon the assessment by the Board of Mr. Hoang’s performance and other conditions as the Board shall determine in its sole discretion on an annual basis. Pursuant to the amended employment agreement, Mr. Hoang is subject to a covenant not to disclose our confidential information during his employment term and an assignment of intellectual property rights. Also, during his employment term and for a period of 12 months thereafter, Mr. Hoang covenants not to compete with us and not to solicit any of our customers, vendors or employees.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Potential Payments Upon Termination or Change in Control</w:t>
      </w:r>
    </w:p>
    <w:p>
      <w:pPr>
        <w:spacing w:after="0" w:line="144" w:lineRule="exact"/>
        <w:rPr>
          <w:sz w:val="20"/>
          <w:szCs w:val="20"/>
          <w:color w:val="auto"/>
        </w:rPr>
      </w:pPr>
    </w:p>
    <w:p>
      <w:pPr>
        <w:jc w:val="both"/>
        <w:ind w:left="1260" w:right="419"/>
        <w:spacing w:after="0" w:line="266" w:lineRule="auto"/>
        <w:rPr>
          <w:sz w:val="20"/>
          <w:szCs w:val="20"/>
          <w:color w:val="auto"/>
        </w:rPr>
      </w:pPr>
      <w:r>
        <w:rPr>
          <w:rFonts w:ascii="Arial" w:cs="Arial" w:eastAsia="Arial" w:hAnsi="Arial"/>
          <w:sz w:val="17"/>
          <w:szCs w:val="17"/>
          <w:color w:val="auto"/>
        </w:rPr>
        <w:t>If Mr. Hoang’s employment is terminated by us for cause or by Mr. Hoang without good reason (each as defined in the amended employment agreement) during the term of the agreement, he will be entitled to received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 If Mr. Hoang’s employment is terminated by us without cause or by Mr. Hoang for good reason, subject to Mr. Hoang’s execution of a release of claims against us, and in addition to the payment of the Accrued Compensation, Mr. Hoang is entitled to (i) a payment equal to 12 months of his annual base salary, as in effect at the termination date; (ii) any earned but unpaid bonus for the prior calendar year; and</w:t>
      </w:r>
    </w:p>
    <w:p>
      <w:pPr>
        <w:spacing w:after="0" w:line="8" w:lineRule="exact"/>
        <w:rPr>
          <w:sz w:val="20"/>
          <w:szCs w:val="20"/>
          <w:color w:val="auto"/>
        </w:rPr>
      </w:pPr>
    </w:p>
    <w:p>
      <w:pPr>
        <w:jc w:val="both"/>
        <w:ind w:left="1260" w:right="419"/>
        <w:spacing w:after="0" w:line="253" w:lineRule="auto"/>
        <w:tabs>
          <w:tab w:leader="none" w:pos="16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pro-rated bonus payment equal to his target annual performance bonus for the calendar year in which his employment is terminated (the “Hoang Additional Severance Payments”). Mr. Hoang will also be eligible for continued health insurance coverage for 12 months after the date of Mr. Hoang’s termination. Further, if we do not renew Mr. Hoang’s employment agreement at the end of the term, Mr. Hoang will be entitled to be paid 12 months of his annual base salary over a 12-month period.</w:t>
      </w:r>
    </w:p>
    <w:p>
      <w:pPr>
        <w:spacing w:after="0" w:line="123"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If Mr. Hoang’s employment is terminated by us without cause or by him for good reason during the period of six months following a change in control of us (as defined in the amended employment agreement), in lieu of the Hoang Additional Severance Payments and health insurance coverage described above, Mr. Hoang will be entitled to receive a severance payment equal to the sum of (i) 18 months of his annual base salary, at the higher of the base salary rate in effect on the date of termination or the base salary rate in effect immediately before the effective date of the change in control, and (ii) his performance bonus for the year, which includes the effective date of the change in control, payable at the limit of performance amount. In addition, he will also receive in the same payment the amount of any performance bonus that, as of the date of termination, he had earned but had not yet been paid by us, and he will be entitled to the vesting of all of outstanding equity</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awards subject to time-based vesting requirements, such that all such equity awards will be fully vested as of the date of Mr. Hoang’s termination.</w:t>
      </w:r>
    </w:p>
    <w:p>
      <w:pPr>
        <w:spacing w:after="0" w:line="89"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Mr. Hoang’s amended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Anthony Kim</w:t>
      </w:r>
    </w:p>
    <w:p>
      <w:pPr>
        <w:spacing w:after="0" w:line="15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We entered into an employment agreement with Mr. Kim in November 2018. Under the terms of his employment agreement, Mr. Kim was eligible to receive a base salary of $375,000 and an annual target incentive opportunity of 40% of his annual base salary based upon the assessment by the Compensation Committee of Mr. Kim’s performance and other conditions as the Board shall determine in its sole discretion on an annual basis. Pursuant to his employment agreement, Mr. Kim is subject to a covenant not to disclose our confidential information during his employment term and an assignment of intellectual property rights. Also, during his employment term and for a period of 12 months thereafter, Mr. Kim covenants not to compete with us and not to solicit any of our customers, vendors or employees.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Potential Payments Upon Termination or Change in Control</w:t>
      </w:r>
    </w:p>
    <w:p>
      <w:pPr>
        <w:spacing w:after="0" w:line="158"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color w:val="auto"/>
        </w:rPr>
        <w:t>If Mr. Kim’s employment is terminated by us for cause or by Mr. Kim without good reason (each as defined in his employment agreement) during the term of the agreement, he will be entitled to received (i) his then-current annual base salary through the date of termination; (ii) any reimbursable expenses for which he has not yet been reimbursed as of the date of termination; and (iii) any Accrued Compensation. If Mr. Kim’s employment is terminated by us without cause or by Mr. Kim for good reason, subject to Mr. Kim’s execution of a release of claims against us, and in addition to the payment of the Accrued Compensation, Mr. Kim is entitled to (i) a payment equal to 12 months of his annual base salary as in effect at the termination date and (ii) a pro-rated bonus payment equal to his target annual performance bonus for the calendar year in which his employment is terminated (the “Kim Additional Severance Payments”).</w:t>
      </w:r>
    </w:p>
    <w:p>
      <w:pPr>
        <w:spacing w:after="0" w:line="100"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If Mr. Kim’s employment is terminated by us without cause or by him for good reason during the period of 12 months following a change in control of us (as defined in his employment agreement), in lieu of the Kim Additional Severance Payments described above and subject to Mr. Kim’s execution of a release of claims, Mr. Kim will be entitled to (i) a payment equal to 12 months of his annual base salary as in effect at the termination date, (ii) a bonus payment equal to his target annual performance bonus for the year of termination and (iii) vesting of all of Mr. Kim’s outstanding equity awards subject to time-based vesting requirements, such that all such equity awards will be fully vested as of the date of Mr. Kim’s termination. Mr. Kim will also be eligible for continued health insurance coverage until the earliest of (i) 12 months after the date of Mr. Kim’s termination, (ii) the expiration of Mr. Kim’s eligibility for COBRA coverage and (iii) the date Mr. Kim becomes eligible for substantially equivalent health insurance coverage.</w:t>
      </w:r>
    </w:p>
    <w:p>
      <w:pPr>
        <w:spacing w:after="0" w:line="11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Mr. Kim’s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Mythili Koneru</w:t>
      </w:r>
    </w:p>
    <w:p>
      <w:pPr>
        <w:spacing w:after="0" w:line="158"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8"/>
          <w:szCs w:val="18"/>
          <w:color w:val="auto"/>
        </w:rPr>
        <w:t>We entered into an employment agreement with Dr. Koneru in February 2019. Under the terms of her employment agreement, Dr. Koneru was eligible to receive a base salary of $350,000 and an annual target incentive opportunity of 35% of her annual base salary based upon the assessment by the Compensation Committee of Dr. Koneru’s performance and other conditions as the Board shall determine in its sole discretion on an annual basis, as well as a one-time signing bonus of $50,000. Pursuant to her employment agreement, Dr. Koneru is subject to a covenant not to disclose our confidential information during her employment term and an assignment of intellectual property rights. Also, during her employment term and for a period of 12 months thereafter, Dr. Koneru covenants not to compete with us and not to solicit any of our customers, vendors or employees.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Potential Payments Upon Termination or Change in Control</w:t>
      </w:r>
    </w:p>
    <w:p>
      <w:pPr>
        <w:spacing w:after="0" w:line="144" w:lineRule="exact"/>
        <w:rPr>
          <w:sz w:val="20"/>
          <w:szCs w:val="20"/>
          <w:color w:val="auto"/>
        </w:rPr>
      </w:pPr>
    </w:p>
    <w:p>
      <w:pPr>
        <w:ind w:left="1260" w:right="419"/>
        <w:spacing w:after="0" w:line="274" w:lineRule="auto"/>
        <w:rPr>
          <w:sz w:val="20"/>
          <w:szCs w:val="20"/>
          <w:color w:val="auto"/>
        </w:rPr>
      </w:pPr>
      <w:r>
        <w:rPr>
          <w:rFonts w:ascii="Arial" w:cs="Arial" w:eastAsia="Arial" w:hAnsi="Arial"/>
          <w:sz w:val="17"/>
          <w:szCs w:val="17"/>
          <w:color w:val="auto"/>
        </w:rPr>
        <w:t>If Dr. Koneru employment is terminated by us for cause or by Dr. Koneru without good reason (each as defined in her employment agreement) during the term of the agreement, she will be entitled to received</w:t>
      </w:r>
    </w:p>
    <w:p>
      <w:pPr>
        <w:jc w:val="both"/>
        <w:ind w:left="1260" w:right="419"/>
        <w:spacing w:after="0" w:line="265" w:lineRule="auto"/>
        <w:tabs>
          <w:tab w:leader="none" w:pos="15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her then-current annual base salary through the date of termination; (ii) any reimbursable expenses for which she has not yet been reimbursed as of the date of termination; and (iii) any Accrued Compensation. If Dr. Koneru’s employment is terminated by us without cause or by Dr. Koneru for good reason, subject to Dr. Koneru’s execution of a release of claims against us, and in addition to the payment of the Accrued Compensation, Dr. Koneru is entitled to (i) a payment equal to 12 months of her annual base salary as in effect at the termination date and (ii) a pro-rated bonus payment equal to her target annual performance bonus for the calendar year in which her employment is terminated (the “Koneru Additional Severance Payments”). Dr. Koneru will also be eligible for continued health insurance coverage until the earliest of</w:t>
      </w:r>
    </w:p>
    <w:p>
      <w:pPr>
        <w:spacing w:after="0" w:line="1" w:lineRule="exact"/>
        <w:rPr>
          <w:rFonts w:ascii="Arial" w:cs="Arial" w:eastAsia="Arial" w:hAnsi="Arial"/>
          <w:sz w:val="17"/>
          <w:szCs w:val="17"/>
          <w:color w:val="auto"/>
        </w:rPr>
      </w:pPr>
    </w:p>
    <w:p>
      <w:pPr>
        <w:jc w:val="both"/>
        <w:ind w:left="1260" w:right="419"/>
        <w:spacing w:after="0" w:line="255" w:lineRule="auto"/>
        <w:tabs>
          <w:tab w:leader="none" w:pos="15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 months after the date of Dr. Koneru’s termination, (ii) the expiration of Dr. Koneru’s eligibility for COBRA coverage and (iii) the date Dr. Koneru becomes eligible for substantially equivalent health insurance coverage.</w:t>
      </w:r>
    </w:p>
    <w:p>
      <w:pPr>
        <w:spacing w:after="0" w:line="122" w:lineRule="exact"/>
        <w:rPr>
          <w:sz w:val="20"/>
          <w:szCs w:val="20"/>
          <w:color w:val="auto"/>
        </w:rPr>
      </w:pPr>
    </w:p>
    <w:p>
      <w:pPr>
        <w:jc w:val="both"/>
        <w:ind w:left="1260" w:right="419"/>
        <w:spacing w:after="0" w:line="254" w:lineRule="auto"/>
        <w:rPr>
          <w:sz w:val="20"/>
          <w:szCs w:val="20"/>
          <w:color w:val="auto"/>
        </w:rPr>
      </w:pPr>
      <w:r>
        <w:rPr>
          <w:rFonts w:ascii="Arial" w:cs="Arial" w:eastAsia="Arial" w:hAnsi="Arial"/>
          <w:sz w:val="18"/>
          <w:szCs w:val="18"/>
          <w:color w:val="auto"/>
        </w:rPr>
        <w:t>If Dr. Koneru’s employment is terminated by us without cause or by her for good reason during the period of 12 months following a change in control of us (as defined in her employment agreement), in lieu of the Additional Severance Payments and health insurance coverage described above and subject to Dr. Koneru’s execution of a release of claims, Dr. Koneru will be entitled to (i) a payment equal to 12 months of her annual base salary as in effect at the termination date, (ii) a bonus payment equal to her target annual performance bonus for the year of termination and (iii) vesting of all of Dr. Koneru’s outstanding equity awards subject to time-based vesting requirements, such that all such equity awards will be fully vested as of the date of Dr. Koneru’s termination.</w:t>
      </w:r>
    </w:p>
    <w:p>
      <w:pPr>
        <w:spacing w:after="0" w:line="124"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Dr. Koneru’s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31, 2019</w:t>
      </w:r>
    </w:p>
    <w:p>
      <w:pPr>
        <w:spacing w:after="0" w:line="162" w:lineRule="exact"/>
        <w:rPr>
          <w:sz w:val="20"/>
          <w:szCs w:val="20"/>
          <w:color w:val="auto"/>
        </w:rPr>
      </w:pPr>
    </w:p>
    <w:p>
      <w:pPr>
        <w:jc w:val="both"/>
        <w:ind w:left="1260" w:right="419"/>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December 31, 2020.</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2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5"/>
              </w:rPr>
              <w:t>Option Awards</w:t>
            </w:r>
            <w:r>
              <w:rPr>
                <w:rFonts w:ascii="Arial" w:cs="Arial" w:eastAsia="Arial" w:hAnsi="Arial"/>
                <w:sz w:val="21"/>
                <w:szCs w:val="21"/>
                <w:b w:val="1"/>
                <w:bCs w:val="1"/>
                <w:color w:val="auto"/>
                <w:w w:val="95"/>
                <w:vertAlign w:val="superscript"/>
              </w:rPr>
              <w:t>(1)</w:t>
            </w: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87"/>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Underlying</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Option</w:t>
            </w:r>
          </w:p>
        </w:tc>
        <w:tc>
          <w:tcPr>
            <w:tcW w:w="98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Unexercised</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Exercise</w:t>
            </w:r>
          </w:p>
        </w:tc>
        <w:tc>
          <w:tcPr>
            <w:tcW w:w="98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Option</w:t>
            </w:r>
          </w:p>
        </w:tc>
      </w:tr>
      <w:tr>
        <w:trPr>
          <w:trHeight w:val="186"/>
        </w:trPr>
        <w:tc>
          <w:tcPr>
            <w:tcW w:w="2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Date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 Exercisable</w:t>
            </w:r>
          </w:p>
        </w:tc>
        <w:tc>
          <w:tcPr>
            <w:tcW w:w="2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 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3"/>
              </w:rPr>
              <w:t>Expiration Date</w:t>
            </w:r>
          </w:p>
        </w:tc>
      </w:tr>
      <w:tr>
        <w:trPr>
          <w:trHeight w:val="25"/>
        </w:trPr>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2740" w:type="dxa"/>
            <w:vAlign w:val="bottom"/>
            <w:shd w:val="clear" w:color="auto" w:fill="CCEDFF"/>
          </w:tcPr>
          <w:p>
            <w:pPr>
              <w:spacing w:after="0"/>
              <w:rPr>
                <w:sz w:val="20"/>
                <w:szCs w:val="20"/>
                <w:color w:val="auto"/>
              </w:rPr>
            </w:pPr>
            <w:r>
              <w:rPr>
                <w:rFonts w:ascii="Arial" w:cs="Arial" w:eastAsia="Arial" w:hAnsi="Arial"/>
                <w:sz w:val="18"/>
                <w:szCs w:val="18"/>
                <w:color w:val="auto"/>
              </w:rPr>
              <w:t>Peter L. Hoang</w:t>
            </w:r>
          </w:p>
        </w:tc>
        <w:tc>
          <w:tcPr>
            <w:tcW w:w="1260" w:type="dxa"/>
            <w:vAlign w:val="bottom"/>
            <w:gridSpan w:val="3"/>
            <w:shd w:val="clear" w:color="auto" w:fill="CCEDFF"/>
          </w:tcPr>
          <w:p>
            <w:pPr>
              <w:jc w:val="right"/>
              <w:ind w:right="200"/>
              <w:spacing w:after="0"/>
              <w:rPr>
                <w:sz w:val="20"/>
                <w:szCs w:val="20"/>
                <w:color w:val="auto"/>
              </w:rPr>
            </w:pPr>
            <w:r>
              <w:rPr>
                <w:rFonts w:ascii="Arial" w:cs="Arial" w:eastAsia="Arial" w:hAnsi="Arial"/>
                <w:sz w:val="18"/>
                <w:szCs w:val="18"/>
                <w:color w:val="auto"/>
              </w:rPr>
              <w:t>3/10/2020</w:t>
            </w:r>
          </w:p>
        </w:tc>
        <w:tc>
          <w:tcPr>
            <w:tcW w:w="960" w:type="dxa"/>
            <w:vAlign w:val="bottom"/>
            <w:shd w:val="clear" w:color="auto" w:fill="CCEDFF"/>
          </w:tcPr>
          <w:p>
            <w:pPr>
              <w:jc w:val="right"/>
              <w:ind w:right="98"/>
              <w:spacing w:after="0"/>
              <w:rPr>
                <w:sz w:val="20"/>
                <w:szCs w:val="20"/>
                <w:color w:val="auto"/>
              </w:rPr>
            </w:pPr>
            <w:r>
              <w:rPr>
                <w:rFonts w:ascii="Arial" w:cs="Arial" w:eastAsia="Arial" w:hAnsi="Arial"/>
                <w:sz w:val="18"/>
                <w:szCs w:val="18"/>
                <w:color w:val="auto"/>
              </w:rPr>
              <w:t>98,538</w:t>
            </w:r>
          </w:p>
        </w:tc>
        <w:tc>
          <w:tcPr>
            <w:tcW w:w="1300" w:type="dxa"/>
            <w:vAlign w:val="bottom"/>
            <w:gridSpan w:val="2"/>
            <w:shd w:val="clear" w:color="auto" w:fill="CCEDFF"/>
          </w:tcPr>
          <w:p>
            <w:pPr>
              <w:jc w:val="right"/>
              <w:ind w:right="25"/>
              <w:spacing w:after="0" w:line="263" w:lineRule="exact"/>
              <w:rPr>
                <w:sz w:val="20"/>
                <w:szCs w:val="20"/>
                <w:color w:val="auto"/>
              </w:rPr>
            </w:pPr>
            <w:r>
              <w:rPr>
                <w:rFonts w:ascii="Arial" w:cs="Arial" w:eastAsia="Arial" w:hAnsi="Arial"/>
                <w:sz w:val="18"/>
                <w:szCs w:val="18"/>
                <w:color w:val="auto"/>
              </w:rPr>
              <w:t>331,462</w:t>
            </w:r>
            <w:r>
              <w:rPr>
                <w:rFonts w:ascii="Arial" w:cs="Arial" w:eastAsia="Arial" w:hAnsi="Arial"/>
                <w:sz w:val="26"/>
                <w:szCs w:val="26"/>
                <w:color w:val="auto"/>
                <w:vertAlign w:val="superscript"/>
              </w:rPr>
              <w:t>(2)</w:t>
            </w:r>
          </w:p>
        </w:tc>
        <w:tc>
          <w:tcPr>
            <w:tcW w:w="200" w:type="dxa"/>
            <w:vAlign w:val="bottom"/>
            <w:shd w:val="clear" w:color="auto" w:fill="CCEDFF"/>
          </w:tcPr>
          <w:p>
            <w:pPr>
              <w:spacing w:after="0"/>
              <w:rPr>
                <w:sz w:val="22"/>
                <w:szCs w:val="22"/>
                <w:color w:val="auto"/>
              </w:rPr>
            </w:pPr>
          </w:p>
        </w:tc>
        <w:tc>
          <w:tcPr>
            <w:tcW w:w="54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1"/>
              </w:rPr>
              <w:t>2.12</w:t>
            </w:r>
          </w:p>
        </w:tc>
        <w:tc>
          <w:tcPr>
            <w:tcW w:w="220" w:type="dxa"/>
            <w:vAlign w:val="bottom"/>
            <w:shd w:val="clear" w:color="auto" w:fill="CCEDFF"/>
          </w:tcPr>
          <w:p>
            <w:pPr>
              <w:spacing w:after="0"/>
              <w:rPr>
                <w:sz w:val="22"/>
                <w:szCs w:val="22"/>
                <w:color w:val="auto"/>
              </w:rPr>
            </w:pPr>
          </w:p>
        </w:tc>
        <w:tc>
          <w:tcPr>
            <w:tcW w:w="9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3/10/2030</w:t>
            </w:r>
          </w:p>
        </w:tc>
      </w:tr>
      <w:tr>
        <w:trPr>
          <w:trHeight w:val="270"/>
        </w:trPr>
        <w:tc>
          <w:tcPr>
            <w:tcW w:w="2740" w:type="dxa"/>
            <w:vAlign w:val="bottom"/>
            <w:shd w:val="clear" w:color="auto" w:fill="CCEDFF"/>
          </w:tcPr>
          <w:p>
            <w:pPr>
              <w:spacing w:after="0"/>
              <w:rPr>
                <w:sz w:val="23"/>
                <w:szCs w:val="23"/>
                <w:color w:val="auto"/>
              </w:rPr>
            </w:pPr>
          </w:p>
        </w:tc>
        <w:tc>
          <w:tcPr>
            <w:tcW w:w="1260" w:type="dxa"/>
            <w:vAlign w:val="bottom"/>
            <w:gridSpan w:val="3"/>
            <w:shd w:val="clear" w:color="auto" w:fill="CCEDFF"/>
          </w:tcPr>
          <w:p>
            <w:pPr>
              <w:jc w:val="right"/>
              <w:ind w:right="200"/>
              <w:spacing w:after="0"/>
              <w:rPr>
                <w:sz w:val="20"/>
                <w:szCs w:val="20"/>
                <w:color w:val="auto"/>
              </w:rPr>
            </w:pPr>
            <w:r>
              <w:rPr>
                <w:rFonts w:ascii="Arial" w:cs="Arial" w:eastAsia="Arial" w:hAnsi="Arial"/>
                <w:sz w:val="18"/>
                <w:szCs w:val="18"/>
                <w:color w:val="auto"/>
              </w:rPr>
              <w:t>10/18/2018</w:t>
            </w:r>
          </w:p>
        </w:tc>
        <w:tc>
          <w:tcPr>
            <w:tcW w:w="960" w:type="dxa"/>
            <w:vAlign w:val="bottom"/>
            <w:shd w:val="clear" w:color="auto" w:fill="CCEDFF"/>
          </w:tcPr>
          <w:p>
            <w:pPr>
              <w:jc w:val="right"/>
              <w:ind w:right="98"/>
              <w:spacing w:after="0"/>
              <w:rPr>
                <w:sz w:val="20"/>
                <w:szCs w:val="20"/>
                <w:color w:val="auto"/>
              </w:rPr>
            </w:pPr>
            <w:r>
              <w:rPr>
                <w:rFonts w:ascii="Arial" w:cs="Arial" w:eastAsia="Arial" w:hAnsi="Arial"/>
                <w:sz w:val="18"/>
                <w:szCs w:val="18"/>
                <w:color w:val="auto"/>
              </w:rPr>
              <w:t>821,596</w:t>
            </w:r>
          </w:p>
        </w:tc>
        <w:tc>
          <w:tcPr>
            <w:tcW w:w="1500" w:type="dxa"/>
            <w:vAlign w:val="bottom"/>
            <w:gridSpan w:val="3"/>
            <w:shd w:val="clear" w:color="auto" w:fill="CCEDFF"/>
          </w:tcPr>
          <w:p>
            <w:pPr>
              <w:jc w:val="right"/>
              <w:ind w:right="140"/>
              <w:spacing w:after="0" w:line="270" w:lineRule="exact"/>
              <w:rPr>
                <w:sz w:val="20"/>
                <w:szCs w:val="20"/>
                <w:color w:val="auto"/>
              </w:rPr>
            </w:pPr>
            <w:r>
              <w:rPr>
                <w:rFonts w:ascii="Arial" w:cs="Arial" w:eastAsia="Arial" w:hAnsi="Arial"/>
                <w:sz w:val="18"/>
                <w:szCs w:val="18"/>
                <w:color w:val="auto"/>
              </w:rPr>
              <w:t>538,259</w:t>
            </w:r>
            <w:r>
              <w:rPr>
                <w:rFonts w:ascii="Arial" w:cs="Arial" w:eastAsia="Arial" w:hAnsi="Arial"/>
                <w:sz w:val="26"/>
                <w:szCs w:val="26"/>
                <w:color w:val="auto"/>
                <w:vertAlign w:val="superscript"/>
              </w:rPr>
              <w:t>(2)(5)</w:t>
            </w:r>
          </w:p>
        </w:tc>
        <w:tc>
          <w:tcPr>
            <w:tcW w:w="54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1"/>
              </w:rPr>
              <w:t>9.18</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Arial" w:cs="Arial" w:eastAsia="Arial" w:hAnsi="Arial"/>
                <w:sz w:val="18"/>
                <w:szCs w:val="18"/>
                <w:color w:val="auto"/>
                <w:w w:val="97"/>
              </w:rPr>
              <w:t>10/19/2028</w:t>
            </w:r>
          </w:p>
        </w:tc>
      </w:tr>
      <w:tr>
        <w:trPr>
          <w:trHeight w:val="273"/>
        </w:trPr>
        <w:tc>
          <w:tcPr>
            <w:tcW w:w="2740" w:type="dxa"/>
            <w:vAlign w:val="bottom"/>
          </w:tcPr>
          <w:p>
            <w:pPr>
              <w:spacing w:after="0"/>
              <w:rPr>
                <w:sz w:val="20"/>
                <w:szCs w:val="20"/>
                <w:color w:val="auto"/>
              </w:rPr>
            </w:pPr>
            <w:r>
              <w:rPr>
                <w:rFonts w:ascii="Arial" w:cs="Arial" w:eastAsia="Arial" w:hAnsi="Arial"/>
                <w:sz w:val="18"/>
                <w:szCs w:val="18"/>
                <w:color w:val="auto"/>
              </w:rPr>
              <w:t>Anthony Kim</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3/10/2020</w:t>
            </w:r>
          </w:p>
        </w:tc>
        <w:tc>
          <w:tcPr>
            <w:tcW w:w="960" w:type="dxa"/>
            <w:vAlign w:val="bottom"/>
          </w:tcPr>
          <w:p>
            <w:pPr>
              <w:jc w:val="right"/>
              <w:ind w:right="98"/>
              <w:spacing w:after="0"/>
              <w:rPr>
                <w:sz w:val="20"/>
                <w:szCs w:val="20"/>
                <w:color w:val="auto"/>
              </w:rPr>
            </w:pPr>
            <w:r>
              <w:rPr>
                <w:rFonts w:ascii="Arial" w:cs="Arial" w:eastAsia="Arial" w:hAnsi="Arial"/>
                <w:sz w:val="18"/>
                <w:szCs w:val="18"/>
                <w:color w:val="auto"/>
              </w:rPr>
              <w:t>36,663</w:t>
            </w:r>
          </w:p>
        </w:tc>
        <w:tc>
          <w:tcPr>
            <w:tcW w:w="1300" w:type="dxa"/>
            <w:vAlign w:val="bottom"/>
            <w:gridSpan w:val="2"/>
          </w:tcPr>
          <w:p>
            <w:pPr>
              <w:jc w:val="right"/>
              <w:ind w:right="25"/>
              <w:spacing w:after="0" w:line="272" w:lineRule="exact"/>
              <w:rPr>
                <w:sz w:val="20"/>
                <w:szCs w:val="20"/>
                <w:color w:val="auto"/>
              </w:rPr>
            </w:pPr>
            <w:r>
              <w:rPr>
                <w:rFonts w:ascii="Arial" w:cs="Arial" w:eastAsia="Arial" w:hAnsi="Arial"/>
                <w:sz w:val="18"/>
                <w:szCs w:val="18"/>
                <w:color w:val="auto"/>
              </w:rPr>
              <w:t>123,337</w:t>
            </w:r>
            <w:r>
              <w:rPr>
                <w:rFonts w:ascii="Arial" w:cs="Arial" w:eastAsia="Arial" w:hAnsi="Arial"/>
                <w:sz w:val="26"/>
                <w:szCs w:val="26"/>
                <w:color w:val="auto"/>
                <w:vertAlign w:val="superscript"/>
              </w:rPr>
              <w:t>(2)</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2.12</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3/10/2030</w:t>
            </w:r>
          </w:p>
        </w:tc>
      </w:tr>
      <w:tr>
        <w:trPr>
          <w:trHeight w:val="267"/>
        </w:trPr>
        <w:tc>
          <w:tcPr>
            <w:tcW w:w="2740" w:type="dxa"/>
            <w:vAlign w:val="bottom"/>
          </w:tcPr>
          <w:p>
            <w:pPr>
              <w:spacing w:after="0"/>
              <w:rPr>
                <w:sz w:val="23"/>
                <w:szCs w:val="23"/>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11/27/2018</w:t>
            </w:r>
          </w:p>
        </w:tc>
        <w:tc>
          <w:tcPr>
            <w:tcW w:w="960" w:type="dxa"/>
            <w:vAlign w:val="bottom"/>
          </w:tcPr>
          <w:p>
            <w:pPr>
              <w:jc w:val="right"/>
              <w:ind w:right="98"/>
              <w:spacing w:after="0"/>
              <w:rPr>
                <w:sz w:val="20"/>
                <w:szCs w:val="20"/>
                <w:color w:val="auto"/>
              </w:rPr>
            </w:pPr>
            <w:r>
              <w:rPr>
                <w:rFonts w:ascii="Arial" w:cs="Arial" w:eastAsia="Arial" w:hAnsi="Arial"/>
                <w:sz w:val="18"/>
                <w:szCs w:val="18"/>
                <w:color w:val="auto"/>
              </w:rPr>
              <w:t>233,324</w:t>
            </w:r>
          </w:p>
        </w:tc>
        <w:tc>
          <w:tcPr>
            <w:tcW w:w="1500" w:type="dxa"/>
            <w:vAlign w:val="bottom"/>
            <w:gridSpan w:val="3"/>
          </w:tcPr>
          <w:p>
            <w:pPr>
              <w:jc w:val="right"/>
              <w:ind w:right="140"/>
              <w:spacing w:after="0" w:line="267" w:lineRule="exact"/>
              <w:rPr>
                <w:sz w:val="20"/>
                <w:szCs w:val="20"/>
                <w:color w:val="auto"/>
              </w:rPr>
            </w:pPr>
            <w:r>
              <w:rPr>
                <w:rFonts w:ascii="Arial" w:cs="Arial" w:eastAsia="Arial" w:hAnsi="Arial"/>
                <w:sz w:val="18"/>
                <w:szCs w:val="18"/>
                <w:color w:val="auto"/>
              </w:rPr>
              <w:t>166,676</w:t>
            </w:r>
            <w:r>
              <w:rPr>
                <w:rFonts w:ascii="Arial" w:cs="Arial" w:eastAsia="Arial" w:hAnsi="Arial"/>
                <w:sz w:val="26"/>
                <w:szCs w:val="26"/>
                <w:color w:val="auto"/>
                <w:vertAlign w:val="superscript"/>
              </w:rPr>
              <w:t>(3)(5)</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6.81</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11/27/2028</w:t>
            </w:r>
          </w:p>
        </w:tc>
      </w:tr>
      <w:tr>
        <w:trPr>
          <w:trHeight w:val="270"/>
        </w:trPr>
        <w:tc>
          <w:tcPr>
            <w:tcW w:w="2740" w:type="dxa"/>
            <w:vAlign w:val="bottom"/>
            <w:shd w:val="clear" w:color="auto" w:fill="CCEDFF"/>
          </w:tcPr>
          <w:p>
            <w:pPr>
              <w:spacing w:after="0"/>
              <w:rPr>
                <w:sz w:val="20"/>
                <w:szCs w:val="20"/>
                <w:color w:val="auto"/>
              </w:rPr>
            </w:pPr>
            <w:r>
              <w:rPr>
                <w:rFonts w:ascii="Arial" w:cs="Arial" w:eastAsia="Arial" w:hAnsi="Arial"/>
                <w:sz w:val="18"/>
                <w:szCs w:val="18"/>
                <w:color w:val="auto"/>
              </w:rPr>
              <w:t>Mythili Koneru</w:t>
            </w:r>
          </w:p>
        </w:tc>
        <w:tc>
          <w:tcPr>
            <w:tcW w:w="1260" w:type="dxa"/>
            <w:vAlign w:val="bottom"/>
            <w:gridSpan w:val="3"/>
            <w:shd w:val="clear" w:color="auto" w:fill="CCEDFF"/>
          </w:tcPr>
          <w:p>
            <w:pPr>
              <w:jc w:val="right"/>
              <w:ind w:right="200"/>
              <w:spacing w:after="0"/>
              <w:rPr>
                <w:sz w:val="20"/>
                <w:szCs w:val="20"/>
                <w:color w:val="auto"/>
              </w:rPr>
            </w:pPr>
            <w:r>
              <w:rPr>
                <w:rFonts w:ascii="Arial" w:cs="Arial" w:eastAsia="Arial" w:hAnsi="Arial"/>
                <w:sz w:val="18"/>
                <w:szCs w:val="18"/>
                <w:color w:val="auto"/>
              </w:rPr>
              <w:t>3/10/2020</w:t>
            </w:r>
          </w:p>
        </w:tc>
        <w:tc>
          <w:tcPr>
            <w:tcW w:w="960" w:type="dxa"/>
            <w:vAlign w:val="bottom"/>
            <w:shd w:val="clear" w:color="auto" w:fill="CCEDFF"/>
          </w:tcPr>
          <w:p>
            <w:pPr>
              <w:jc w:val="right"/>
              <w:ind w:right="98"/>
              <w:spacing w:after="0"/>
              <w:rPr>
                <w:sz w:val="20"/>
                <w:szCs w:val="20"/>
                <w:color w:val="auto"/>
              </w:rPr>
            </w:pPr>
            <w:r>
              <w:rPr>
                <w:rFonts w:ascii="Arial" w:cs="Arial" w:eastAsia="Arial" w:hAnsi="Arial"/>
                <w:sz w:val="18"/>
                <w:szCs w:val="18"/>
                <w:color w:val="auto"/>
              </w:rPr>
              <w:t>32,087</w:t>
            </w:r>
          </w:p>
        </w:tc>
        <w:tc>
          <w:tcPr>
            <w:tcW w:w="1300" w:type="dxa"/>
            <w:vAlign w:val="bottom"/>
            <w:gridSpan w:val="2"/>
            <w:shd w:val="clear" w:color="auto" w:fill="CCEDFF"/>
          </w:tcPr>
          <w:p>
            <w:pPr>
              <w:jc w:val="right"/>
              <w:ind w:right="25"/>
              <w:spacing w:after="0" w:line="270" w:lineRule="exact"/>
              <w:rPr>
                <w:sz w:val="20"/>
                <w:szCs w:val="20"/>
                <w:color w:val="auto"/>
              </w:rPr>
            </w:pPr>
            <w:r>
              <w:rPr>
                <w:rFonts w:ascii="Arial" w:cs="Arial" w:eastAsia="Arial" w:hAnsi="Arial"/>
                <w:sz w:val="18"/>
                <w:szCs w:val="18"/>
                <w:color w:val="auto"/>
              </w:rPr>
              <w:t>107,913</w:t>
            </w:r>
            <w:r>
              <w:rPr>
                <w:rFonts w:ascii="Arial" w:cs="Arial" w:eastAsia="Arial" w:hAnsi="Arial"/>
                <w:sz w:val="26"/>
                <w:szCs w:val="26"/>
                <w:color w:val="auto"/>
                <w:vertAlign w:val="superscript"/>
              </w:rPr>
              <w:t>(2)</w:t>
            </w:r>
          </w:p>
        </w:tc>
        <w:tc>
          <w:tcPr>
            <w:tcW w:w="200" w:type="dxa"/>
            <w:vAlign w:val="bottom"/>
            <w:shd w:val="clear" w:color="auto" w:fill="CCEDFF"/>
          </w:tcPr>
          <w:p>
            <w:pPr>
              <w:spacing w:after="0"/>
              <w:rPr>
                <w:sz w:val="23"/>
                <w:szCs w:val="23"/>
                <w:color w:val="auto"/>
              </w:rPr>
            </w:pPr>
          </w:p>
        </w:tc>
        <w:tc>
          <w:tcPr>
            <w:tcW w:w="54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1"/>
              </w:rPr>
              <w:t>2.12</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3/10/2030</w:t>
            </w:r>
          </w:p>
        </w:tc>
      </w:tr>
      <w:tr>
        <w:trPr>
          <w:trHeight w:val="270"/>
        </w:trPr>
        <w:tc>
          <w:tcPr>
            <w:tcW w:w="2740" w:type="dxa"/>
            <w:vAlign w:val="bottom"/>
            <w:shd w:val="clear" w:color="auto" w:fill="CCEDFF"/>
          </w:tcPr>
          <w:p>
            <w:pPr>
              <w:spacing w:after="0"/>
              <w:rPr>
                <w:sz w:val="23"/>
                <w:szCs w:val="23"/>
                <w:color w:val="auto"/>
              </w:rPr>
            </w:pPr>
          </w:p>
        </w:tc>
        <w:tc>
          <w:tcPr>
            <w:tcW w:w="1260" w:type="dxa"/>
            <w:vAlign w:val="bottom"/>
            <w:gridSpan w:val="3"/>
            <w:shd w:val="clear" w:color="auto" w:fill="CCEDFF"/>
          </w:tcPr>
          <w:p>
            <w:pPr>
              <w:jc w:val="right"/>
              <w:ind w:right="200"/>
              <w:spacing w:after="0"/>
              <w:rPr>
                <w:sz w:val="20"/>
                <w:szCs w:val="20"/>
                <w:color w:val="auto"/>
              </w:rPr>
            </w:pPr>
            <w:r>
              <w:rPr>
                <w:rFonts w:ascii="Arial" w:cs="Arial" w:eastAsia="Arial" w:hAnsi="Arial"/>
                <w:sz w:val="18"/>
                <w:szCs w:val="18"/>
                <w:color w:val="auto"/>
              </w:rPr>
              <w:t>2/7/2019</w:t>
            </w:r>
          </w:p>
        </w:tc>
        <w:tc>
          <w:tcPr>
            <w:tcW w:w="960" w:type="dxa"/>
            <w:vAlign w:val="bottom"/>
            <w:shd w:val="clear" w:color="auto" w:fill="CCEDFF"/>
          </w:tcPr>
          <w:p>
            <w:pPr>
              <w:jc w:val="right"/>
              <w:spacing w:after="0" w:line="270" w:lineRule="exact"/>
              <w:rPr>
                <w:sz w:val="20"/>
                <w:szCs w:val="20"/>
                <w:color w:val="auto"/>
              </w:rPr>
            </w:pPr>
            <w:r>
              <w:rPr>
                <w:rFonts w:ascii="Arial" w:cs="Arial" w:eastAsia="Arial" w:hAnsi="Arial"/>
                <w:sz w:val="18"/>
                <w:szCs w:val="18"/>
                <w:color w:val="auto"/>
              </w:rPr>
              <w:t>10,000</w:t>
            </w:r>
            <w:r>
              <w:rPr>
                <w:rFonts w:ascii="Arial" w:cs="Arial" w:eastAsia="Arial" w:hAnsi="Arial"/>
                <w:sz w:val="26"/>
                <w:szCs w:val="26"/>
                <w:color w:val="auto"/>
                <w:vertAlign w:val="superscript"/>
              </w:rPr>
              <w:t>(4)</w:t>
            </w:r>
          </w:p>
        </w:tc>
        <w:tc>
          <w:tcPr>
            <w:tcW w:w="220" w:type="dxa"/>
            <w:vAlign w:val="bottom"/>
            <w:shd w:val="clear" w:color="auto" w:fill="CCEDFF"/>
          </w:tcPr>
          <w:p>
            <w:pPr>
              <w:spacing w:after="0"/>
              <w:rPr>
                <w:sz w:val="23"/>
                <w:szCs w:val="23"/>
                <w:color w:val="auto"/>
              </w:rPr>
            </w:pPr>
          </w:p>
        </w:tc>
        <w:tc>
          <w:tcPr>
            <w:tcW w:w="1280" w:type="dxa"/>
            <w:vAlign w:val="bottom"/>
            <w:gridSpan w:val="2"/>
            <w:shd w:val="clear" w:color="auto" w:fill="CCEDFF"/>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1"/>
              </w:rPr>
              <w:t>5.10</w:t>
            </w:r>
          </w:p>
        </w:tc>
        <w:tc>
          <w:tcPr>
            <w:tcW w:w="220" w:type="dxa"/>
            <w:vAlign w:val="bottom"/>
            <w:shd w:val="clear" w:color="auto" w:fill="CCEDFF"/>
          </w:tcPr>
          <w:p>
            <w:pPr>
              <w:spacing w:after="0"/>
              <w:rPr>
                <w:sz w:val="23"/>
                <w:szCs w:val="23"/>
                <w:color w:val="auto"/>
              </w:rPr>
            </w:pPr>
          </w:p>
        </w:tc>
        <w:tc>
          <w:tcPr>
            <w:tcW w:w="9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2/7/2029</w:t>
            </w:r>
          </w:p>
        </w:tc>
      </w:tr>
      <w:tr>
        <w:trPr>
          <w:trHeight w:val="283"/>
        </w:trPr>
        <w:tc>
          <w:tcPr>
            <w:tcW w:w="2740" w:type="dxa"/>
            <w:vAlign w:val="bottom"/>
            <w:shd w:val="clear" w:color="auto" w:fill="CCEDFF"/>
          </w:tcPr>
          <w:p>
            <w:pPr>
              <w:spacing w:after="0"/>
              <w:rPr>
                <w:sz w:val="24"/>
                <w:szCs w:val="24"/>
                <w:color w:val="auto"/>
              </w:rPr>
            </w:pPr>
          </w:p>
        </w:tc>
        <w:tc>
          <w:tcPr>
            <w:tcW w:w="1260" w:type="dxa"/>
            <w:vAlign w:val="bottom"/>
            <w:gridSpan w:val="3"/>
            <w:shd w:val="clear" w:color="auto" w:fill="CCEDFF"/>
          </w:tcPr>
          <w:p>
            <w:pPr>
              <w:jc w:val="right"/>
              <w:ind w:right="200"/>
              <w:spacing w:after="0"/>
              <w:rPr>
                <w:sz w:val="20"/>
                <w:szCs w:val="20"/>
                <w:color w:val="auto"/>
              </w:rPr>
            </w:pPr>
            <w:r>
              <w:rPr>
                <w:rFonts w:ascii="Arial" w:cs="Arial" w:eastAsia="Arial" w:hAnsi="Arial"/>
                <w:sz w:val="18"/>
                <w:szCs w:val="18"/>
                <w:color w:val="auto"/>
              </w:rPr>
              <w:t>2/7/2019</w:t>
            </w:r>
          </w:p>
        </w:tc>
        <w:tc>
          <w:tcPr>
            <w:tcW w:w="960" w:type="dxa"/>
            <w:vAlign w:val="bottom"/>
            <w:shd w:val="clear" w:color="auto" w:fill="CCEDFF"/>
          </w:tcPr>
          <w:p>
            <w:pPr>
              <w:jc w:val="right"/>
              <w:ind w:right="98"/>
              <w:spacing w:after="0"/>
              <w:rPr>
                <w:sz w:val="20"/>
                <w:szCs w:val="20"/>
                <w:color w:val="auto"/>
              </w:rPr>
            </w:pPr>
            <w:r>
              <w:rPr>
                <w:rFonts w:ascii="Arial" w:cs="Arial" w:eastAsia="Arial" w:hAnsi="Arial"/>
                <w:sz w:val="18"/>
                <w:szCs w:val="18"/>
                <w:color w:val="auto"/>
              </w:rPr>
              <w:t>150,000</w:t>
            </w:r>
          </w:p>
        </w:tc>
        <w:tc>
          <w:tcPr>
            <w:tcW w:w="1500" w:type="dxa"/>
            <w:vAlign w:val="bottom"/>
            <w:gridSpan w:val="3"/>
            <w:shd w:val="clear" w:color="auto" w:fill="CCEDFF"/>
          </w:tcPr>
          <w:p>
            <w:pPr>
              <w:jc w:val="right"/>
              <w:ind w:right="140"/>
              <w:spacing w:after="0" w:line="283" w:lineRule="exact"/>
              <w:rPr>
                <w:sz w:val="20"/>
                <w:szCs w:val="20"/>
                <w:color w:val="auto"/>
              </w:rPr>
            </w:pPr>
            <w:r>
              <w:rPr>
                <w:rFonts w:ascii="Arial" w:cs="Arial" w:eastAsia="Arial" w:hAnsi="Arial"/>
                <w:sz w:val="18"/>
                <w:szCs w:val="18"/>
                <w:color w:val="auto"/>
              </w:rPr>
              <w:t>150,000</w:t>
            </w:r>
            <w:r>
              <w:rPr>
                <w:rFonts w:ascii="Arial" w:cs="Arial" w:eastAsia="Arial" w:hAnsi="Arial"/>
                <w:sz w:val="26"/>
                <w:szCs w:val="26"/>
                <w:color w:val="auto"/>
                <w:vertAlign w:val="superscript"/>
              </w:rPr>
              <w:t>(3)(5)</w:t>
            </w:r>
          </w:p>
        </w:tc>
        <w:tc>
          <w:tcPr>
            <w:tcW w:w="54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1"/>
              </w:rPr>
              <w:t>5.10</w:t>
            </w:r>
          </w:p>
        </w:tc>
        <w:tc>
          <w:tcPr>
            <w:tcW w:w="220" w:type="dxa"/>
            <w:vAlign w:val="bottom"/>
            <w:shd w:val="clear" w:color="auto" w:fill="CCEDFF"/>
          </w:tcPr>
          <w:p>
            <w:pPr>
              <w:spacing w:after="0"/>
              <w:rPr>
                <w:sz w:val="24"/>
                <w:szCs w:val="24"/>
                <w:color w:val="auto"/>
              </w:rPr>
            </w:pPr>
          </w:p>
        </w:tc>
        <w:tc>
          <w:tcPr>
            <w:tcW w:w="9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-1216660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-1216660</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-1216660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-1216660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-1216660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8256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option awards listed in the table were granted under our 2014 Omnibus Stock Ownership Plan.</w:t>
      </w:r>
    </w:p>
    <w:p>
      <w:pPr>
        <w:spacing w:after="0" w:line="88" w:lineRule="exact"/>
        <w:rPr>
          <w:rFonts w:ascii="Arial" w:cs="Arial" w:eastAsia="Arial" w:hAnsi="Arial"/>
          <w:sz w:val="17"/>
          <w:szCs w:val="17"/>
          <w:color w:val="auto"/>
        </w:rPr>
      </w:pPr>
    </w:p>
    <w:p>
      <w:pPr>
        <w:ind w:left="1620" w:right="419" w:hanging="360"/>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subject to this award vest in equal monthly installments over 48 months from the date of grant, subject to the named executive officer’s continued service as of each such vesting date.</w:t>
      </w:r>
    </w:p>
    <w:p>
      <w:pPr>
        <w:spacing w:after="0" w:line="21" w:lineRule="exact"/>
        <w:rPr>
          <w:rFonts w:ascii="Arial" w:cs="Arial" w:eastAsia="Arial" w:hAnsi="Arial"/>
          <w:sz w:val="18"/>
          <w:szCs w:val="18"/>
          <w:color w:val="auto"/>
        </w:rPr>
      </w:pPr>
    </w:p>
    <w:p>
      <w:pPr>
        <w:jc w:val="both"/>
        <w:ind w:left="1620" w:right="419" w:hanging="360"/>
        <w:spacing w:after="0" w:line="286"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Twenty-five percent of the shares subject to this award vested upon the first anniversary of the date of grant, with the remainder of the shares vesting in equal monthly installments over 48 months from the date of grant, subject to the named executive officer’s continued service as of each such vesting date.</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subject to this award vested immediately upon the date of grant.</w:t>
      </w:r>
    </w:p>
    <w:p>
      <w:pPr>
        <w:spacing w:after="0" w:line="76" w:lineRule="exact"/>
        <w:rPr>
          <w:rFonts w:ascii="Arial" w:cs="Arial" w:eastAsia="Arial" w:hAnsi="Arial"/>
          <w:sz w:val="18"/>
          <w:szCs w:val="18"/>
          <w:color w:val="auto"/>
        </w:rPr>
      </w:pPr>
    </w:p>
    <w:p>
      <w:pPr>
        <w:jc w:val="both"/>
        <w:ind w:left="1620" w:right="419" w:hanging="360"/>
        <w:spacing w:after="0" w:line="263"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unvested shares subject to these option awards may be subject to accelerated vesting upon a qualifying termination of employment following a “change in control”, see “Agreements with Our Named Executive Officers and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IRECTOR</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OMPENSATION</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62"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The following table shows for the fiscal year ended December 31, 2020 certain information with respect to the compensation of our non-employee directors:</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28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88"/>
              </w:rPr>
              <w:t>Fees Earned or</w:t>
            </w:r>
          </w:p>
        </w:tc>
        <w:tc>
          <w:tcPr>
            <w:tcW w:w="138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Stock Awards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60" w:type="dxa"/>
            <w:vAlign w:val="bottom"/>
            <w:vMerge w:val="restart"/>
          </w:tcPr>
          <w:p>
            <w:pPr>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25"/>
                <w:szCs w:val="25"/>
                <w:b w:val="1"/>
                <w:bCs w:val="1"/>
                <w:color w:val="auto"/>
                <w:vertAlign w:val="superscript"/>
              </w:rPr>
              <w:t>(1)</w:t>
            </w:r>
          </w:p>
        </w:tc>
        <w:tc>
          <w:tcPr>
            <w:tcW w:w="22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Paid in Cash</w:t>
            </w:r>
          </w:p>
        </w:tc>
        <w:tc>
          <w:tcPr>
            <w:tcW w:w="1380" w:type="dxa"/>
            <w:vAlign w:val="bottom"/>
            <w:gridSpan w:val="3"/>
            <w:vMerge w:val="continue"/>
          </w:tcPr>
          <w:p>
            <w:pPr>
              <w:spacing w:after="0"/>
              <w:rPr>
                <w:sz w:val="14"/>
                <w:szCs w:val="14"/>
                <w:color w:val="auto"/>
              </w:rPr>
            </w:pPr>
          </w:p>
        </w:tc>
        <w:tc>
          <w:tcPr>
            <w:tcW w:w="46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DFF"/>
            </w:tcBorders>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00" w:type="dxa"/>
            <w:vAlign w:val="bottom"/>
            <w:tcBorders>
              <w:bottom w:val="single" w:sz="8" w:color="CCEDFF"/>
            </w:tcBorders>
          </w:tcPr>
          <w:p>
            <w:pPr>
              <w:spacing w:after="0"/>
              <w:rPr>
                <w:sz w:val="22"/>
                <w:szCs w:val="22"/>
                <w:color w:val="auto"/>
              </w:rPr>
            </w:pPr>
          </w:p>
        </w:tc>
        <w:tc>
          <w:tcPr>
            <w:tcW w:w="9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6"/>
                <w:szCs w:val="16"/>
                <w:b w:val="1"/>
                <w:bCs w:val="1"/>
                <w:color w:val="auto"/>
                <w:w w:val="80"/>
              </w:rPr>
              <w:t>($)</w:t>
            </w:r>
            <w:r>
              <w:rPr>
                <w:rFonts w:ascii="Arial" w:cs="Arial" w:eastAsia="Arial" w:hAnsi="Arial"/>
                <w:sz w:val="25"/>
                <w:szCs w:val="25"/>
                <w:b w:val="1"/>
                <w:bCs w:val="1"/>
                <w:color w:val="auto"/>
                <w:w w:val="80"/>
                <w:vertAlign w:val="superscript"/>
              </w:rPr>
              <w:t>(3)</w:t>
            </w:r>
          </w:p>
        </w:tc>
        <w:tc>
          <w:tcPr>
            <w:tcW w:w="220" w:type="dxa"/>
            <w:vAlign w:val="bottom"/>
            <w:tcBorders>
              <w:bottom w:val="single" w:sz="8" w:color="CCEDFF"/>
            </w:tcBorders>
          </w:tcPr>
          <w:p>
            <w:pPr>
              <w:spacing w:after="0"/>
              <w:rPr>
                <w:sz w:val="22"/>
                <w:szCs w:val="2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50"/>
        </w:trPr>
        <w:tc>
          <w:tcPr>
            <w:tcW w:w="4360" w:type="dxa"/>
            <w:vAlign w:val="bottom"/>
            <w:shd w:val="clear" w:color="auto" w:fill="CCEDFF"/>
          </w:tcPr>
          <w:p>
            <w:pPr>
              <w:spacing w:after="0"/>
              <w:rPr>
                <w:sz w:val="20"/>
                <w:szCs w:val="20"/>
                <w:color w:val="auto"/>
              </w:rPr>
            </w:pPr>
            <w:r>
              <w:rPr>
                <w:rFonts w:ascii="Arial" w:cs="Arial" w:eastAsia="Arial" w:hAnsi="Arial"/>
                <w:sz w:val="16"/>
                <w:szCs w:val="16"/>
                <w:color w:val="auto"/>
              </w:rPr>
              <w:t>David Eansor</w:t>
            </w:r>
          </w:p>
        </w:tc>
        <w:tc>
          <w:tcPr>
            <w:tcW w:w="1280" w:type="dxa"/>
            <w:vAlign w:val="bottom"/>
            <w:gridSpan w:val="2"/>
            <w:shd w:val="clear" w:color="auto" w:fill="CCEDFF"/>
          </w:tcPr>
          <w:p>
            <w:pPr>
              <w:jc w:val="center"/>
              <w:ind w:left="119"/>
              <w:spacing w:after="0"/>
              <w:rPr>
                <w:sz w:val="20"/>
                <w:szCs w:val="20"/>
                <w:color w:val="auto"/>
              </w:rPr>
            </w:pPr>
            <w:r>
              <w:rPr>
                <w:rFonts w:ascii="Arial" w:cs="Arial" w:eastAsia="Arial" w:hAnsi="Arial"/>
                <w:sz w:val="16"/>
                <w:szCs w:val="16"/>
                <w:color w:val="auto"/>
                <w:w w:val="89"/>
              </w:rPr>
              <w:t>40,000</w:t>
            </w:r>
          </w:p>
        </w:tc>
        <w:tc>
          <w:tcPr>
            <w:tcW w:w="1160" w:type="dxa"/>
            <w:vAlign w:val="bottom"/>
            <w:gridSpan w:val="2"/>
            <w:shd w:val="clear" w:color="auto" w:fill="CCEDFF"/>
          </w:tcPr>
          <w:p>
            <w:pPr>
              <w:jc w:val="center"/>
              <w:ind w:left="119"/>
              <w:spacing w:after="0"/>
              <w:rPr>
                <w:sz w:val="20"/>
                <w:szCs w:val="20"/>
                <w:color w:val="auto"/>
              </w:rPr>
            </w:pPr>
            <w:r>
              <w:rPr>
                <w:rFonts w:ascii="Arial" w:cs="Arial" w:eastAsia="Arial" w:hAnsi="Arial"/>
                <w:sz w:val="16"/>
                <w:szCs w:val="16"/>
                <w:color w:val="auto"/>
                <w:w w:val="89"/>
              </w:rPr>
              <w:t>40,002</w:t>
            </w:r>
          </w:p>
        </w:tc>
        <w:tc>
          <w:tcPr>
            <w:tcW w:w="220" w:type="dxa"/>
            <w:vAlign w:val="bottom"/>
            <w:shd w:val="clear" w:color="auto" w:fill="CCEDFF"/>
          </w:tcPr>
          <w:p>
            <w:pPr>
              <w:spacing w:after="0"/>
              <w:rPr>
                <w:sz w:val="21"/>
                <w:szCs w:val="21"/>
                <w:color w:val="auto"/>
              </w:rPr>
            </w:pPr>
          </w:p>
        </w:tc>
        <w:tc>
          <w:tcPr>
            <w:tcW w:w="460" w:type="dxa"/>
            <w:vAlign w:val="bottom"/>
            <w:shd w:val="clear" w:color="auto" w:fill="CCEDFF"/>
          </w:tcPr>
          <w:p>
            <w:pPr>
              <w:jc w:val="center"/>
              <w:spacing w:after="0"/>
              <w:rPr>
                <w:sz w:val="20"/>
                <w:szCs w:val="20"/>
                <w:color w:val="auto"/>
              </w:rPr>
            </w:pPr>
            <w:r>
              <w:rPr>
                <w:rFonts w:ascii="Arial" w:cs="Arial" w:eastAsia="Arial" w:hAnsi="Arial"/>
                <w:sz w:val="16"/>
                <w:szCs w:val="16"/>
                <w:color w:val="auto"/>
                <w:w w:val="89"/>
              </w:rPr>
              <w:t>80,002</w:t>
            </w:r>
          </w:p>
        </w:tc>
        <w:tc>
          <w:tcPr>
            <w:tcW w:w="0" w:type="dxa"/>
            <w:vAlign w:val="bottom"/>
          </w:tcPr>
          <w:p>
            <w:pPr>
              <w:spacing w:after="0"/>
              <w:rPr>
                <w:sz w:val="1"/>
                <w:szCs w:val="1"/>
                <w:color w:val="auto"/>
              </w:rPr>
            </w:pPr>
          </w:p>
        </w:tc>
      </w:tr>
      <w:tr>
        <w:trPr>
          <w:trHeight w:val="253"/>
        </w:trPr>
        <w:tc>
          <w:tcPr>
            <w:tcW w:w="4360" w:type="dxa"/>
            <w:vAlign w:val="bottom"/>
          </w:tcPr>
          <w:p>
            <w:pPr>
              <w:spacing w:after="0"/>
              <w:rPr>
                <w:sz w:val="20"/>
                <w:szCs w:val="20"/>
                <w:color w:val="auto"/>
              </w:rPr>
            </w:pPr>
            <w:r>
              <w:rPr>
                <w:rFonts w:ascii="Arial" w:cs="Arial" w:eastAsia="Arial" w:hAnsi="Arial"/>
                <w:sz w:val="16"/>
                <w:szCs w:val="16"/>
                <w:color w:val="auto"/>
              </w:rPr>
              <w:t>Steven Elms</w:t>
            </w:r>
          </w:p>
        </w:tc>
        <w:tc>
          <w:tcPr>
            <w:tcW w:w="1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40,000</w:t>
            </w: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40,002</w:t>
            </w:r>
          </w:p>
        </w:tc>
        <w:tc>
          <w:tcPr>
            <w:tcW w:w="2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80,002</w:t>
            </w:r>
          </w:p>
        </w:tc>
        <w:tc>
          <w:tcPr>
            <w:tcW w:w="0" w:type="dxa"/>
            <w:vAlign w:val="bottom"/>
          </w:tcPr>
          <w:p>
            <w:pPr>
              <w:spacing w:after="0"/>
              <w:rPr>
                <w:sz w:val="1"/>
                <w:szCs w:val="1"/>
                <w:color w:val="auto"/>
              </w:rPr>
            </w:pPr>
          </w:p>
        </w:tc>
      </w:tr>
      <w:tr>
        <w:trPr>
          <w:trHeight w:val="259"/>
        </w:trPr>
        <w:tc>
          <w:tcPr>
            <w:tcW w:w="4360" w:type="dxa"/>
            <w:vAlign w:val="bottom"/>
            <w:shd w:val="clear" w:color="auto" w:fill="CCEDFF"/>
          </w:tcPr>
          <w:p>
            <w:pPr>
              <w:spacing w:after="0"/>
              <w:rPr>
                <w:sz w:val="20"/>
                <w:szCs w:val="20"/>
                <w:color w:val="auto"/>
              </w:rPr>
            </w:pPr>
            <w:r>
              <w:rPr>
                <w:rFonts w:ascii="Arial" w:cs="Arial" w:eastAsia="Arial" w:hAnsi="Arial"/>
                <w:sz w:val="16"/>
                <w:szCs w:val="16"/>
                <w:color w:val="auto"/>
              </w:rPr>
              <w:t>David Laskow-Pooley</w:t>
            </w:r>
          </w:p>
        </w:tc>
        <w:tc>
          <w:tcPr>
            <w:tcW w:w="1280" w:type="dxa"/>
            <w:vAlign w:val="bottom"/>
            <w:gridSpan w:val="2"/>
            <w:shd w:val="clear" w:color="auto" w:fill="CCEDFF"/>
          </w:tcPr>
          <w:p>
            <w:pPr>
              <w:jc w:val="center"/>
              <w:ind w:left="119"/>
              <w:spacing w:after="0"/>
              <w:rPr>
                <w:sz w:val="20"/>
                <w:szCs w:val="20"/>
                <w:color w:val="auto"/>
              </w:rPr>
            </w:pPr>
            <w:r>
              <w:rPr>
                <w:rFonts w:ascii="Arial" w:cs="Arial" w:eastAsia="Arial" w:hAnsi="Arial"/>
                <w:sz w:val="16"/>
                <w:szCs w:val="16"/>
                <w:color w:val="auto"/>
                <w:w w:val="89"/>
              </w:rPr>
              <w:t>40,000</w:t>
            </w:r>
          </w:p>
        </w:tc>
        <w:tc>
          <w:tcPr>
            <w:tcW w:w="1160" w:type="dxa"/>
            <w:vAlign w:val="bottom"/>
            <w:gridSpan w:val="2"/>
            <w:shd w:val="clear" w:color="auto" w:fill="CCEDFF"/>
          </w:tcPr>
          <w:p>
            <w:pPr>
              <w:jc w:val="center"/>
              <w:ind w:left="119"/>
              <w:spacing w:after="0"/>
              <w:rPr>
                <w:sz w:val="20"/>
                <w:szCs w:val="20"/>
                <w:color w:val="auto"/>
              </w:rPr>
            </w:pPr>
            <w:r>
              <w:rPr>
                <w:rFonts w:ascii="Arial" w:cs="Arial" w:eastAsia="Arial" w:hAnsi="Arial"/>
                <w:sz w:val="16"/>
                <w:szCs w:val="16"/>
                <w:color w:val="auto"/>
                <w:w w:val="89"/>
              </w:rPr>
              <w:t>40,002</w:t>
            </w:r>
          </w:p>
        </w:tc>
        <w:tc>
          <w:tcPr>
            <w:tcW w:w="220" w:type="dxa"/>
            <w:vAlign w:val="bottom"/>
            <w:shd w:val="clear" w:color="auto" w:fill="CCEDFF"/>
          </w:tcPr>
          <w:p>
            <w:pPr>
              <w:spacing w:after="0"/>
              <w:rPr>
                <w:sz w:val="22"/>
                <w:szCs w:val="22"/>
                <w:color w:val="auto"/>
              </w:rPr>
            </w:pPr>
          </w:p>
        </w:tc>
        <w:tc>
          <w:tcPr>
            <w:tcW w:w="460" w:type="dxa"/>
            <w:vAlign w:val="bottom"/>
            <w:shd w:val="clear" w:color="auto" w:fill="CCEDFF"/>
          </w:tcPr>
          <w:p>
            <w:pPr>
              <w:jc w:val="center"/>
              <w:spacing w:after="0"/>
              <w:rPr>
                <w:sz w:val="20"/>
                <w:szCs w:val="20"/>
                <w:color w:val="auto"/>
              </w:rPr>
            </w:pPr>
            <w:r>
              <w:rPr>
                <w:rFonts w:ascii="Arial" w:cs="Arial" w:eastAsia="Arial" w:hAnsi="Arial"/>
                <w:sz w:val="16"/>
                <w:szCs w:val="16"/>
                <w:color w:val="auto"/>
                <w:w w:val="89"/>
              </w:rPr>
              <w:t>80,002</w:t>
            </w:r>
          </w:p>
        </w:tc>
        <w:tc>
          <w:tcPr>
            <w:tcW w:w="0" w:type="dxa"/>
            <w:vAlign w:val="bottom"/>
          </w:tcPr>
          <w:p>
            <w:pPr>
              <w:spacing w:after="0"/>
              <w:rPr>
                <w:sz w:val="1"/>
                <w:szCs w:val="1"/>
                <w:color w:val="auto"/>
              </w:rPr>
            </w:pPr>
          </w:p>
        </w:tc>
      </w:tr>
      <w:tr>
        <w:trPr>
          <w:trHeight w:val="253"/>
        </w:trPr>
        <w:tc>
          <w:tcPr>
            <w:tcW w:w="4360" w:type="dxa"/>
            <w:vAlign w:val="bottom"/>
          </w:tcPr>
          <w:p>
            <w:pPr>
              <w:spacing w:after="0"/>
              <w:rPr>
                <w:sz w:val="20"/>
                <w:szCs w:val="20"/>
                <w:color w:val="auto"/>
              </w:rPr>
            </w:pPr>
            <w:r>
              <w:rPr>
                <w:rFonts w:ascii="Arial" w:cs="Arial" w:eastAsia="Arial" w:hAnsi="Arial"/>
                <w:sz w:val="16"/>
                <w:szCs w:val="16"/>
                <w:color w:val="auto"/>
              </w:rPr>
              <w:t>Frederick Wasserman</w:t>
            </w:r>
          </w:p>
        </w:tc>
        <w:tc>
          <w:tcPr>
            <w:tcW w:w="128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40,000</w:t>
            </w: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40,002</w:t>
            </w:r>
          </w:p>
        </w:tc>
        <w:tc>
          <w:tcPr>
            <w:tcW w:w="2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80,002</w:t>
            </w:r>
          </w:p>
        </w:tc>
        <w:tc>
          <w:tcPr>
            <w:tcW w:w="0" w:type="dxa"/>
            <w:vAlign w:val="bottom"/>
          </w:tcPr>
          <w:p>
            <w:pPr>
              <w:spacing w:after="0"/>
              <w:rPr>
                <w:sz w:val="1"/>
                <w:szCs w:val="1"/>
                <w:color w:val="auto"/>
              </w:rPr>
            </w:pPr>
          </w:p>
        </w:tc>
      </w:tr>
      <w:tr>
        <w:trPr>
          <w:trHeight w:val="273"/>
        </w:trPr>
        <w:tc>
          <w:tcPr>
            <w:tcW w:w="4360" w:type="dxa"/>
            <w:vAlign w:val="bottom"/>
            <w:shd w:val="clear" w:color="auto" w:fill="CCEDFF"/>
          </w:tcPr>
          <w:p>
            <w:pPr>
              <w:spacing w:after="0"/>
              <w:rPr>
                <w:sz w:val="20"/>
                <w:szCs w:val="20"/>
                <w:color w:val="auto"/>
              </w:rPr>
            </w:pPr>
            <w:r>
              <w:rPr>
                <w:rFonts w:ascii="Arial" w:cs="Arial" w:eastAsia="Arial" w:hAnsi="Arial"/>
                <w:sz w:val="16"/>
                <w:szCs w:val="16"/>
                <w:color w:val="auto"/>
              </w:rPr>
              <w:t>John Wilson</w:t>
            </w:r>
          </w:p>
        </w:tc>
        <w:tc>
          <w:tcPr>
            <w:tcW w:w="1280" w:type="dxa"/>
            <w:vAlign w:val="bottom"/>
            <w:gridSpan w:val="2"/>
            <w:shd w:val="clear" w:color="auto" w:fill="CCEDFF"/>
          </w:tcPr>
          <w:p>
            <w:pPr>
              <w:jc w:val="center"/>
              <w:ind w:left="119"/>
              <w:spacing w:after="0"/>
              <w:rPr>
                <w:sz w:val="20"/>
                <w:szCs w:val="20"/>
                <w:color w:val="auto"/>
              </w:rPr>
            </w:pPr>
            <w:r>
              <w:rPr>
                <w:rFonts w:ascii="Arial" w:cs="Arial" w:eastAsia="Arial" w:hAnsi="Arial"/>
                <w:sz w:val="16"/>
                <w:szCs w:val="16"/>
                <w:color w:val="auto"/>
                <w:w w:val="89"/>
              </w:rPr>
              <w:t>40,000</w:t>
            </w:r>
          </w:p>
        </w:tc>
        <w:tc>
          <w:tcPr>
            <w:tcW w:w="1160" w:type="dxa"/>
            <w:vAlign w:val="bottom"/>
            <w:gridSpan w:val="2"/>
            <w:shd w:val="clear" w:color="auto" w:fill="CCEDFF"/>
          </w:tcPr>
          <w:p>
            <w:pPr>
              <w:jc w:val="center"/>
              <w:ind w:left="119"/>
              <w:spacing w:after="0"/>
              <w:rPr>
                <w:sz w:val="20"/>
                <w:szCs w:val="20"/>
                <w:color w:val="auto"/>
              </w:rPr>
            </w:pPr>
            <w:r>
              <w:rPr>
                <w:rFonts w:ascii="Arial" w:cs="Arial" w:eastAsia="Arial" w:hAnsi="Arial"/>
                <w:sz w:val="16"/>
                <w:szCs w:val="16"/>
                <w:color w:val="auto"/>
                <w:w w:val="89"/>
              </w:rPr>
              <w:t>40,002</w:t>
            </w:r>
          </w:p>
        </w:tc>
        <w:tc>
          <w:tcPr>
            <w:tcW w:w="220" w:type="dxa"/>
            <w:vAlign w:val="bottom"/>
            <w:shd w:val="clear" w:color="auto" w:fill="CCEDFF"/>
          </w:tcPr>
          <w:p>
            <w:pPr>
              <w:spacing w:after="0"/>
              <w:rPr>
                <w:sz w:val="23"/>
                <w:szCs w:val="23"/>
                <w:color w:val="auto"/>
              </w:rPr>
            </w:pPr>
          </w:p>
        </w:tc>
        <w:tc>
          <w:tcPr>
            <w:tcW w:w="460" w:type="dxa"/>
            <w:vAlign w:val="bottom"/>
            <w:shd w:val="clear" w:color="auto" w:fill="CCEDFF"/>
          </w:tcPr>
          <w:p>
            <w:pPr>
              <w:jc w:val="center"/>
              <w:spacing w:after="0"/>
              <w:rPr>
                <w:sz w:val="20"/>
                <w:szCs w:val="20"/>
                <w:color w:val="auto"/>
              </w:rPr>
            </w:pPr>
            <w:r>
              <w:rPr>
                <w:rFonts w:ascii="Arial" w:cs="Arial" w:eastAsia="Arial" w:hAnsi="Arial"/>
                <w:sz w:val="16"/>
                <w:szCs w:val="16"/>
                <w:color w:val="auto"/>
                <w:w w:val="89"/>
              </w:rPr>
              <w:t>80,002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-830580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-830580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-830580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145415</wp:posOffset>
            </wp:positionV>
            <wp:extent cx="18345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57" w:lineRule="exact"/>
        <w:rPr>
          <w:sz w:val="20"/>
          <w:szCs w:val="20"/>
          <w:color w:val="auto"/>
        </w:rPr>
      </w:pPr>
    </w:p>
    <w:p>
      <w:pPr>
        <w:jc w:val="both"/>
        <w:ind w:left="2340" w:right="1139" w:hanging="360"/>
        <w:spacing w:after="0" w:line="263" w:lineRule="auto"/>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Peter Hoang and Juan Vera did not earn compensation during 2020 for their service on the Board of Directors. As a named executive officer, Mr. Hoang’s compensation is fully reflected in the “Summary Compensation Table” above.</w:t>
      </w:r>
    </w:p>
    <w:p>
      <w:pPr>
        <w:spacing w:after="0" w:line="35" w:lineRule="exact"/>
        <w:rPr>
          <w:rFonts w:ascii="Arial" w:cs="Arial" w:eastAsia="Arial" w:hAnsi="Arial"/>
          <w:sz w:val="18"/>
          <w:szCs w:val="18"/>
          <w:color w:val="auto"/>
        </w:rPr>
      </w:pPr>
    </w:p>
    <w:p>
      <w:pPr>
        <w:ind w:left="2340" w:right="1359" w:hanging="360"/>
        <w:spacing w:after="0" w:line="306" w:lineRule="auto"/>
        <w:tabs>
          <w:tab w:leader="none" w:pos="2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of December 31, 2020, Messrs. Eansor, Elms, Laskow-Pooley, Wasserman and Wilson each held options to purchase 12,500 shares of our common stock.</w:t>
      </w:r>
    </w:p>
    <w:p>
      <w:pPr>
        <w:spacing w:after="0" w:line="1" w:lineRule="exact"/>
        <w:rPr>
          <w:rFonts w:ascii="Arial" w:cs="Arial" w:eastAsia="Arial" w:hAnsi="Arial"/>
          <w:sz w:val="17"/>
          <w:szCs w:val="17"/>
          <w:color w:val="auto"/>
        </w:rPr>
      </w:pPr>
    </w:p>
    <w:p>
      <w:pPr>
        <w:jc w:val="both"/>
        <w:ind w:left="2340" w:right="1139" w:hanging="360"/>
        <w:spacing w:after="0" w:line="275" w:lineRule="auto"/>
        <w:tabs>
          <w:tab w:leader="none" w:pos="2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24,282 shares of our common stock awarded to the non-employee director for his service on the Board of Directors, as computed in accordance with FASB ASC 718. Assumptions used in the calculation of these amounts are included in Note 11 to our audited financial statements included in our Annual Report on Form 10-K.</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ARRATIVE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75"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Our Director Compensation Program is assessed periodically relative to our comparators by Radford, the Compensation Committee’s independent compensation consultant. The program provides that non-employee directors receive an initial stock option grant to purchase 12,500 shares of our common stock upon joining the Board of Directors and an annual retainer for their service on the Board of Directors, which vests on a monthly basis over a two-year period subject to the non-employee director’s continuous service as of each such vesting date. The annual retainer is composed of a $40,000 cash payment, payable quarterly at the end of each quarter subject to service as a non-employee director as of that date, and $40,000 paid in common stock at the time of our annual stockholder meeting, with the number of shares determined based on the closing price of our common stock on the day before our annual stockholder meeting. In addition, our non-employee directors are entitled to reimbursement of direct expenses incurred in connection with attending meetings of our Board of Directors or committees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ECURITIES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UTHORIZED</w:t>
      </w:r>
      <w:r>
        <w:rPr>
          <w:rFonts w:ascii="Arial" w:cs="Arial" w:eastAsia="Arial" w:hAnsi="Arial"/>
          <w:sz w:val="20"/>
          <w:szCs w:val="20"/>
          <w:b w:val="1"/>
          <w:bCs w:val="1"/>
          <w:color w:val="auto"/>
        </w:rPr>
        <w:t xml:space="preserve"> F</w:t>
      </w:r>
      <w:r>
        <w:rPr>
          <w:rFonts w:ascii="Arial" w:cs="Arial" w:eastAsia="Arial" w:hAnsi="Arial"/>
          <w:sz w:val="16"/>
          <w:szCs w:val="16"/>
          <w:b w:val="1"/>
          <w:bCs w:val="1"/>
          <w:color w:val="auto"/>
        </w:rPr>
        <w:t>OR</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SSUANCE</w:t>
      </w:r>
      <w:r>
        <w:rPr>
          <w:rFonts w:ascii="Arial" w:cs="Arial" w:eastAsia="Arial" w:hAnsi="Arial"/>
          <w:sz w:val="20"/>
          <w:szCs w:val="20"/>
          <w:b w:val="1"/>
          <w:bCs w:val="1"/>
          <w:color w:val="auto"/>
        </w:rPr>
        <w:t xml:space="preserve"> U</w:t>
      </w:r>
      <w:r>
        <w:rPr>
          <w:rFonts w:ascii="Arial" w:cs="Arial" w:eastAsia="Arial" w:hAnsi="Arial"/>
          <w:sz w:val="16"/>
          <w:szCs w:val="16"/>
          <w:b w:val="1"/>
          <w:bCs w:val="1"/>
          <w:color w:val="auto"/>
        </w:rPr>
        <w:t>NDER</w:t>
      </w:r>
      <w:r>
        <w:rPr>
          <w:rFonts w:ascii="Arial" w:cs="Arial" w:eastAsia="Arial" w:hAnsi="Arial"/>
          <w:sz w:val="20"/>
          <w:szCs w:val="20"/>
          <w:b w:val="1"/>
          <w:bCs w:val="1"/>
          <w:color w:val="auto"/>
        </w:rPr>
        <w:t xml:space="preserve"> E</w:t>
      </w:r>
      <w:r>
        <w:rPr>
          <w:rFonts w:ascii="Arial" w:cs="Arial" w:eastAsia="Arial" w:hAnsi="Arial"/>
          <w:sz w:val="16"/>
          <w:szCs w:val="16"/>
          <w:b w:val="1"/>
          <w:bCs w:val="1"/>
          <w:color w:val="auto"/>
        </w:rPr>
        <w:t>QUITY</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OMPENSATION</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LANS</w:t>
      </w:r>
    </w:p>
    <w:p>
      <w:pPr>
        <w:spacing w:after="0" w:line="157"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The following table summarizes our equity compensation plan information as of December 31, 2020. Information is included for equity compensation plans approved by our stockholders. We do not have any equity compensation plans not approved by our stockholders.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Number of Securities</w:t>
            </w:r>
          </w:p>
        </w:tc>
      </w:tr>
      <w:tr>
        <w:trPr>
          <w:trHeight w:val="175"/>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7"/>
              </w:rPr>
              <w:t>Weighted-</w:t>
            </w:r>
          </w:p>
        </w:tc>
        <w:tc>
          <w:tcPr>
            <w:tcW w:w="16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7"/>
              </w:rPr>
              <w:t>Remaining Available for</w:t>
            </w:r>
          </w:p>
        </w:tc>
      </w:tr>
      <w:tr>
        <w:trPr>
          <w:trHeight w:val="176"/>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6"/>
              </w:rPr>
              <w:t>Number of Securities</w:t>
            </w:r>
          </w:p>
        </w:tc>
        <w:tc>
          <w:tcPr>
            <w:tcW w:w="13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5"/>
              </w:rPr>
              <w:t>Average Exercise</w:t>
            </w:r>
          </w:p>
        </w:tc>
        <w:tc>
          <w:tcPr>
            <w:tcW w:w="16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7"/>
              </w:rPr>
              <w:t>Future Issuance Under</w:t>
            </w:r>
          </w:p>
        </w:tc>
      </w:tr>
      <w:tr>
        <w:trPr>
          <w:trHeight w:val="175"/>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6"/>
              </w:rPr>
              <w:t>to be Issued Upon</w:t>
            </w:r>
          </w:p>
        </w:tc>
        <w:tc>
          <w:tcPr>
            <w:tcW w:w="13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5"/>
              </w:rPr>
              <w:t>Price of</w:t>
            </w:r>
          </w:p>
        </w:tc>
        <w:tc>
          <w:tcPr>
            <w:tcW w:w="16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7"/>
              </w:rPr>
              <w:t>Equity Compensation</w:t>
            </w:r>
          </w:p>
        </w:tc>
      </w:tr>
      <w:tr>
        <w:trPr>
          <w:trHeight w:val="176"/>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4"/>
              </w:rPr>
              <w:t>Exercise of</w:t>
            </w:r>
          </w:p>
        </w:tc>
        <w:tc>
          <w:tcPr>
            <w:tcW w:w="13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6"/>
              </w:rPr>
              <w:t>Outstanding</w:t>
            </w:r>
          </w:p>
        </w:tc>
        <w:tc>
          <w:tcPr>
            <w:tcW w:w="16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6"/>
              </w:rPr>
              <w:t>Plans (Excluding</w:t>
            </w:r>
          </w:p>
        </w:tc>
      </w:tr>
      <w:tr>
        <w:trPr>
          <w:trHeight w:val="176"/>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7"/>
              </w:rPr>
              <w:t>Outstanding Options</w:t>
            </w:r>
          </w:p>
        </w:tc>
        <w:tc>
          <w:tcPr>
            <w:tcW w:w="13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7"/>
              </w:rPr>
              <w:t>Options and</w:t>
            </w:r>
          </w:p>
        </w:tc>
        <w:tc>
          <w:tcPr>
            <w:tcW w:w="16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6"/>
              </w:rPr>
              <w:t>Securities Reflected in</w:t>
            </w:r>
          </w:p>
        </w:tc>
      </w:tr>
      <w:tr>
        <w:trPr>
          <w:trHeight w:val="210"/>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Plan Category</w:t>
            </w: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and Rights</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Rights</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Column (a))</w:t>
            </w:r>
          </w:p>
        </w:tc>
      </w:tr>
      <w:tr>
        <w:trPr>
          <w:trHeight w:val="33"/>
        </w:trPr>
        <w:tc>
          <w:tcPr>
            <w:tcW w:w="330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D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D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3"/>
        </w:trPr>
        <w:tc>
          <w:tcPr>
            <w:tcW w:w="350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Equity plans approved by stockholders</w:t>
            </w:r>
          </w:p>
        </w:tc>
        <w:tc>
          <w:tcPr>
            <w:tcW w:w="1440" w:type="dxa"/>
            <w:vAlign w:val="bottom"/>
            <w:shd w:val="clear" w:color="auto" w:fill="CCEDFF"/>
          </w:tcPr>
          <w:p>
            <w:pPr>
              <w:jc w:val="right"/>
              <w:ind w:right="179"/>
              <w:spacing w:after="0" w:line="263" w:lineRule="exact"/>
              <w:rPr>
                <w:sz w:val="20"/>
                <w:szCs w:val="20"/>
                <w:color w:val="auto"/>
              </w:rPr>
            </w:pPr>
            <w:r>
              <w:rPr>
                <w:rFonts w:ascii="Arial" w:cs="Arial" w:eastAsia="Arial" w:hAnsi="Arial"/>
                <w:sz w:val="16"/>
                <w:szCs w:val="16"/>
                <w:color w:val="auto"/>
              </w:rPr>
              <w:t>6,001,814</w:t>
            </w:r>
            <w:r>
              <w:rPr>
                <w:rFonts w:ascii="Arial" w:cs="Arial" w:eastAsia="Arial" w:hAnsi="Arial"/>
                <w:sz w:val="25"/>
                <w:szCs w:val="25"/>
                <w:color w:val="auto"/>
                <w:vertAlign w:val="superscript"/>
              </w:rPr>
              <w:t>(1)</w:t>
            </w:r>
          </w:p>
        </w:tc>
        <w:tc>
          <w:tcPr>
            <w:tcW w:w="220" w:type="dxa"/>
            <w:vAlign w:val="bottom"/>
            <w:shd w:val="clear" w:color="auto" w:fill="CCEDFF"/>
          </w:tcPr>
          <w:p>
            <w:pPr>
              <w:spacing w:after="0"/>
              <w:rPr>
                <w:sz w:val="22"/>
                <w:szCs w:val="22"/>
                <w:color w:val="auto"/>
              </w:rPr>
            </w:pPr>
          </w:p>
        </w:tc>
        <w:tc>
          <w:tcPr>
            <w:tcW w:w="1180" w:type="dxa"/>
            <w:vAlign w:val="bottom"/>
            <w:shd w:val="clear" w:color="auto" w:fill="CCEDFF"/>
          </w:tcPr>
          <w:p>
            <w:pPr>
              <w:jc w:val="right"/>
              <w:ind w:right="339"/>
              <w:spacing w:after="0"/>
              <w:rPr>
                <w:sz w:val="20"/>
                <w:szCs w:val="20"/>
                <w:color w:val="auto"/>
              </w:rPr>
            </w:pPr>
            <w:r>
              <w:rPr>
                <w:rFonts w:ascii="Arial" w:cs="Arial" w:eastAsia="Arial" w:hAnsi="Arial"/>
                <w:sz w:val="16"/>
                <w:szCs w:val="16"/>
                <w:color w:val="auto"/>
              </w:rPr>
              <w:t>$6.22</w:t>
            </w:r>
          </w:p>
        </w:tc>
        <w:tc>
          <w:tcPr>
            <w:tcW w:w="200" w:type="dxa"/>
            <w:vAlign w:val="bottom"/>
            <w:shd w:val="clear" w:color="auto" w:fill="CCEDFF"/>
          </w:tcPr>
          <w:p>
            <w:pPr>
              <w:spacing w:after="0"/>
              <w:rPr>
                <w:sz w:val="22"/>
                <w:szCs w:val="22"/>
                <w:color w:val="auto"/>
              </w:rPr>
            </w:pPr>
          </w:p>
        </w:tc>
        <w:tc>
          <w:tcPr>
            <w:tcW w:w="1660" w:type="dxa"/>
            <w:vAlign w:val="bottom"/>
            <w:shd w:val="clear" w:color="auto" w:fill="CCEDFF"/>
          </w:tcPr>
          <w:p>
            <w:pPr>
              <w:jc w:val="right"/>
              <w:ind w:right="279"/>
              <w:spacing w:after="0" w:line="263" w:lineRule="exact"/>
              <w:rPr>
                <w:sz w:val="20"/>
                <w:szCs w:val="20"/>
                <w:color w:val="auto"/>
              </w:rPr>
            </w:pPr>
            <w:r>
              <w:rPr>
                <w:rFonts w:ascii="Arial" w:cs="Arial" w:eastAsia="Arial" w:hAnsi="Arial"/>
                <w:sz w:val="16"/>
                <w:szCs w:val="16"/>
                <w:color w:val="auto"/>
              </w:rPr>
              <w:t>4,685,873</w:t>
            </w:r>
            <w:r>
              <w:rPr>
                <w:rFonts w:ascii="Arial" w:cs="Arial" w:eastAsia="Arial" w:hAnsi="Arial"/>
                <w:sz w:val="25"/>
                <w:szCs w:val="25"/>
                <w:color w:val="auto"/>
                <w:vertAlign w:val="superscript"/>
              </w:rPr>
              <w:t>(2)</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Equity plans not approved by stockholders</w:t>
            </w:r>
          </w:p>
        </w:tc>
        <w:tc>
          <w:tcPr>
            <w:tcW w:w="166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73"/>
        </w:trPr>
        <w:tc>
          <w:tcPr>
            <w:tcW w:w="3500" w:type="dxa"/>
            <w:vAlign w:val="bottom"/>
            <w:gridSpan w:val="2"/>
            <w:shd w:val="clear" w:color="auto" w:fill="CCEDFF"/>
          </w:tcPr>
          <w:p>
            <w:pPr>
              <w:spacing w:after="0"/>
              <w:rPr>
                <w:sz w:val="20"/>
                <w:szCs w:val="20"/>
                <w:color w:val="auto"/>
              </w:rPr>
            </w:pPr>
            <w:r>
              <w:rPr>
                <w:rFonts w:ascii="Arial" w:cs="Arial" w:eastAsia="Arial" w:hAnsi="Arial"/>
                <w:sz w:val="16"/>
                <w:szCs w:val="16"/>
                <w:color w:val="auto"/>
              </w:rPr>
              <w:t>Total</w:t>
            </w:r>
          </w:p>
        </w:tc>
        <w:tc>
          <w:tcPr>
            <w:tcW w:w="1440" w:type="dxa"/>
            <w:vAlign w:val="bottom"/>
            <w:shd w:val="clear" w:color="auto" w:fill="CCEDFF"/>
          </w:tcPr>
          <w:p>
            <w:pPr>
              <w:jc w:val="right"/>
              <w:ind w:right="319"/>
              <w:spacing w:after="0"/>
              <w:rPr>
                <w:sz w:val="20"/>
                <w:szCs w:val="20"/>
                <w:color w:val="auto"/>
              </w:rPr>
            </w:pPr>
            <w:r>
              <w:rPr>
                <w:rFonts w:ascii="Arial" w:cs="Arial" w:eastAsia="Arial" w:hAnsi="Arial"/>
                <w:sz w:val="16"/>
                <w:szCs w:val="16"/>
                <w:color w:val="auto"/>
              </w:rPr>
              <w:t>6,001,814</w:t>
            </w:r>
          </w:p>
        </w:tc>
        <w:tc>
          <w:tcPr>
            <w:tcW w:w="220" w:type="dxa"/>
            <w:vAlign w:val="bottom"/>
            <w:shd w:val="clear" w:color="auto" w:fill="CCEDFF"/>
          </w:tcPr>
          <w:p>
            <w:pPr>
              <w:spacing w:after="0"/>
              <w:rPr>
                <w:sz w:val="23"/>
                <w:szCs w:val="23"/>
                <w:color w:val="auto"/>
              </w:rPr>
            </w:pPr>
          </w:p>
        </w:tc>
        <w:tc>
          <w:tcPr>
            <w:tcW w:w="1180" w:type="dxa"/>
            <w:vAlign w:val="bottom"/>
            <w:shd w:val="clear" w:color="auto" w:fill="CCEDFF"/>
          </w:tcPr>
          <w:p>
            <w:pPr>
              <w:jc w:val="right"/>
              <w:ind w:right="339"/>
              <w:spacing w:after="0"/>
              <w:rPr>
                <w:sz w:val="20"/>
                <w:szCs w:val="20"/>
                <w:color w:val="auto"/>
              </w:rPr>
            </w:pPr>
            <w:r>
              <w:rPr>
                <w:rFonts w:ascii="Arial" w:cs="Arial" w:eastAsia="Arial" w:hAnsi="Arial"/>
                <w:sz w:val="16"/>
                <w:szCs w:val="16"/>
                <w:color w:val="auto"/>
              </w:rPr>
              <w:t>$6.22</w:t>
            </w:r>
          </w:p>
        </w:tc>
        <w:tc>
          <w:tcPr>
            <w:tcW w:w="200" w:type="dxa"/>
            <w:vAlign w:val="bottom"/>
            <w:shd w:val="clear" w:color="auto" w:fill="CCEDFF"/>
          </w:tcPr>
          <w:p>
            <w:pPr>
              <w:spacing w:after="0"/>
              <w:rPr>
                <w:sz w:val="23"/>
                <w:szCs w:val="23"/>
                <w:color w:val="auto"/>
              </w:rPr>
            </w:pPr>
          </w:p>
        </w:tc>
        <w:tc>
          <w:tcPr>
            <w:tcW w:w="1660" w:type="dxa"/>
            <w:vAlign w:val="bottom"/>
            <w:shd w:val="clear" w:color="auto" w:fill="CCEDFF"/>
          </w:tcPr>
          <w:p>
            <w:pPr>
              <w:jc w:val="right"/>
              <w:ind w:right="419"/>
              <w:spacing w:after="0"/>
              <w:rPr>
                <w:sz w:val="20"/>
                <w:szCs w:val="20"/>
                <w:color w:val="auto"/>
              </w:rPr>
            </w:pPr>
            <w:r>
              <w:rPr>
                <w:rFonts w:ascii="Arial" w:cs="Arial" w:eastAsia="Arial" w:hAnsi="Arial"/>
                <w:sz w:val="16"/>
                <w:szCs w:val="16"/>
                <w:color w:val="auto"/>
              </w:rPr>
              <w:t>4,685,873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-521970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-521970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-521970</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8256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7" w:lineRule="exact"/>
        <w:rPr>
          <w:sz w:val="20"/>
          <w:szCs w:val="20"/>
          <w:color w:val="auto"/>
        </w:rPr>
      </w:pPr>
    </w:p>
    <w:p>
      <w:pPr>
        <w:ind w:left="1620" w:right="419" w:hanging="360"/>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such shares were granted under our 2009 Incentive Plan, our 2014 Omnibus Stock Ownership Plan or our 2020 Equity Incentive Plan.</w:t>
      </w:r>
    </w:p>
    <w:p>
      <w:pPr>
        <w:spacing w:after="0" w:line="21" w:lineRule="exact"/>
        <w:rPr>
          <w:rFonts w:ascii="Arial" w:cs="Arial" w:eastAsia="Arial" w:hAnsi="Arial"/>
          <w:sz w:val="18"/>
          <w:szCs w:val="18"/>
          <w:color w:val="auto"/>
        </w:rPr>
      </w:pPr>
    </w:p>
    <w:p>
      <w:pPr>
        <w:ind w:left="1620" w:right="759" w:hanging="360"/>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4,685,873 shares of common stock available for issuance under our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RANSACTIONS</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ITH</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ELATED</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ERSONS</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ND</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NDEMNIFICATION</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162" w:lineRule="exact"/>
        <w:rPr>
          <w:sz w:val="20"/>
          <w:szCs w:val="20"/>
          <w:color w:val="auto"/>
        </w:rPr>
      </w:pPr>
    </w:p>
    <w:p>
      <w:pPr>
        <w:jc w:val="both"/>
        <w:ind w:left="1260" w:right="419"/>
        <w:spacing w:after="0" w:line="238" w:lineRule="auto"/>
        <w:rPr>
          <w:sz w:val="20"/>
          <w:szCs w:val="20"/>
          <w:color w:val="auto"/>
        </w:rPr>
      </w:pPr>
      <w:r>
        <w:rPr>
          <w:rFonts w:ascii="Arial" w:cs="Arial" w:eastAsia="Arial" w:hAnsi="Arial"/>
          <w:sz w:val="18"/>
          <w:szCs w:val="18"/>
          <w:color w:val="auto"/>
        </w:rPr>
        <w:t>The Company has adopted a written Related Party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is reasonably expected to exceed $120,000 in any calendar year.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121" w:lineRule="exact"/>
        <w:rPr>
          <w:sz w:val="20"/>
          <w:szCs w:val="20"/>
          <w:color w:val="auto"/>
        </w:rPr>
      </w:pPr>
    </w:p>
    <w:p>
      <w:pPr>
        <w:jc w:val="both"/>
        <w:ind w:left="1260" w:right="419"/>
        <w:spacing w:after="0" w:line="250" w:lineRule="auto"/>
        <w:rPr>
          <w:sz w:val="20"/>
          <w:szCs w:val="20"/>
          <w:color w:val="auto"/>
        </w:rPr>
      </w:pPr>
      <w:r>
        <w:rPr>
          <w:rFonts w:ascii="Arial" w:cs="Arial" w:eastAsia="Arial" w:hAnsi="Arial"/>
          <w:sz w:val="17"/>
          <w:szCs w:val="17"/>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 In considering related-person transactions, the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w:t>
      </w:r>
    </w:p>
    <w:p>
      <w:pPr>
        <w:spacing w:after="0" w:line="4" w:lineRule="exact"/>
        <w:rPr>
          <w:sz w:val="20"/>
          <w:szCs w:val="20"/>
          <w:color w:val="auto"/>
        </w:rPr>
      </w:pPr>
    </w:p>
    <w:p>
      <w:pPr>
        <w:ind w:left="1520" w:hanging="260"/>
        <w:spacing w:after="0"/>
        <w:tabs>
          <w:tab w:leader="none" w:pos="1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terms of the transaction, (d) the availability of other sources for comparable services or products and</w:t>
      </w:r>
    </w:p>
    <w:p>
      <w:pPr>
        <w:spacing w:after="0" w:line="7" w:lineRule="exact"/>
        <w:rPr>
          <w:rFonts w:ascii="Arial" w:cs="Arial" w:eastAsia="Arial" w:hAnsi="Arial"/>
          <w:sz w:val="17"/>
          <w:szCs w:val="17"/>
          <w:color w:val="auto"/>
        </w:rPr>
      </w:pPr>
    </w:p>
    <w:p>
      <w:pPr>
        <w:jc w:val="both"/>
        <w:ind w:left="1260" w:right="419"/>
        <w:spacing w:after="0" w:line="253" w:lineRule="auto"/>
        <w:tabs>
          <w:tab w:leader="none" w:pos="15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Committee consider, in light of known circumstances, whether the transaction is in, or is not inconsistent with, the best interests of the Company and its stockholders, as the Committee determines in the good faith exercise of its discretion.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75"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7"/>
          <w:szCs w:val="17"/>
          <w:color w:val="auto"/>
        </w:rPr>
        <w:t>The following includes a summary of transactions since January 1, 2019 to which we have been a party, in which the amount involved in the transaction exceeded the lesser of one percent of our average total assets at year end for the last two completed fiscal years or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Consulting Agreement with Dr. Ann Leen</w:t>
      </w:r>
    </w:p>
    <w:p>
      <w:pPr>
        <w:spacing w:after="0" w:line="144"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In October 2018, we entered into a consulting agreement with Dr. Ann Leen, a holder of greater than 5% of the common stock of the Company, to serve as our Chief Scientific Officer, pursuant to which she received $350,000 and $53,846 in compensation in 2019 and 2020, respectively. Dr. Ann Leen ceased to serve as our Chief Scientific Officer in February 2020.</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Purchases from Bio-Techne Corporation</w:t>
      </w:r>
    </w:p>
    <w:p>
      <w:pPr>
        <w:spacing w:after="0" w:line="158" w:lineRule="exact"/>
        <w:rPr>
          <w:sz w:val="20"/>
          <w:szCs w:val="20"/>
          <w:color w:val="auto"/>
        </w:rPr>
      </w:pPr>
    </w:p>
    <w:p>
      <w:pPr>
        <w:jc w:val="both"/>
        <w:ind w:left="1260" w:right="419"/>
        <w:spacing w:after="0" w:line="243" w:lineRule="auto"/>
        <w:rPr>
          <w:sz w:val="20"/>
          <w:szCs w:val="20"/>
          <w:color w:val="auto"/>
        </w:rPr>
      </w:pPr>
      <w:r>
        <w:rPr>
          <w:rFonts w:ascii="Arial" w:cs="Arial" w:eastAsia="Arial" w:hAnsi="Arial"/>
          <w:sz w:val="18"/>
          <w:szCs w:val="18"/>
          <w:color w:val="auto"/>
        </w:rPr>
        <w:t>We contract with Bio-Techne Corporation and two of its brands for the purchases of reagents, primarily cytokines. Mr. David Eansor, a member of our board of directors, is the President of the Protein Sciences Segment of Bio-Techne Corporation. In 2020, we purchased $152,400 of reagents from Bio-Techne Corporation.</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44" w:lineRule="exact"/>
        <w:rPr>
          <w:sz w:val="20"/>
          <w:szCs w:val="20"/>
          <w:color w:val="auto"/>
        </w:rPr>
      </w:pPr>
    </w:p>
    <w:p>
      <w:pPr>
        <w:jc w:val="both"/>
        <w:ind w:left="1260" w:right="419"/>
        <w:spacing w:after="0" w:line="289" w:lineRule="auto"/>
        <w:rPr>
          <w:sz w:val="20"/>
          <w:szCs w:val="20"/>
          <w:color w:val="auto"/>
        </w:rPr>
      </w:pPr>
      <w:r>
        <w:rPr>
          <w:rFonts w:ascii="Arial" w:cs="Arial" w:eastAsia="Arial" w:hAnsi="Arial"/>
          <w:sz w:val="16"/>
          <w:szCs w:val="16"/>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H</w:t>
      </w:r>
      <w:r>
        <w:rPr>
          <w:rFonts w:ascii="Arial" w:cs="Arial" w:eastAsia="Arial" w:hAnsi="Arial"/>
          <w:sz w:val="16"/>
          <w:szCs w:val="16"/>
          <w:b w:val="1"/>
          <w:bCs w:val="1"/>
          <w:color w:val="auto"/>
        </w:rPr>
        <w:t>OUSEHOLDING</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F</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ROXY</w:t>
      </w:r>
      <w:r>
        <w:rPr>
          <w:rFonts w:ascii="Arial" w:cs="Arial" w:eastAsia="Arial" w:hAnsi="Arial"/>
          <w:sz w:val="20"/>
          <w:szCs w:val="20"/>
          <w:b w:val="1"/>
          <w:bCs w:val="1"/>
          <w:color w:val="auto"/>
        </w:rPr>
        <w:t xml:space="preserve"> M</w:t>
      </w:r>
      <w:r>
        <w:rPr>
          <w:rFonts w:ascii="Arial" w:cs="Arial" w:eastAsia="Arial" w:hAnsi="Arial"/>
          <w:sz w:val="16"/>
          <w:szCs w:val="16"/>
          <w:b w:val="1"/>
          <w:bCs w:val="1"/>
          <w:color w:val="auto"/>
        </w:rPr>
        <w:t>ATERIALS</w:t>
      </w:r>
    </w:p>
    <w:p>
      <w:pPr>
        <w:spacing w:after="0" w:line="157" w:lineRule="exact"/>
        <w:rPr>
          <w:sz w:val="20"/>
          <w:szCs w:val="20"/>
          <w:color w:val="auto"/>
        </w:rPr>
      </w:pPr>
    </w:p>
    <w:p>
      <w:pPr>
        <w:jc w:val="both"/>
        <w:ind w:left="1260" w:right="419"/>
        <w:spacing w:after="0" w:line="255" w:lineRule="auto"/>
        <w:rPr>
          <w:sz w:val="20"/>
          <w:szCs w:val="20"/>
          <w:color w:val="auto"/>
        </w:rPr>
      </w:pPr>
      <w:r>
        <w:rPr>
          <w:rFonts w:ascii="Arial" w:cs="Arial" w:eastAsia="Arial" w:hAnsi="Arial"/>
          <w:sz w:val="18"/>
          <w:szCs w:val="18"/>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5" w:lineRule="exact"/>
        <w:rPr>
          <w:sz w:val="20"/>
          <w:szCs w:val="20"/>
          <w:color w:val="auto"/>
        </w:rPr>
      </w:pPr>
    </w:p>
    <w:p>
      <w:pPr>
        <w:jc w:val="both"/>
        <w:ind w:left="1260" w:right="419"/>
        <w:spacing w:after="0" w:line="269" w:lineRule="auto"/>
        <w:rPr>
          <w:sz w:val="20"/>
          <w:szCs w:val="20"/>
          <w:color w:val="auto"/>
        </w:rPr>
      </w:pPr>
      <w:r>
        <w:rPr>
          <w:rFonts w:ascii="Arial" w:cs="Arial" w:eastAsia="Arial" w:hAnsi="Arial"/>
          <w:sz w:val="17"/>
          <w:szCs w:val="17"/>
          <w:color w:val="auto"/>
        </w:rPr>
        <w:t>This year,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3200 Southwest Freeway, Suite 2500, Houston, Texas 77027.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M</w:t>
      </w:r>
      <w:r>
        <w:rPr>
          <w:rFonts w:ascii="Arial" w:cs="Arial" w:eastAsia="Arial" w:hAnsi="Arial"/>
          <w:sz w:val="16"/>
          <w:szCs w:val="16"/>
          <w:b w:val="1"/>
          <w:bCs w:val="1"/>
          <w:color w:val="auto"/>
        </w:rPr>
        <w:t>ATTERS</w:t>
      </w:r>
    </w:p>
    <w:p>
      <w:pPr>
        <w:spacing w:after="0" w:line="157"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814070" cy="3689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40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Michael J. Loiacono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Secretary</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Dated: April 23, 2021</w:t>
      </w:r>
    </w:p>
    <w:p>
      <w:pPr>
        <w:spacing w:after="0" w:line="154"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b w:val="1"/>
          <w:bCs w:val="1"/>
          <w:color w:val="auto"/>
        </w:rPr>
        <w:t>A copy of the Company’s Annual Report to the Securities and Exchange Commission on Form 10-K for the fiscal year ended December 31, 2020 is available without charge upon written request to Marker Therapeutics, Inc., Attention: Secretary, Marker Therapeutics, Inc., 3200 Southwest Freeway, Suite 2500, Houston, Texas 77027.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-96520</wp:posOffset>
            </wp:positionV>
            <wp:extent cx="6017895" cy="7783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17895" cy="778383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195" w:lineRule="auto"/>
        <w:rPr>
          <w:sz w:val="20"/>
          <w:szCs w:val="20"/>
          <w:color w:val="auto"/>
        </w:rPr>
      </w:pPr>
      <w:r>
        <w:rPr>
          <w:rFonts w:ascii="Arial" w:cs="Arial" w:eastAsia="Arial" w:hAnsi="Arial"/>
          <w:sz w:val="18"/>
          <w:szCs w:val="18"/>
          <w:color w:val="FFFFFF"/>
        </w:rPr>
        <w:t>MARKER THERAPEUTICS, INC.Proxy for Annual Meeting of Stockholders on June 8, 2021Solicited on Behalf of the Board of DirectorsThe undersigned hereby appoints Peter Hoang and Anthony Kim, and each of them, with full power ofsubstitution and power to act alone, as proxies to vote all the shares of common stock which the undersignedwould be entitled to vote if personally present and acting at the Annual Meeting of Stockholders of MarkerTherapeutics, Inc., to be held virtually on Tuesday, June 8, 2021 at 8:00 a.m. Central Time, and at anyadjournments or postponements thereof, as set forth on the reverse side.The Annual Meeting of Stockholders will be held virtually. In order to attend the meeting, youmust register at http://viewproxy.com/markertherapeutics/2021/htype.asp by 11:59 PM Eastern Time onJune 3, 2021. On the day of the Annual Meeting of Stockholders, if you have properly registered, you mayenter the meeting by clicking on the link provided and the password you received via email in your registrationconfirmations. Further instructions on how to attend and vote at the Annual Meeting of Stockholders arecontained in the Proxy Statement in the section titled “Questions and Answers about these Proxy Materialsand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-36195</wp:posOffset>
            </wp:positionV>
            <wp:extent cx="5452110" cy="7063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706374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FFFFFF"/>
        </w:rPr>
        <w:t>The Board of Directors recommends you vote FOR ALL of the nominees in Proposal 1:1.Election of Directors Nominees: 01David EansorFORWITHHOLDFOR ALL02Steven ElmsALLALLEXCEPT03Peter Hoang04David Laskow-Pooley05Frederick Wasserman06John Wilson07Juan VeraINSTRUCTIONS: To withhold authority to vote for any individual nominee(s), mark, “FOR ALL EXCEPT” and write the number(s) of the nominee(s) on the line below.Address Change/Comments: (If you noted any Address Changes and/or Comments above, please mark box.) Please mark your votes like this The Board of Directors recommends you vote FOR Proposals 2 and 3.2.Approval, on an advisory basis, of theFORAGAINSTABSTAIN compensation of the Company’s namedexecutive officers.3.Ratification of the selection by the Audit Committee of the Board of Directors ofMarcum LLP as the independent registered public accounting firm of the Company for its fiscal year ending December 31, 2021.In the discretion, the proxies are authorized to vote upon such other business as may properly come before the Annual Meeting. This proxy when properly executed will be voted as directed herein by the undrsigned stockholder. If no direction is made, this proxy wil be voted FOR ALL nominees in Proposal 1 and FOR Proposals 2 and 3.Date: Signature of stockholder Signature of stockholderNOTE: Please sign exactly as your as your name or name(s) appear on this Proxy. When shares are held jointly, each holder should sign. When signing as an executor, administrator, attorney, or other trustee or guardian, please give full title as such. If the signer is a corporation, please sign full corporate name or partnership name by authorized officer, giving full title as such. If the signer is a partnership, please sign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10720"/>
      </w:cols>
      <w:pgMar w:left="580" w:top="132"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lowerRoman"/>
      <w:start w:val="3"/>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lvl w:ilvl="1">
      <w:lvlJc w:val="left"/>
      <w:lvlText w:val="(%2)"/>
      <w:numFmt w:val="lowerLetter"/>
      <w:start w:val="1"/>
    </w:lvl>
  </w:abstractNum>
  <w:abstractNum w:abstractNumId="14">
    <w:nsid w:val="721DA317"/>
    <w:multiLevelType w:val="hybridMultilevel"/>
    <w:lvl w:ilvl="0">
      <w:lvlJc w:val="left"/>
      <w:lvlText w:val="(%1)"/>
      <w:numFmt w:val="decimal"/>
      <w:start w:val="4"/>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Roman"/>
      <w:start w:val="3"/>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4"/>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lowerLetter"/>
      <w:start w:val="3"/>
    </w:lvl>
  </w:abstractNum>
  <w:abstractNum w:abstractNumId="28">
    <w:nsid w:val="2901D8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2021-04-23T15:41:39Z</dcterms:created>
  <dcterms:modified xsi:type="dcterms:W3CDTF">2021-04-23T15:41:39Z</dcterms:modified>
</cp:coreProperties>
</file>