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30513ntnt10vq.htm"/>
      <w:bookmarkStart w:id="1" w:name="ksd30513ntnt10vq"/>
      <w:bookmarkEnd w:id="0"/>
      <w:bookmarkEnd w:id="1"/>
      <w:r>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12b-25</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NOTIFICATION OF LATE FILING</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bdr w:val="single" w:sz="2" w:space="1" w:color="000000"/>
        </w:rPr>
        <w:t>OMB APPROVAL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OMB Number: 3235-0058</w:t>
        <w:br/>
        <w:t>Expires: March 31, 2006</w:t>
        <w:br/>
        <w:t>Estimated average burden</w:t>
        <w:br/>
        <w:t>hours per response 2.50</w:t>
        <w:br/>
        <w:t>SEC FILE NUMBER</w:t>
        <w:br/>
        <w:t>CUSIP NUMBER</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(Check one):</w:t>
      </w:r>
      <w:r>
        <w:rPr>
          <w:rFonts w:ascii="Times New Roman;Times;serif" w:hAnsi="Times New Roman;Times;serif"/>
          <w:sz w:val="17"/>
        </w:rPr>
        <w:t xml:space="preserve">  ☐ Form 10-K   ☐ Form 20-F ☐   Form 11-K  ☒ Form 10-Q ☐ Form 10-D    ☐ Form N-SAR ☐   Form N-CSR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Period Ended: </w:t>
      </w:r>
      <w:r>
        <w:rPr>
          <w:rFonts w:ascii="Times New Roman;Times;serif" w:hAnsi="Times New Roman;Times;serif"/>
          <w:sz w:val="17"/>
          <w:u w:val="single"/>
        </w:rPr>
        <w:t>September 30, 2005</w:t>
      </w:r>
      <w:r>
        <w:rPr>
          <w:rFonts w:ascii="Times New Roman;Times;serif" w:hAnsi="Times New Roman;Times;serif"/>
          <w:sz w:val="17"/>
        </w:rPr>
        <w:br/>
        <w:t>☐ Transition Report on Form 10-K</w:t>
        <w:br/>
        <w:t>☐ Transition Report on Form 20-F</w:t>
        <w:br/>
        <w:t>☐ Transition Report on Form 11-K</w:t>
        <w:br/>
        <w:t>☐ Transition Report on Form 10-Q</w:t>
        <w:br/>
        <w:t>☐ Transition Report on Form N-SAR</w:t>
        <w:br/>
        <w:t>For the Transition Period Ended:</w:t>
      </w:r>
    </w:p>
    <w:p>
      <w:pPr>
        <w:pStyle w:val="TextBody"/>
        <w:spacing w:before="120" w:after="283"/>
        <w:jc w:val="left"/>
        <w:rPr/>
      </w:pPr>
      <w:r>
        <w:rPr/>
        <w:t> </w:t>
      </w:r>
    </w:p>
    <w:p>
      <w:pPr>
        <w:pStyle w:val="TextBody"/>
        <w:spacing w:before="0" w:after="0"/>
        <w:jc w:val="center"/>
        <w:rPr>
          <w:rFonts w:ascii="Times New Roman;Times;serif" w:hAnsi="Times New Roman;Times;serif"/>
          <w:sz w:val="17"/>
          <w:bdr w:val="single" w:sz="2" w:space="1" w:color="000000"/>
        </w:rPr>
      </w:pPr>
      <w:r>
        <w:rPr>
          <w:rFonts w:ascii="Times New Roman;Times;serif" w:hAnsi="Times New Roman;Times;serif"/>
          <w:i/>
          <w:sz w:val="17"/>
          <w:bdr w:val="single" w:sz="2" w:space="1" w:color="000000"/>
        </w:rPr>
        <w:t>Read Instruction (on back page) Before Preparing Form. Please Print or Type.</w:t>
      </w:r>
      <w:r>
        <w:rPr>
          <w:rFonts w:ascii="Times New Roman;Times;serif" w:hAnsi="Times New Roman;Times;serif"/>
          <w:sz w:val="17"/>
          <w:bdr w:val="single" w:sz="2" w:space="1" w:color="000000"/>
        </w:rPr>
        <w:br/>
      </w:r>
      <w:r>
        <w:rPr>
          <w:rFonts w:ascii="Times New Roman;Times;serif" w:hAnsi="Times New Roman;Times;serif"/>
          <w:b/>
          <w:sz w:val="17"/>
          <w:bdr w:val="single" w:sz="2" w:space="1" w:color="000000"/>
        </w:rPr>
        <w:t>Nothing in this form shall be construed to imply that the Commission has verified any information contained herein.</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notification relates to a portion of the filing checked above, identify the Item(s) to which the notification relates: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  REGISTRANT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w:t>
      </w:r>
    </w:p>
    <w:p>
      <w:pPr>
        <w:pStyle w:val="TextBody"/>
        <w:spacing w:before="20" w:after="283"/>
        <w:jc w:val="center"/>
        <w:rPr>
          <w:bdr w:val="single" w:sz="2" w:space="1" w:color="000000"/>
        </w:rPr>
      </w:pPr>
      <w:r>
        <w:rPr>
          <w:bdr w:val="single" w:sz="2" w:space="1" w:color="000000"/>
        </w:rPr>
        <w:t> </w:t>
      </w:r>
    </w:p>
    <w:p>
      <w:pPr>
        <w:pStyle w:val="TextBody"/>
        <w:spacing w:before="0" w:after="0"/>
        <w:jc w:val="left"/>
        <w:rPr>
          <w:rFonts w:ascii="Times New Roman;Times;serif" w:hAnsi="Times New Roman;Times;serif"/>
          <w:sz w:val="17"/>
        </w:rPr>
      </w:pPr>
      <w:r>
        <w:rPr>
          <w:rFonts w:ascii="Times New Roman;Times;serif" w:hAnsi="Times New Roman;Times;serif"/>
          <w:sz w:val="17"/>
        </w:rPr>
        <w:t>Full Name of Registrant</w:t>
      </w:r>
    </w:p>
    <w:p>
      <w:pPr>
        <w:pStyle w:val="TextBody"/>
        <w:spacing w:before="320" w:after="283"/>
        <w:jc w:val="center"/>
        <w:rPr>
          <w:bdr w:val="single" w:sz="2" w:space="1" w:color="000000"/>
        </w:rPr>
      </w:pPr>
      <w:r>
        <w:rPr>
          <w:bdr w:val="single" w:sz="2" w:space="1" w:color="000000"/>
        </w:rPr>
        <w:t> </w:t>
      </w:r>
    </w:p>
    <w:p>
      <w:pPr>
        <w:pStyle w:val="TextBody"/>
        <w:spacing w:before="0" w:after="0"/>
        <w:jc w:val="left"/>
        <w:rPr>
          <w:rFonts w:ascii="Times New Roman;Times;serif" w:hAnsi="Times New Roman;Times;serif"/>
          <w:sz w:val="17"/>
        </w:rPr>
      </w:pPr>
      <w:r>
        <w:rPr>
          <w:rFonts w:ascii="Times New Roman;Times;serif" w:hAnsi="Times New Roman;Times;serif"/>
          <w:sz w:val="17"/>
        </w:rPr>
        <w:t>Former Name if Applicable</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1681 Chestnut Street, Suite 400 </w:t>
      </w:r>
    </w:p>
    <w:p>
      <w:pPr>
        <w:pStyle w:val="TextBody"/>
        <w:spacing w:before="20" w:after="283"/>
        <w:jc w:val="center"/>
        <w:rPr>
          <w:bdr w:val="single" w:sz="2" w:space="1" w:color="000000"/>
        </w:rPr>
      </w:pPr>
      <w:r>
        <w:rPr>
          <w:bdr w:val="single" w:sz="2" w:space="1" w:color="000000"/>
        </w:rPr>
        <w:t> </w:t>
      </w:r>
    </w:p>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Address of Principal Executive Office </w:t>
      </w:r>
      <w:r>
        <w:rPr>
          <w:rFonts w:ascii="Times New Roman;Times;serif" w:hAnsi="Times New Roman;Times;serif"/>
          <w:i/>
          <w:sz w:val="17"/>
        </w:rPr>
        <w:t>(Street and Number)</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Vancouver, British Columbia, Canada            V6J 4M6 </w:t>
      </w:r>
    </w:p>
    <w:p>
      <w:pPr>
        <w:pStyle w:val="TextBody"/>
        <w:spacing w:before="20" w:after="283"/>
        <w:jc w:val="center"/>
        <w:rPr>
          <w:bdr w:val="single" w:sz="2" w:space="1" w:color="000000"/>
        </w:rPr>
      </w:pPr>
      <w:r>
        <w:rPr>
          <w:bdr w:val="single" w:sz="2" w:space="1" w:color="000000"/>
        </w:rPr>
        <w:t> </w:t>
      </w:r>
    </w:p>
    <w:p>
      <w:pPr>
        <w:pStyle w:val="TextBody"/>
        <w:jc w:val="left"/>
        <w:rPr>
          <w:rFonts w:ascii="Times New Roman;Times;serif" w:hAnsi="Times New Roman;Times;serif"/>
          <w:sz w:val="17"/>
        </w:rPr>
      </w:pPr>
      <w:r>
        <w:rPr>
          <w:rFonts w:ascii="Times New Roman;Times;serif" w:hAnsi="Times New Roman;Times;serif"/>
          <w:sz w:val="17"/>
        </w:rPr>
        <w:t>City, State and Zip Code</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II  RULES 12B-25(b) AND (c)</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subject report could not be filed without unreasonable effort or expense and the registrant seeks relief pursuant to Rule 12b-25(b), the following should be completed. (Check box if appropriate) </w:t>
      </w:r>
    </w:p>
    <w:tbl>
      <w:tblPr>
        <w:tblW w:w="5000" w:type="pct"/>
        <w:jc w:val="center"/>
        <w:tblInd w:w="0" w:type="dxa"/>
        <w:tblCellMar>
          <w:top w:w="0" w:type="dxa"/>
          <w:left w:w="0" w:type="dxa"/>
          <w:bottom w:w="0" w:type="dxa"/>
          <w:right w:w="0" w:type="dxa"/>
        </w:tblCellMar>
      </w:tblPr>
      <w:tblGrid>
        <w:gridCol w:w="509"/>
        <w:gridCol w:w="102"/>
        <w:gridCol w:w="102"/>
        <w:gridCol w:w="9492"/>
      </w:tblGrid>
      <w:tr>
        <w:trPr/>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jc w:val="left"/>
              <w:rPr/>
            </w:pPr>
            <w:r>
              <w:rPr/>
              <w:t> </w:t>
            </w:r>
          </w:p>
        </w:tc>
        <w:tc>
          <w:tcPr>
            <w:tcW w:w="102" w:type="dxa"/>
            <w:tcBorders>
              <w:right w:val="single" w:sz="12" w:space="0" w:color="000000"/>
            </w:tcBorders>
            <w:shd w:fill="auto" w:val="clear"/>
            <w:tcMar>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0"/>
              <w:ind w:left="0" w:right="0" w:hanging="0"/>
              <w:rPr/>
            </w:pPr>
            <w:r>
              <w:rPr/>
              <w:t>(a) The reason described in reasonable detail in Part III of this form could not be eliminated without unreasonable effort or expense</w:t>
            </w:r>
          </w:p>
        </w:tc>
      </w:tr>
      <w:tr>
        <w:trPr/>
        <w:tc>
          <w:tcPr>
            <w:tcW w:w="509" w:type="dxa"/>
            <w:tcBorders/>
            <w:shd w:fill="auto" w:val="clear"/>
          </w:tcPr>
          <w:p>
            <w:pPr>
              <w:pStyle w:val="TableContents"/>
              <w:spacing w:before="0" w:after="283"/>
              <w:jc w:val="left"/>
              <w:rPr/>
            </w:pPr>
            <w:r>
              <w:rPr/>
              <w:t> </w:t>
            </w:r>
          </w:p>
        </w:tc>
        <w:tc>
          <w:tcPr>
            <w:tcW w:w="102" w:type="dxa"/>
            <w:tcBorders>
              <w:right w:val="single" w:sz="12" w:space="0" w:color="000000"/>
            </w:tcBorders>
            <w:shd w:fill="auto" w:val="clear"/>
            <w:tcMar>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0"/>
              <w:ind w:left="0" w:right="0" w:hanging="0"/>
              <w:rPr/>
            </w:pPr>
            <w:r>
              <w:rPr/>
              <w:t> </w:t>
            </w:r>
          </w:p>
        </w:tc>
      </w:tr>
      <w:tr>
        <w:trPr/>
        <w:tc>
          <w:tcPr>
            <w:tcW w:w="509" w:type="dxa"/>
            <w:tcBorders/>
            <w:shd w:fill="auto" w:val="clear"/>
          </w:tcPr>
          <w:p>
            <w:pPr>
              <w:pStyle w:val="TableContents"/>
              <w:spacing w:before="0" w:after="283"/>
              <w:jc w:val="left"/>
              <w:rPr/>
            </w:pPr>
            <w:r>
              <w:rPr/>
              <w:t xml:space="preserve">☒ </w:t>
            </w:r>
          </w:p>
        </w:tc>
        <w:tc>
          <w:tcPr>
            <w:tcW w:w="102" w:type="dxa"/>
            <w:tcBorders>
              <w:right w:val="single" w:sz="12" w:space="0" w:color="000000"/>
            </w:tcBorders>
            <w:shd w:fill="auto" w:val="clear"/>
            <w:tcMar>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0"/>
              <w:ind w:left="0" w:right="0" w:hanging="0"/>
              <w:rPr/>
            </w:pPr>
            <w:r>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509" w:type="dxa"/>
            <w:tcBorders/>
            <w:shd w:fill="auto" w:val="clear"/>
          </w:tcPr>
          <w:p>
            <w:pPr>
              <w:pStyle w:val="TableContents"/>
              <w:spacing w:before="0" w:after="283"/>
              <w:jc w:val="left"/>
              <w:rPr/>
            </w:pPr>
            <w:r>
              <w:rPr/>
              <w:t> </w:t>
            </w:r>
          </w:p>
        </w:tc>
        <w:tc>
          <w:tcPr>
            <w:tcW w:w="102" w:type="dxa"/>
            <w:tcBorders>
              <w:right w:val="single" w:sz="12" w:space="0" w:color="000000"/>
            </w:tcBorders>
            <w:shd w:fill="auto" w:val="clear"/>
            <w:tcMar>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0"/>
              <w:ind w:left="0" w:right="0" w:hanging="0"/>
              <w:rPr/>
            </w:pPr>
            <w:r>
              <w:rPr/>
              <w:t> </w:t>
            </w:r>
          </w:p>
        </w:tc>
      </w:tr>
      <w:tr>
        <w:trPr/>
        <w:tc>
          <w:tcPr>
            <w:tcW w:w="509" w:type="dxa"/>
            <w:tcBorders/>
            <w:shd w:fill="auto" w:val="clear"/>
          </w:tcPr>
          <w:p>
            <w:pPr>
              <w:pStyle w:val="TableContents"/>
              <w:spacing w:before="0" w:after="283"/>
              <w:jc w:val="left"/>
              <w:rPr/>
            </w:pPr>
            <w:r>
              <w:rPr/>
              <w:t> </w:t>
            </w:r>
          </w:p>
        </w:tc>
        <w:tc>
          <w:tcPr>
            <w:tcW w:w="102" w:type="dxa"/>
            <w:tcBorders>
              <w:right w:val="single" w:sz="12" w:space="0" w:color="000000"/>
            </w:tcBorders>
            <w:shd w:fill="auto" w:val="clear"/>
            <w:tcMar>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0"/>
              <w:ind w:left="0" w:right="0" w:hanging="0"/>
              <w:rPr/>
            </w:pPr>
            <w:r>
              <w:rPr/>
              <w:t>(c) The accountants statement or other exhibit required by Rule 12b-25(c) has been attached if applicable.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PART III  NARRATIVE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State below in reasonable detail why Forms 10-K, 20-F, 11-K, 10-Q, 10-D, N-SAR, N-CSR, or the transition report or portion thereof, could not be filed within the prescribed time period. </w:t>
      </w:r>
    </w:p>
    <w:p>
      <w:pPr>
        <w:pStyle w:val="TextBody"/>
        <w:spacing w:before="120" w:after="283"/>
        <w:jc w:val="left"/>
        <w:rPr/>
      </w:pPr>
      <w:r>
        <w:rPr/>
        <w:t>     </w:t>
      </w:r>
      <w:r>
        <w:rPr>
          <w:rFonts w:ascii="Times New Roman;Times;serif" w:hAnsi="Times New Roman;Times;serif"/>
          <w:sz w:val="17"/>
        </w:rPr>
        <w:t xml:space="preserve">The Company encountered an unexpected delay in preparing its financial statements for the period due to the departure of the Companys CEO during the reporting period and the CFO in the current period, resulting in delays in assembling required information. Due to the delay in preparation of the financial statements, and without incurring unreasonable effort or expense, the Company was unable to provide sufficient time for its auditors and counsel to review the subject report. The Company plans to file the subject report on or before November 21, 2005. </w:t>
      </w:r>
    </w:p>
    <w:tbl>
      <w:tblPr>
        <w:tblW w:w="5000" w:type="pct"/>
        <w:jc w:val="center"/>
        <w:tblInd w:w="0" w:type="dxa"/>
        <w:tblCellMar>
          <w:top w:w="0" w:type="dxa"/>
          <w:left w:w="0" w:type="dxa"/>
          <w:bottom w:w="0" w:type="dxa"/>
          <w:right w:w="0" w:type="dxa"/>
        </w:tblCellMar>
      </w:tblPr>
      <w:tblGrid>
        <w:gridCol w:w="1223"/>
        <w:gridCol w:w="306"/>
        <w:gridCol w:w="8676"/>
      </w:tblGrid>
      <w:tr>
        <w:trPr/>
        <w:tc>
          <w:tcPr>
            <w:tcW w:w="122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8676" w:type="dxa"/>
            <w:tcBorders/>
            <w:shd w:fill="auto" w:val="clear"/>
            <w:vAlign w:val="bottom"/>
          </w:tcPr>
          <w:p>
            <w:pPr>
              <w:pStyle w:val="TableContents"/>
              <w:spacing w:before="0" w:after="283"/>
              <w:rPr/>
            </w:pPr>
            <w:r>
              <w:rPr/>
              <w:t> </w:t>
            </w:r>
          </w:p>
        </w:tc>
      </w:tr>
      <w:tr>
        <w:trPr/>
        <w:tc>
          <w:tcPr>
            <w:tcW w:w="1223" w:type="dxa"/>
            <w:tcBorders/>
            <w:shd w:fill="auto" w:val="clear"/>
          </w:tcPr>
          <w:p>
            <w:pPr>
              <w:pStyle w:val="TableContents"/>
              <w:spacing w:before="0" w:after="283"/>
              <w:jc w:val="left"/>
              <w:rPr/>
            </w:pPr>
            <w:r>
              <w:rPr/>
              <w:t xml:space="preserve">SEC 1344 (03-05) </w:t>
            </w:r>
          </w:p>
        </w:tc>
        <w:tc>
          <w:tcPr>
            <w:tcW w:w="306" w:type="dxa"/>
            <w:tcBorders/>
            <w:shd w:fill="auto" w:val="clear"/>
            <w:vAlign w:val="bottom"/>
          </w:tcPr>
          <w:p>
            <w:pPr>
              <w:pStyle w:val="TableContents"/>
              <w:spacing w:before="0" w:after="283"/>
              <w:rPr/>
            </w:pPr>
            <w:r>
              <w:rPr/>
              <w:t> </w:t>
            </w:r>
          </w:p>
        </w:tc>
        <w:tc>
          <w:tcPr>
            <w:tcW w:w="8676" w:type="dxa"/>
            <w:tcBorders/>
            <w:shd w:fill="auto" w:val="clear"/>
          </w:tcPr>
          <w:p>
            <w:pPr>
              <w:pStyle w:val="TableContents"/>
              <w:spacing w:before="0" w:after="0"/>
              <w:ind w:left="0" w:right="0" w:hanging="0"/>
              <w:rPr>
                <w:b/>
              </w:rPr>
            </w:pPr>
            <w:r>
              <w:rPr>
                <w:b/>
              </w:rPr>
              <w:t>Persons who are to respond to the collection of information contained in this form are not required to respond unless the form displays a currently valid OMB control number.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 IV  OTHER INFORMATION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35"/>
        <w:gridCol w:w="9764"/>
      </w:tblGrid>
      <w:tr>
        <w:trPr/>
        <w:tc>
          <w:tcPr>
            <w:tcW w:w="306" w:type="dxa"/>
            <w:tcBorders/>
            <w:shd w:fill="auto" w:val="clear"/>
          </w:tcPr>
          <w:p>
            <w:pPr>
              <w:pStyle w:val="TableContents"/>
              <w:spacing w:before="0" w:after="283"/>
              <w:jc w:val="left"/>
              <w:rPr/>
            </w:pPr>
            <w:r>
              <w:rPr/>
              <w:t>(1)</w:t>
            </w:r>
          </w:p>
        </w:tc>
        <w:tc>
          <w:tcPr>
            <w:tcW w:w="135" w:type="dxa"/>
            <w:tcBorders/>
            <w:shd w:fill="auto" w:val="clear"/>
          </w:tcPr>
          <w:p>
            <w:pPr>
              <w:pStyle w:val="TableContents"/>
              <w:spacing w:before="0" w:after="283"/>
              <w:rPr/>
            </w:pPr>
            <w:r>
              <w:rPr/>
              <w:t> </w:t>
            </w:r>
          </w:p>
        </w:tc>
        <w:tc>
          <w:tcPr>
            <w:tcW w:w="9764" w:type="dxa"/>
            <w:tcBorders/>
            <w:shd w:fill="auto" w:val="clear"/>
          </w:tcPr>
          <w:p>
            <w:pPr>
              <w:pStyle w:val="TableContents"/>
              <w:spacing w:before="0" w:after="283"/>
              <w:rPr/>
            </w:pPr>
            <w:r>
              <w:rPr/>
              <w:t>Name and telephone number of person to contact in regard to this notification</w:t>
            </w:r>
          </w:p>
        </w:tc>
      </w:tr>
    </w:tbl>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0"/>
              <w:ind w:left="0" w:right="0" w:hanging="0"/>
              <w:jc w:val="center"/>
              <w:rPr/>
            </w:pPr>
            <w:r>
              <w:rPr/>
              <w:t xml:space="preserve">Robert P. Attai, Esq.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(303)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575-7510</w:t>
            </w:r>
          </w:p>
        </w:tc>
      </w:tr>
      <w:tr>
        <w:trPr/>
        <w:tc>
          <w:tcPr>
            <w:tcW w:w="3061"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0"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0"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1" w:type="dxa"/>
            <w:tcBorders/>
            <w:shd w:fill="auto" w:val="clear"/>
          </w:tcPr>
          <w:p>
            <w:pPr>
              <w:pStyle w:val="TableContents"/>
              <w:spacing w:before="0" w:after="283"/>
              <w:jc w:val="center"/>
              <w:rPr/>
            </w:pPr>
            <w:r>
              <w:rPr/>
              <w:t xml:space="preserve">(Name)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(Area Code)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(Telephone Number)</w:t>
            </w:r>
          </w:p>
        </w:tc>
      </w:tr>
    </w:tbl>
    <w:tbl>
      <w:tblPr>
        <w:tblW w:w="5000" w:type="pct"/>
        <w:jc w:val="left"/>
        <w:tblInd w:w="0" w:type="dxa"/>
        <w:tblCellMar>
          <w:top w:w="0" w:type="dxa"/>
          <w:left w:w="0" w:type="dxa"/>
          <w:bottom w:w="0" w:type="dxa"/>
          <w:right w:w="0" w:type="dxa"/>
        </w:tblCellMar>
      </w:tblPr>
      <w:tblGrid>
        <w:gridCol w:w="304"/>
        <w:gridCol w:w="135"/>
        <w:gridCol w:w="9766"/>
      </w:tblGrid>
      <w:tr>
        <w:trPr/>
        <w:tc>
          <w:tcPr>
            <w:tcW w:w="304" w:type="dxa"/>
            <w:tcBorders/>
            <w:shd w:fill="auto" w:val="clear"/>
          </w:tcPr>
          <w:p>
            <w:pPr>
              <w:pStyle w:val="TableContents"/>
              <w:spacing w:before="0" w:after="283"/>
              <w:jc w:val="left"/>
              <w:rPr/>
            </w:pPr>
            <w:r>
              <w:rPr/>
              <w:t>(2)</w:t>
            </w:r>
          </w:p>
        </w:tc>
        <w:tc>
          <w:tcPr>
            <w:tcW w:w="135" w:type="dxa"/>
            <w:tcBorders/>
            <w:shd w:fill="auto" w:val="clear"/>
          </w:tcPr>
          <w:p>
            <w:pPr>
              <w:pStyle w:val="TableContents"/>
              <w:spacing w:before="0" w:after="283"/>
              <w:rPr/>
            </w:pPr>
            <w:r>
              <w:rPr/>
              <w:t> </w:t>
            </w:r>
          </w:p>
        </w:tc>
        <w:tc>
          <w:tcPr>
            <w:tcW w:w="9766" w:type="dxa"/>
            <w:tcBorders/>
            <w:shd w:fill="auto" w:val="clear"/>
          </w:tcPr>
          <w:p>
            <w:pPr>
              <w:pStyle w:val="TableContents"/>
              <w:spacing w:before="0" w:after="283"/>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bl>
    <w:p>
      <w:pPr>
        <w:pStyle w:val="TextBody"/>
        <w:spacing w:before="0" w:after="0"/>
        <w:jc w:val="left"/>
        <w:rPr/>
      </w:pPr>
      <w:r>
        <w:rPr/>
        <w:t>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3"/>
        <w:gridCol w:w="133"/>
        <w:gridCol w:w="9769"/>
      </w:tblGrid>
      <w:tr>
        <w:trPr/>
        <w:tc>
          <w:tcPr>
            <w:tcW w:w="303" w:type="dxa"/>
            <w:tcBorders/>
            <w:shd w:fill="auto" w:val="clear"/>
          </w:tcPr>
          <w:p>
            <w:pPr>
              <w:pStyle w:val="TableContents"/>
              <w:spacing w:before="0" w:after="283"/>
              <w:jc w:val="left"/>
              <w:rPr/>
            </w:pPr>
            <w:r>
              <w:rPr/>
              <w:t>(3)</w:t>
            </w:r>
          </w:p>
        </w:tc>
        <w:tc>
          <w:tcPr>
            <w:tcW w:w="133" w:type="dxa"/>
            <w:tcBorders/>
            <w:shd w:fill="auto" w:val="clear"/>
          </w:tcPr>
          <w:p>
            <w:pPr>
              <w:pStyle w:val="TableContents"/>
              <w:spacing w:before="0" w:after="283"/>
              <w:rPr/>
            </w:pPr>
            <w:r>
              <w:rPr/>
              <w:t> </w:t>
            </w:r>
          </w:p>
        </w:tc>
        <w:tc>
          <w:tcPr>
            <w:tcW w:w="9769" w:type="dxa"/>
            <w:tcBorders/>
            <w:shd w:fill="auto" w:val="clear"/>
          </w:tcPr>
          <w:p>
            <w:pPr>
              <w:pStyle w:val="TableContents"/>
              <w:spacing w:before="0" w:after="283"/>
              <w:rPr/>
            </w:pPr>
            <w:r>
              <w:rPr/>
              <w:t>Is it anticipated that any significant change in results of operations from the corresponding period for the last fiscal year will be reflected by the earnings statements to be included in the subject report or portion thereof? Yes ☐ No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so, attach an explanation of the anticipated change, both narratively and quantitatively, and, if appropriate, state the reasons why a reasonable estimate of the results cannot be made.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GENEMAX CORP </w:t>
      </w:r>
    </w:p>
    <w:p>
      <w:pPr>
        <w:pStyle w:val="TextBody"/>
        <w:spacing w:before="15"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(Name of Registrant as Specified in Charter)</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has caused this notification to be signed on its behalf by the undersigned hereunto duly authorized. </w:t>
      </w:r>
    </w:p>
    <w:tbl>
      <w:tblPr>
        <w:tblW w:w="5000" w:type="pct"/>
        <w:jc w:val="left"/>
        <w:tblInd w:w="0" w:type="dxa"/>
        <w:tblCellMar>
          <w:top w:w="0" w:type="dxa"/>
          <w:left w:w="0" w:type="dxa"/>
          <w:bottom w:w="0" w:type="dxa"/>
          <w:right w:w="0" w:type="dxa"/>
        </w:tblCellMar>
      </w:tblPr>
      <w:tblGrid>
        <w:gridCol w:w="4783"/>
        <w:gridCol w:w="354"/>
        <w:gridCol w:w="629"/>
        <w:gridCol w:w="3176"/>
        <w:gridCol w:w="1263"/>
      </w:tblGrid>
      <w:tr>
        <w:trPr/>
        <w:tc>
          <w:tcPr>
            <w:tcW w:w="4783"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3176"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rPr/>
            </w:pPr>
            <w:r>
              <w:rPr/>
              <w:t> </w:t>
            </w:r>
          </w:p>
        </w:tc>
      </w:tr>
      <w:tr>
        <w:trPr/>
        <w:tc>
          <w:tcPr>
            <w:tcW w:w="4783" w:type="dxa"/>
            <w:tcBorders/>
            <w:shd w:fill="auto" w:val="clear"/>
          </w:tcPr>
          <w:p>
            <w:pPr>
              <w:pStyle w:val="TableContents"/>
              <w:spacing w:before="0" w:after="283"/>
              <w:jc w:val="left"/>
              <w:rPr/>
            </w:pPr>
            <w:r>
              <w:rPr/>
              <w:t> </w:t>
            </w:r>
          </w:p>
        </w:tc>
        <w:tc>
          <w:tcPr>
            <w:tcW w:w="4159" w:type="dxa"/>
            <w:gridSpan w:val="3"/>
            <w:tcBorders/>
            <w:shd w:fill="auto" w:val="clear"/>
            <w:vAlign w:val="center"/>
          </w:tcPr>
          <w:p>
            <w:pPr>
              <w:pStyle w:val="TableContents"/>
              <w:spacing w:before="0" w:after="283"/>
              <w:jc w:val="left"/>
              <w:rPr/>
            </w:pPr>
            <w:r>
              <w:rPr/>
              <w:t> </w:t>
            </w:r>
          </w:p>
        </w:tc>
        <w:tc>
          <w:tcPr>
            <w:tcW w:w="1263" w:type="dxa"/>
            <w:tcBorders/>
            <w:shd w:fill="auto" w:val="clear"/>
            <w:vAlign w:val="center"/>
          </w:tcPr>
          <w:p>
            <w:pPr>
              <w:pStyle w:val="TableContents"/>
              <w:spacing w:before="0" w:after="283"/>
              <w:rPr/>
            </w:pPr>
            <w:r>
              <w:rPr/>
              <w:t> </w:t>
            </w:r>
          </w:p>
        </w:tc>
      </w:tr>
      <w:tr>
        <w:trPr/>
        <w:tc>
          <w:tcPr>
            <w:tcW w:w="4783" w:type="dxa"/>
            <w:tcBorders/>
            <w:shd w:fill="auto" w:val="clear"/>
            <w:vAlign w:val="center"/>
          </w:tcPr>
          <w:p>
            <w:pPr>
              <w:pStyle w:val="TableContents"/>
              <w:spacing w:before="0" w:after="283"/>
              <w:jc w:val="left"/>
              <w:rPr/>
            </w:pPr>
            <w:r>
              <w:rPr/>
              <w:t>Date November 15, 2005 </w:t>
            </w:r>
          </w:p>
        </w:tc>
        <w:tc>
          <w:tcPr>
            <w:tcW w:w="354" w:type="dxa"/>
            <w:tcBorders/>
            <w:shd w:fill="auto" w:val="clear"/>
          </w:tcPr>
          <w:p>
            <w:pPr>
              <w:pStyle w:val="TableContents"/>
              <w:spacing w:before="0" w:after="283"/>
              <w:rPr/>
            </w:pPr>
            <w:r>
              <w:rPr/>
              <w:t>By:  </w:t>
            </w:r>
          </w:p>
        </w:tc>
        <w:tc>
          <w:tcPr>
            <w:tcW w:w="3805" w:type="dxa"/>
            <w:gridSpan w:val="2"/>
            <w:tcBorders>
              <w:bottom w:val="single" w:sz="2" w:space="0" w:color="000000"/>
            </w:tcBorders>
            <w:shd w:fill="auto" w:val="clear"/>
            <w:tcMar>
              <w:bottom w:w="28" w:type="dxa"/>
            </w:tcMar>
            <w:vAlign w:val="center"/>
          </w:tcPr>
          <w:p>
            <w:pPr>
              <w:pStyle w:val="TableContents"/>
              <w:spacing w:before="0" w:after="283"/>
              <w:jc w:val="left"/>
              <w:rPr/>
            </w:pPr>
            <w:r>
              <w:rPr/>
              <w:t>/s/ Wilfred Jefferies  </w:t>
            </w:r>
          </w:p>
        </w:tc>
        <w:tc>
          <w:tcPr>
            <w:tcW w:w="1263" w:type="dxa"/>
            <w:tcBorders/>
            <w:shd w:fill="auto" w:val="clear"/>
            <w:vAlign w:val="center"/>
          </w:tcPr>
          <w:p>
            <w:pPr>
              <w:pStyle w:val="TableContents"/>
              <w:spacing w:before="0" w:after="283"/>
              <w:rPr/>
            </w:pPr>
            <w:r>
              <w:rPr/>
              <w:t> </w:t>
            </w:r>
          </w:p>
        </w:tc>
      </w:tr>
      <w:tr>
        <w:trPr/>
        <w:tc>
          <w:tcPr>
            <w:tcW w:w="4783"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3805" w:type="dxa"/>
            <w:gridSpan w:val="2"/>
            <w:tcBorders/>
            <w:shd w:fill="auto" w:val="clear"/>
            <w:vAlign w:val="center"/>
          </w:tcPr>
          <w:p>
            <w:pPr>
              <w:pStyle w:val="TableContents"/>
              <w:spacing w:before="0" w:after="283"/>
              <w:jc w:val="left"/>
              <w:rPr/>
            </w:pPr>
            <w:r>
              <w:rPr/>
              <w:t>Wilfred Jefferies </w:t>
            </w:r>
          </w:p>
        </w:tc>
        <w:tc>
          <w:tcPr>
            <w:tcW w:w="1263" w:type="dxa"/>
            <w:tcBorders/>
            <w:shd w:fill="auto" w:val="clear"/>
            <w:vAlign w:val="center"/>
          </w:tcPr>
          <w:p>
            <w:pPr>
              <w:pStyle w:val="TableContents"/>
              <w:spacing w:before="0" w:after="283"/>
              <w:rPr/>
            </w:pPr>
            <w:r>
              <w:rPr/>
              <w:t> </w:t>
            </w:r>
          </w:p>
        </w:tc>
      </w:tr>
      <w:tr>
        <w:trPr/>
        <w:tc>
          <w:tcPr>
            <w:tcW w:w="4783"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3805" w:type="dxa"/>
            <w:gridSpan w:val="2"/>
            <w:tcBorders/>
            <w:shd w:fill="auto" w:val="clear"/>
            <w:vAlign w:val="center"/>
          </w:tcPr>
          <w:p>
            <w:pPr>
              <w:pStyle w:val="TableContents"/>
              <w:spacing w:before="0" w:after="283"/>
              <w:jc w:val="left"/>
              <w:rPr/>
            </w:pPr>
            <w:r>
              <w:rPr/>
              <w:t>Chairman </w:t>
            </w:r>
          </w:p>
        </w:tc>
        <w:tc>
          <w:tcPr>
            <w:tcW w:w="12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 </w:t>
      </w:r>
    </w:p>
    <w:p>
      <w:pPr>
        <w:pStyle w:val="TextBody"/>
        <w:spacing w:before="360" w:after="283"/>
        <w:jc w:val="center"/>
        <w:rPr>
          <w:rFonts w:ascii="Times New Roman;Times;serif" w:hAnsi="Times New Roman;Times;serif"/>
          <w:sz w:val="17"/>
          <w:bdr w:val="single" w:sz="2" w:space="8" w:color="000000"/>
        </w:rPr>
      </w:pPr>
      <w:r>
        <w:rPr>
          <w:rFonts w:ascii="Times New Roman;Times;serif" w:hAnsi="Times New Roman;Times;serif"/>
          <w:b/>
          <w:sz w:val="17"/>
          <w:bdr w:val="single" w:sz="2" w:space="8" w:color="000000"/>
        </w:rPr>
        <w:t>ATTENTION</w:t>
        <w:br/>
        <w:t>Intentional misstatements or omissions of fact constitute Federal Criminal</w:t>
        <w:br/>
        <w:t>Violations (See 18 U.S.C. 1001).</w:t>
      </w:r>
      <w:r>
        <w:rPr>
          <w:rFonts w:ascii="Times New Roman;Times;serif" w:hAnsi="Times New Roman;Times;serif"/>
          <w:sz w:val="17"/>
          <w:bdr w:val="single" w:sz="2" w:space="8" w:color="00000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GENERAL INSTRUCTIONS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7"/>
        <w:gridCol w:w="127"/>
        <w:gridCol w:w="9871"/>
      </w:tblGrid>
      <w:tr>
        <w:trPr/>
        <w:tc>
          <w:tcPr>
            <w:tcW w:w="207" w:type="dxa"/>
            <w:tcBorders/>
            <w:shd w:fill="auto" w:val="clear"/>
          </w:tcPr>
          <w:p>
            <w:pPr>
              <w:pStyle w:val="TableContents"/>
              <w:spacing w:before="0" w:after="283"/>
              <w:jc w:val="left"/>
              <w:rPr/>
            </w:pPr>
            <w:r>
              <w:rPr/>
              <w:t>1.</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This form is required by Rule 12b-25 (17 CFR 240.12b-25) of the General Rules and Regulations under the Securities Exchange Act of 1934.</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2.</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3.</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A manually signed copy of the form and amendments thereto shall be filed with each national securities exchange on which any class of securities of the registrant is registered.</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4.</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Amendments to the notifications must also be filed on Form 12b-25 but need not restate information that has been correctly furnished. The form shall be clearly identified as an amended notification.</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pPr>
            <w:r>
              <w:rPr/>
              <w:t>5.</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i/>
              </w:rPr>
              <w:t xml:space="preserve">Electronic Filers: </w:t>
            </w:r>
            <w:r>
              <w:rPr/>
              <w:t>This form shall not be used by electronic filers unable to timely file a report solely due to electronic difficulties. Filers unable to submit reports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1019</Words>
  <CharactersWithSpaces>6309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nt10vq</dc:title>
</cp:coreProperties>
</file>