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27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2783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Viswanathan Ravi</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10/17/2018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Marker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MRKR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5"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10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1954 GREENSPRING DRIVE</w:t>
            </w:r>
          </w:p>
        </w:tc>
      </w:tr>
      <w:tr>
        <w:trPr>
          <w:trHeight w:val="270"/>
        </w:trPr>
        <w:tc>
          <w:tcPr>
            <w:tcW w:w="2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SUITE 600</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TIMONIUM</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MD</w:t>
            </w:r>
          </w:p>
        </w:tc>
        <w:tc>
          <w:tcPr>
            <w:tcW w:w="14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21093</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5"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2"/>
          <w:szCs w:val="12"/>
          <w:color w:val="auto"/>
        </w:rPr>
        <w:t>10% Owner</w:t>
      </w:r>
    </w:p>
    <w:p>
      <w:pPr>
        <w:spacing w:after="0" w:line="61"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7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4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jc w:val="right"/>
              <w:ind w:right="444"/>
              <w:spacing w:after="0"/>
              <w:rPr>
                <w:sz w:val="20"/>
                <w:szCs w:val="20"/>
                <w:color w:val="auto"/>
              </w:rPr>
            </w:pPr>
            <w:r>
              <w:rPr>
                <w:rFonts w:ascii="Times New Roman" w:cs="Times New Roman" w:eastAsia="Times New Roman" w:hAnsi="Times New Roman"/>
                <w:sz w:val="18"/>
                <w:szCs w:val="18"/>
                <w:color w:val="0000FF"/>
              </w:rPr>
              <w:t>5,000,000</w:t>
            </w:r>
          </w:p>
        </w:tc>
        <w:tc>
          <w:tcPr>
            <w:tcW w:w="1040" w:type="dxa"/>
            <w:vAlign w:val="bottom"/>
            <w:tcBorders>
              <w:bottom w:val="single" w:sz="8" w:color="2C2C2C"/>
            </w:tcBorders>
          </w:tcPr>
          <w:p>
            <w:pPr>
              <w:ind w:left="800"/>
              <w:spacing w:after="0"/>
              <w:rPr>
                <w:sz w:val="20"/>
                <w:szCs w:val="20"/>
                <w:color w:val="auto"/>
              </w:rPr>
            </w:pPr>
            <w:r>
              <w:rPr>
                <w:rFonts w:ascii="Times New Roman" w:cs="Times New Roman" w:eastAsia="Times New Roman" w:hAnsi="Times New Roman"/>
                <w:sz w:val="18"/>
                <w:szCs w:val="18"/>
                <w:color w:val="0000FF"/>
              </w:rPr>
              <w:t>I</w:t>
            </w:r>
          </w:p>
        </w:tc>
        <w:tc>
          <w:tcPr>
            <w:tcW w:w="1760" w:type="dxa"/>
            <w:vAlign w:val="bottom"/>
            <w:tcBorders>
              <w:bottom w:val="single" w:sz="8" w:color="2C2C2C"/>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560" w:type="dxa"/>
            <w:vAlign w:val="bottom"/>
            <w:tcBorders>
              <w:top w:val="single" w:sz="8" w:color="2C2C2C"/>
            </w:tcBorders>
            <w:gridSpan w:val="4"/>
          </w:tcPr>
          <w:p>
            <w:pPr>
              <w:ind w:left="1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64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2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0000FF"/>
                <w:w w:val="97"/>
              </w:rPr>
              <w:t>Warrant to Purchase Common Stock (right to</w:t>
            </w:r>
          </w:p>
        </w:tc>
        <w:tc>
          <w:tcPr>
            <w:tcW w:w="108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color w:val="0000FF"/>
              </w:rPr>
              <w:t>10/17/2018</w:t>
            </w: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0000FF"/>
              </w:rPr>
              <w:t>10/17/2023</w:t>
            </w:r>
          </w:p>
        </w:tc>
        <w:tc>
          <w:tcPr>
            <w:tcW w:w="184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104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0000FF"/>
              </w:rPr>
              <w:t>3,750,000</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5</w:t>
            </w:r>
          </w:p>
        </w:tc>
        <w:tc>
          <w:tcPr>
            <w:tcW w:w="8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0000FF"/>
              </w:rPr>
              <w:t>I</w:t>
            </w:r>
          </w:p>
        </w:tc>
        <w:tc>
          <w:tcPr>
            <w:tcW w:w="1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rPr>
              <w:t>See Note 1</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buy)</w:t>
            </w:r>
          </w:p>
        </w:tc>
        <w:tc>
          <w:tcPr>
            <w:tcW w:w="10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4"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is a manager of NEA 16 GP, LLC, ("NEA 16 GP")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10/18/2018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79386" TargetMode="External"/><Relationship Id="rId12"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2020-01-11T19:24:31Z</dcterms:created>
  <dcterms:modified xsi:type="dcterms:W3CDTF">2020-01-11T19:24:31Z</dcterms:modified>
</cp:coreProperties>
</file>