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August 10, 2016</w:t>
      </w:r>
    </w:p>
    <w:p>
      <w:pPr>
        <w:spacing w:after="0" w:line="14" w:lineRule="exact"/>
        <w:rPr>
          <w:sz w:val="24"/>
          <w:szCs w:val="24"/>
          <w:color w:val="auto"/>
        </w:rPr>
      </w:pPr>
    </w:p>
    <w:p>
      <w:pPr>
        <w:ind w:left="5020"/>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Nevada</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000-27239</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45-4497941</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50 N. Laura Street, Suite 2500</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Jacksonville, FL</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32202</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(904) 516-5436</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41"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Transaction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August 10, 2016, TapImmune Inc. (the “Company”) completed a private placement of units with certain accredited investors under Rule 506 of Regulation D (the “Offering”). The units (“Units”) consisted of (i) one share of the Company’s common stock, par value $0.001 per share and (ii) one five-year warrant to purchase one share of Company common stock for $0.50 (the “PIPE Warrants”). The Company issued and sold an aggregate of 6.25 million Units at a purchase price per Unit of $0.40 for an aggregate of $2.5 million, pursuant to Subscription Agreements, in which the Company and investors made customary representations to each other.</w:t>
      </w:r>
    </w:p>
    <w:p>
      <w:pPr>
        <w:spacing w:after="0" w:line="18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Pursuant to a Registration Rights Agreement entered into in connection with the Offering, promptly, but no later than 120 calendar days after the closing of the Offering, the Company is required to file a registration statement (the “Registration Statement”) with the Securities and Exchange Commission (the “SEC”) registering for resale (a) the common stock issued in the Offering; (b) the shares of common stock issuable upon the exercise of the PIPE Warrants; and (c) the shares of common stock issuable upon the exercise of the warrants issued to Katalyst Securities LLC, which acted as placement agent in the Offering (as described below). The Company is required to use its commercially reasonable efforts to ensure that the Registration Statement is declared effective within 90 calendar days after filing with the SEC.</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foregoing is a summary of the terms of the PIPE Warrant, Subscription Agreement and the Registration Rights Agreement and does not purport to be complete. The foregoing summary is qualified in its entirety by reference to the full text of the PIPE Warrant, Subscription Agreement and the Registration Rights Agreement, copies of which are filed herewith as Exhibits 4.1, 10.1 and 10.2 and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Simultaneously with the closing of the Offering, holders of an aggregate of 7 million outstanding Series C Warrants and 5 million Series C-1 Warrants, each providing for the purchase of one share of Company common stock for $0.50 per share, entered into binding commitments to exercise their warrants for an aggregate exercise price of $6,000,000. Closing of the exercise of the warrants is conditioned on the closing of the Warrant Restructuring transaction described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Restructuring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Simultaneous with the closing of the Offering, the Company and holders of an aggregate of 37,159,975 outstanding Series A Warrants, Series A-1 Warrants, Series C Warrants, Series C-1 Warrants, Series D Warrants, Series D-1 Warrants, Series E Warrants and Series E-1 Warrants (the “Outstanding Series Warrants”) entered into Warrant Amendment Agreements, dated August 10, 2016 (the “Amendment Agreement”), in which they agreed to amend the terms of the Outstanding Series Warrants to remove provisions from the Outstanding Series Warrants that had previously caused them to be classified as a derivative liability as opposed to equity on the</w:t>
      </w:r>
    </w:p>
    <w:p>
      <w:pPr>
        <w:sectPr>
          <w:pgSz w:w="11900" w:h="16838" w:orient="portrait"/>
          <w:cols w:equalWidth="0" w:num="1">
            <w:col w:w="11400"/>
          </w:cols>
          <w:pgMar w:left="240" w:top="270" w:right="259" w:bottom="1440" w:gutter="0" w:footer="0" w:header="0"/>
        </w:sectPr>
      </w:pPr>
    </w:p>
    <w:bookmarkStart w:id="2" w:name="page3"/>
    <w:bookmarkEnd w:id="2"/>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balance sheets. In consideration for such amendment and the exercise of the Series C Warrants and Series C-1 Warrants, the Company issued an aggregate of 9 million additional shares of common stock to such warrant holders and new five-year warrants to purchase 12 million shares of Company common stock at an exercise price of $0.60 per share (the “Series F Warrants”).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incurred approximately $925,000 in expenses relating to the Offering, the exercise of the outstanding Series C Warrant and Series C-1 Warrants and the amendment of the Outstanding Series Warrants, including agency fees described below, resulting in net proceeds to the Company of approximately $7.6 million. The Company intends to use the net proceeds for general corporate purposes, including clinical trial expenses and research and development expenses.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foregoing is a summary of the terms of the amended Outstanding Series Warrants, the Series F Warrant and the Amendment Agreement and does not purport to be complete. The foregoing summary is qualified in its entirety by reference to the full text of the forms of the Outstanding Series Warrants, the Series F Warrant and the Amendment Agreement, copies of which are filed herewith as Exhibits 4.2, 4.3, 4.4, 4.5, 4.6, 4.7, 4.8, 4.9 and 10.3, respectively, and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Agreement; Agent Warrants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an Agency Agreement, dated July 21, 2016, as amended by the First Amendment, dated July 29, 2016, by and between the Company and Katalyst Securities LLC (“Katalyst”) and GP Nurmenkari Inc. (“GPN”) (the “Agency Agreement”), Katalyst and GPN agreed to act as the Company’s agents in connection with the Offering and GPN agreed to act as the Company’s agent in connection with the solicitation of the amendment of the Outstanding Series Warrants and the exercise of the outstanding Series C Warrants.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Agency Agreement, the Company agreed to pay to Katalyst: (i) an aggregate cash fee for placement agent and financial advisory services equal to 10% of the gross proceeds of the Offering from investors first contacted by Katalyst in connection with the Offering; (ii) warrants to purchase a number of shares of common stock of the Company equal to 10% of the number of shares sold in the Offering to investors first contacted by Katalyst in connection with the Offering (the “Katalyst Warrants”); (iii) legal fees and expenses in the aggregate amount of $50,000 plus (iv) its reasonable out-of-pocket expenses up to an aggregate of $10,000 in expenses. The Katalyst Warrants have the same terms as the PIPE Warrants issued in the Offering, except that the exercise price of the Katalyst Warrants is $0.40.</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Pursuant to the Agency Agreement, the Company will pay a cash fee to GPN equal to 7% of (i) the gross proceeds of the Offering from investors first contacted by GPN in connection with the Offering and (ii) the proceeds from the exercise of the Series C Warrants. GPN will not receive any warrants or be paid any fee in connection with the exercise of the Series C-1 Warrants. The Company will also reimburse GPN for its legal fees and expenses up to an aggregate amount of $10,000, plus its reasonable out-of-pocket expenses up to an aggregate of $500 in expenses.</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descriptions of the Agency Agreement and the Katalyst Warrant are only summaries of their material terms and do not purport to be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Agency Agreement is attached hereto as Exhibit 10.4 and is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information provided in Item 1.01 is incorporated by reference into this Item 3.02. The securities were sold in reliance upon exemption from registration provided by Section 4(a)(2) of the Securities Act of 1933, as amended (“Securities Act”) and Rule 506 promulgated thereunder. In determining that the issuance of the securities qualified for an exemption under Section 4(a)(2) and Rule 506, the Company relied on the following facts: (i) all of the purchasers in the Offering were accredited investors, as defined in Rule 501 of Regulation D promulgated under the Securities Act, (ii) the Company did not use any form of general solicitation or advertising to offer the Units; and (iii) the investment intent of the purchaser.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the Board of Directors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Warrant Amendment Agreement, the Company has also agreed that, as promptly as practicable, the Board of Directors of the Company shall take all necessary actions to appoint Mr. Joshua Silverman as a member of the Board of Directors, provided that pursuant to the Company’s background check, none of the events enumerated in Item 401(f) of Regulation S-K of the Securities Act of 1933, as amended, are applicable to Mr. Silverman. Mr. Silverman is the Co-founder of Iroquois Capital Management, LLC.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for Nasdaq Listing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submitted an application with the Nasdaq Stock Market to obtain a listing of its common stock on the Nasdaq Capital Market. In connection with the Warrant Restructuring, the Company agreed in the Amendment Agreement that no later than the sixth trading day following the date of the Amendment Agreement, the Company (A) will have its Board of Directors adopt the appropriate resolutions to effect a reverse stock split of the shares of common stock of the Company, in such ratio as shall be determined by the Board of Directors of the Company (the “Reverse Stock Split”), so that the bid price of the common stock of the Company will comply with the Nasdaq Capital Market’s minimum bid price requirement for initial listing at the effective time of the Reverse Stock Split, and (B) will submit to the Financial Industry Regulatory Authority, Inc. an application to effect the Reverse Stock Split no later than 40 days following the date of the Amendment Agreement. There can be no assurance that the Company’s application for listing will be approved.</w:t>
      </w:r>
    </w:p>
    <w:p>
      <w:pPr>
        <w:sectPr>
          <w:pgSz w:w="11900" w:h="16838" w:orient="portrait"/>
          <w:cols w:equalWidth="0" w:num="1">
            <w:col w:w="11340"/>
          </w:cols>
          <w:pgMar w:left="240" w:top="274"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332"/>
              <w:spacing w:after="0"/>
              <w:rPr>
                <w:sz w:val="20"/>
                <w:szCs w:val="20"/>
                <w:color w:val="auto"/>
              </w:rPr>
            </w:pPr>
            <w:r>
              <w:rPr>
                <w:rFonts w:ascii="Arial" w:cs="Arial" w:eastAsia="Arial" w:hAnsi="Arial"/>
                <w:sz w:val="14"/>
                <w:szCs w:val="14"/>
                <w:b w:val="1"/>
                <w:bCs w:val="1"/>
                <w:color w:val="auto"/>
                <w:w w:val="98"/>
              </w:rPr>
              <w:t>Exhibit</w:t>
            </w:r>
          </w:p>
        </w:tc>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Exhibits</w:t>
            </w:r>
          </w:p>
        </w:tc>
        <w:tc>
          <w:tcPr>
            <w:tcW w:w="15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center"/>
              <w:ind w:right="352"/>
              <w:spacing w:after="0" w:line="158" w:lineRule="exact"/>
              <w:rPr>
                <w:sz w:val="20"/>
                <w:szCs w:val="20"/>
                <w:color w:val="auto"/>
              </w:rPr>
            </w:pPr>
            <w:r>
              <w:rPr>
                <w:rFonts w:ascii="Arial" w:cs="Arial" w:eastAsia="Arial" w:hAnsi="Arial"/>
                <w:sz w:val="14"/>
                <w:szCs w:val="14"/>
                <w:b w:val="1"/>
                <w:bCs w:val="1"/>
                <w:color w:val="auto"/>
                <w:w w:val="98"/>
              </w:rPr>
              <w:t>Number</w:t>
            </w:r>
          </w:p>
        </w:tc>
        <w:tc>
          <w:tcPr>
            <w:tcW w:w="1420" w:type="dxa"/>
            <w:vAlign w:val="bottom"/>
            <w:tcBorders>
              <w:bottom w:val="single" w:sz="8" w:color="auto"/>
            </w:tcBorders>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4.1</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PIPE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4.2</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Amended Series A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4.3</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Amended Series C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4.4</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Amended Series D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4.5</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Amended Series E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4.6</w:t>
            </w:r>
          </w:p>
        </w:tc>
        <w:tc>
          <w:tcPr>
            <w:tcW w:w="2980" w:type="dxa"/>
            <w:vAlign w:val="bottom"/>
            <w:gridSpan w:val="2"/>
          </w:tcPr>
          <w:p>
            <w:pPr>
              <w:spacing w:after="0"/>
              <w:rPr>
                <w:sz w:val="20"/>
                <w:szCs w:val="20"/>
                <w:color w:val="auto"/>
              </w:rPr>
            </w:pPr>
            <w:r>
              <w:rPr>
                <w:rFonts w:ascii="Arial" w:cs="Arial" w:eastAsia="Arial" w:hAnsi="Arial"/>
                <w:sz w:val="18"/>
                <w:szCs w:val="18"/>
                <w:color w:val="auto"/>
                <w:w w:val="97"/>
              </w:rPr>
              <w:t>Form of Amended Series A-1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4.7</w:t>
            </w:r>
          </w:p>
        </w:tc>
        <w:tc>
          <w:tcPr>
            <w:tcW w:w="2980" w:type="dxa"/>
            <w:vAlign w:val="bottom"/>
            <w:gridSpan w:val="2"/>
          </w:tcPr>
          <w:p>
            <w:pPr>
              <w:spacing w:after="0"/>
              <w:rPr>
                <w:sz w:val="20"/>
                <w:szCs w:val="20"/>
                <w:color w:val="auto"/>
              </w:rPr>
            </w:pPr>
            <w:r>
              <w:rPr>
                <w:rFonts w:ascii="Arial" w:cs="Arial" w:eastAsia="Arial" w:hAnsi="Arial"/>
                <w:sz w:val="18"/>
                <w:szCs w:val="18"/>
                <w:color w:val="auto"/>
                <w:w w:val="97"/>
              </w:rPr>
              <w:t>Form of Amended Series D-1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4.8</w:t>
            </w:r>
          </w:p>
        </w:tc>
        <w:tc>
          <w:tcPr>
            <w:tcW w:w="2980" w:type="dxa"/>
            <w:vAlign w:val="bottom"/>
            <w:gridSpan w:val="2"/>
          </w:tcPr>
          <w:p>
            <w:pPr>
              <w:spacing w:after="0"/>
              <w:rPr>
                <w:sz w:val="20"/>
                <w:szCs w:val="20"/>
                <w:color w:val="auto"/>
              </w:rPr>
            </w:pPr>
            <w:r>
              <w:rPr>
                <w:rFonts w:ascii="Arial" w:cs="Arial" w:eastAsia="Arial" w:hAnsi="Arial"/>
                <w:sz w:val="18"/>
                <w:szCs w:val="18"/>
                <w:color w:val="auto"/>
                <w:w w:val="97"/>
              </w:rPr>
              <w:t>Form of Amended Series E-1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4.9</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Series F Warrant</w:t>
            </w:r>
          </w:p>
        </w:tc>
        <w:tc>
          <w:tcPr>
            <w:tcW w:w="0" w:type="dxa"/>
            <w:vAlign w:val="bottom"/>
          </w:tcPr>
          <w:p>
            <w:pPr>
              <w:spacing w:after="0"/>
              <w:rPr>
                <w:sz w:val="1"/>
                <w:szCs w:val="1"/>
                <w:color w:val="auto"/>
              </w:rPr>
            </w:pPr>
          </w:p>
        </w:tc>
      </w:tr>
      <w:tr>
        <w:trPr>
          <w:trHeight w:val="324"/>
        </w:trPr>
        <w:tc>
          <w:tcPr>
            <w:tcW w:w="960" w:type="dxa"/>
            <w:vAlign w:val="bottom"/>
          </w:tcPr>
          <w:p>
            <w:pPr>
              <w:jc w:val="center"/>
              <w:ind w:right="352"/>
              <w:spacing w:after="0"/>
              <w:rPr>
                <w:sz w:val="20"/>
                <w:szCs w:val="20"/>
                <w:color w:val="auto"/>
              </w:rPr>
            </w:pPr>
            <w:r>
              <w:rPr>
                <w:rFonts w:ascii="Arial" w:cs="Arial" w:eastAsia="Arial" w:hAnsi="Arial"/>
                <w:sz w:val="18"/>
                <w:szCs w:val="18"/>
                <w:color w:val="auto"/>
                <w:w w:val="91"/>
              </w:rPr>
              <w:t>4.10</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Series F-1 Warrant</w:t>
            </w:r>
          </w:p>
        </w:tc>
        <w:tc>
          <w:tcPr>
            <w:tcW w:w="0" w:type="dxa"/>
            <w:vAlign w:val="bottom"/>
          </w:tcPr>
          <w:p>
            <w:pPr>
              <w:spacing w:after="0"/>
              <w:rPr>
                <w:sz w:val="1"/>
                <w:szCs w:val="1"/>
                <w:color w:val="auto"/>
              </w:rPr>
            </w:pPr>
          </w:p>
        </w:tc>
      </w:tr>
      <w:tr>
        <w:trPr>
          <w:trHeight w:val="324"/>
        </w:trPr>
        <w:tc>
          <w:tcPr>
            <w:tcW w:w="960" w:type="dxa"/>
            <w:vAlign w:val="bottom"/>
          </w:tcPr>
          <w:p>
            <w:pPr>
              <w:jc w:val="center"/>
              <w:ind w:right="372"/>
              <w:spacing w:after="0"/>
              <w:rPr>
                <w:sz w:val="20"/>
                <w:szCs w:val="20"/>
                <w:color w:val="auto"/>
              </w:rPr>
            </w:pPr>
            <w:r>
              <w:rPr>
                <w:rFonts w:ascii="Arial" w:cs="Arial" w:eastAsia="Arial" w:hAnsi="Arial"/>
                <w:sz w:val="18"/>
                <w:szCs w:val="18"/>
                <w:color w:val="auto"/>
                <w:w w:val="85"/>
              </w:rPr>
              <w:t>4.11</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Katalyst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10.1</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Subscription Agreement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10.2</w:t>
            </w:r>
          </w:p>
        </w:tc>
        <w:tc>
          <w:tcPr>
            <w:tcW w:w="2980" w:type="dxa"/>
            <w:vAlign w:val="bottom"/>
            <w:gridSpan w:val="2"/>
          </w:tcPr>
          <w:p>
            <w:pPr>
              <w:spacing w:after="0"/>
              <w:rPr>
                <w:sz w:val="20"/>
                <w:szCs w:val="20"/>
                <w:color w:val="auto"/>
              </w:rPr>
            </w:pPr>
            <w:r>
              <w:rPr>
                <w:rFonts w:ascii="Arial" w:cs="Arial" w:eastAsia="Arial" w:hAnsi="Arial"/>
                <w:sz w:val="18"/>
                <w:szCs w:val="18"/>
                <w:color w:val="auto"/>
              </w:rPr>
              <w:t>Registration Rights Agreement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10.3</w:t>
            </w:r>
          </w:p>
        </w:tc>
        <w:tc>
          <w:tcPr>
            <w:tcW w:w="2980" w:type="dxa"/>
            <w:vAlign w:val="bottom"/>
            <w:gridSpan w:val="2"/>
          </w:tcPr>
          <w:p>
            <w:pPr>
              <w:spacing w:after="0"/>
              <w:rPr>
                <w:sz w:val="20"/>
                <w:szCs w:val="20"/>
                <w:color w:val="auto"/>
              </w:rPr>
            </w:pPr>
            <w:r>
              <w:rPr>
                <w:rFonts w:ascii="Arial" w:cs="Arial" w:eastAsia="Arial" w:hAnsi="Arial"/>
                <w:sz w:val="18"/>
                <w:szCs w:val="18"/>
                <w:color w:val="auto"/>
                <w:w w:val="90"/>
              </w:rPr>
              <w:t>Form of Warrant Amendment Agreement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10.4</w:t>
            </w:r>
          </w:p>
        </w:tc>
        <w:tc>
          <w:tcPr>
            <w:tcW w:w="2980" w:type="dxa"/>
            <w:vAlign w:val="bottom"/>
            <w:gridSpan w:val="2"/>
          </w:tcPr>
          <w:p>
            <w:pPr>
              <w:spacing w:after="0"/>
              <w:rPr>
                <w:sz w:val="20"/>
                <w:szCs w:val="20"/>
                <w:color w:val="auto"/>
              </w:rPr>
            </w:pPr>
            <w:r>
              <w:rPr>
                <w:rFonts w:ascii="Arial" w:cs="Arial" w:eastAsia="Arial" w:hAnsi="Arial"/>
                <w:sz w:val="18"/>
                <w:szCs w:val="18"/>
                <w:color w:val="auto"/>
              </w:rPr>
              <w:t>Agency Agreement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99.1</w:t>
            </w:r>
          </w:p>
        </w:tc>
        <w:tc>
          <w:tcPr>
            <w:tcW w:w="2980" w:type="dxa"/>
            <w:vAlign w:val="bottom"/>
            <w:gridSpan w:val="2"/>
          </w:tcPr>
          <w:p>
            <w:pPr>
              <w:spacing w:after="0"/>
              <w:rPr>
                <w:sz w:val="20"/>
                <w:szCs w:val="20"/>
                <w:color w:val="auto"/>
              </w:rPr>
            </w:pPr>
            <w:r>
              <w:rPr>
                <w:rFonts w:ascii="Arial" w:cs="Arial" w:eastAsia="Arial" w:hAnsi="Arial"/>
                <w:sz w:val="18"/>
                <w:szCs w:val="18"/>
                <w:color w:val="auto"/>
                <w:w w:val="97"/>
              </w:rPr>
              <w:t>Press Release dated August 11, 2016</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4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b w:val="1"/>
                <w:bCs w:val="1"/>
                <w:color w:val="auto"/>
              </w:rPr>
              <w:t>Date: August 11, 2016</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700" w:type="dxa"/>
            <w:vAlign w:val="bottom"/>
          </w:tcPr>
          <w:p>
            <w:pPr>
              <w:spacing w:after="0"/>
              <w:rPr>
                <w:sz w:val="18"/>
                <w:szCs w:val="18"/>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70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WARRANT</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w w:val="99"/>
              </w:rPr>
              <w:t>WARRANT NO. [</w:t>
            </w:r>
          </w:p>
        </w:tc>
        <w:tc>
          <w:tcPr>
            <w:tcW w:w="11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80" w:type="dxa"/>
            <w:vAlign w:val="bottom"/>
          </w:tcPr>
          <w:p>
            <w:pPr>
              <w:ind w:left="1800"/>
              <w:spacing w:after="0"/>
              <w:rPr>
                <w:sz w:val="20"/>
                <w:szCs w:val="20"/>
                <w:color w:val="auto"/>
              </w:rPr>
            </w:pPr>
            <w:r>
              <w:rPr>
                <w:rFonts w:ascii="Arial" w:cs="Arial" w:eastAsia="Arial" w:hAnsi="Arial"/>
                <w:sz w:val="18"/>
                <w:szCs w:val="18"/>
                <w:color w:val="auto"/>
              </w:rPr>
              <w:t>NUMBER OF SHARES: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DATE OF ISSUANCE: [</w:t>
            </w:r>
          </w:p>
        </w:tc>
        <w:tc>
          <w:tcPr>
            <w:tcW w:w="3200" w:type="dxa"/>
            <w:vAlign w:val="bottom"/>
          </w:tcPr>
          <w:p>
            <w:pPr>
              <w:jc w:val="right"/>
              <w:ind w:right="28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(subject to adjustment hereunder)</w:t>
            </w:r>
          </w:p>
        </w:tc>
      </w:t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EXPIRATION DATE: [</w:t>
            </w:r>
          </w:p>
        </w:tc>
        <w:tc>
          <w:tcPr>
            <w:tcW w:w="3200" w:type="dxa"/>
            <w:vAlign w:val="bottom"/>
          </w:tcPr>
          <w:p>
            <w:pPr>
              <w:jc w:val="right"/>
              <w:ind w:right="289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34"/>
        </w:trPr>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gridSpan w:val="3"/>
          </w:tcPr>
          <w:p>
            <w:pPr>
              <w:jc w:val="center"/>
              <w:ind w:right="2250"/>
              <w:spacing w:after="0"/>
              <w:rPr>
                <w:sz w:val="20"/>
                <w:szCs w:val="20"/>
                <w:color w:val="auto"/>
              </w:rPr>
            </w:pPr>
            <w:r>
              <w:rPr>
                <w:rFonts w:ascii="Arial" w:cs="Arial" w:eastAsia="Arial" w:hAnsi="Arial"/>
                <w:sz w:val="18"/>
                <w:szCs w:val="18"/>
                <w:color w:val="auto"/>
                <w:w w:val="95"/>
              </w:rPr>
              <w:t>WARRANT TO PURCHASE SHARES</w:t>
            </w:r>
          </w:p>
        </w:tc>
        <w:tc>
          <w:tcPr>
            <w:tcW w:w="1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40" w:type="dxa"/>
            <w:vAlign w:val="bottom"/>
            <w:gridSpan w:val="2"/>
          </w:tcPr>
          <w:p>
            <w:pPr>
              <w:jc w:val="center"/>
              <w:ind w:left="1950"/>
              <w:spacing w:after="0"/>
              <w:rPr>
                <w:sz w:val="20"/>
                <w:szCs w:val="20"/>
                <w:color w:val="auto"/>
              </w:rPr>
            </w:pPr>
            <w:r>
              <w:rPr>
                <w:rFonts w:ascii="Arial" w:cs="Arial" w:eastAsia="Arial" w:hAnsi="Arial"/>
                <w:sz w:val="18"/>
                <w:szCs w:val="18"/>
                <w:color w:val="auto"/>
                <w:w w:val="95"/>
              </w:rPr>
              <w:t>OF COMMON STOCK OF</w:t>
            </w:r>
          </w:p>
        </w:tc>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gridSpan w:val="2"/>
          </w:tcPr>
          <w:p>
            <w:pPr>
              <w:jc w:val="center"/>
              <w:ind w:left="1970"/>
              <w:spacing w:after="0"/>
              <w:rPr>
                <w:sz w:val="20"/>
                <w:szCs w:val="20"/>
                <w:color w:val="auto"/>
              </w:rPr>
            </w:pPr>
            <w:r>
              <w:rPr>
                <w:rFonts w:ascii="Arial" w:cs="Arial" w:eastAsia="Arial" w:hAnsi="Arial"/>
                <w:sz w:val="18"/>
                <w:szCs w:val="18"/>
                <w:b w:val="1"/>
                <w:bCs w:val="1"/>
                <w:color w:val="auto"/>
              </w:rPr>
              <w:t>TAPIMMUNE INC.</w:t>
            </w: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2520" w:type="dxa"/>
            <w:vAlign w:val="bottom"/>
            <w:gridSpan w:val="3"/>
          </w:tcPr>
          <w:p>
            <w:pPr>
              <w:ind w:left="460"/>
              <w:spacing w:after="0"/>
              <w:rPr>
                <w:sz w:val="20"/>
                <w:szCs w:val="20"/>
                <w:color w:val="auto"/>
              </w:rPr>
            </w:pPr>
            <w:r>
              <w:rPr>
                <w:rFonts w:ascii="Arial" w:cs="Arial" w:eastAsia="Arial" w:hAnsi="Arial"/>
                <w:sz w:val="18"/>
                <w:szCs w:val="18"/>
                <w:color w:val="auto"/>
                <w:w w:val="98"/>
              </w:rPr>
              <w:t>This Warrant is issued to [</w:t>
            </w:r>
          </w:p>
        </w:tc>
        <w:tc>
          <w:tcPr>
            <w:tcW w:w="8720" w:type="dxa"/>
            <w:vAlign w:val="bottom"/>
            <w:gridSpan w:val="3"/>
          </w:tcPr>
          <w:p>
            <w:pPr>
              <w:ind w:left="420"/>
              <w:spacing w:after="0"/>
              <w:rPr>
                <w:sz w:val="20"/>
                <w:szCs w:val="20"/>
                <w:color w:val="auto"/>
              </w:rPr>
            </w:pPr>
            <w:r>
              <w:rPr>
                <w:rFonts w:ascii="Arial" w:cs="Arial" w:eastAsia="Arial" w:hAnsi="Arial"/>
                <w:sz w:val="18"/>
                <w:szCs w:val="18"/>
                <w:color w:val="auto"/>
              </w:rPr>
              <w:t>], or its registered assigns (including any successors or assigns, the “</w:t>
            </w:r>
            <w:r>
              <w:rPr>
                <w:rFonts w:ascii="Arial" w:cs="Arial" w:eastAsia="Arial" w:hAnsi="Arial"/>
                <w:sz w:val="18"/>
                <w:szCs w:val="18"/>
                <w:b w:val="1"/>
                <w:bCs w:val="1"/>
                <w:color w:val="auto"/>
              </w:rPr>
              <w:t>Warrantholder</w:t>
            </w:r>
            <w:r>
              <w:rPr>
                <w:rFonts w:ascii="Arial" w:cs="Arial" w:eastAsia="Arial" w:hAnsi="Arial"/>
                <w:sz w:val="18"/>
                <w:szCs w:val="18"/>
                <w:color w:val="auto"/>
              </w:rPr>
              <w:t>”), which is hereby</w:t>
            </w:r>
          </w:p>
        </w:tc>
        <w:tc>
          <w:tcPr>
            <w:tcW w:w="180" w:type="dxa"/>
            <w:vAlign w:val="bottom"/>
          </w:tcPr>
          <w:p>
            <w:pPr>
              <w:spacing w:after="0"/>
              <w:rPr>
                <w:sz w:val="24"/>
                <w:szCs w:val="24"/>
                <w:color w:val="auto"/>
              </w:rPr>
            </w:pPr>
          </w:p>
        </w:tc>
      </w:tr>
      <w:tr>
        <w:trPr>
          <w:trHeight w:val="212"/>
        </w:trPr>
        <w:tc>
          <w:tcPr>
            <w:tcW w:w="6860" w:type="dxa"/>
            <w:vAlign w:val="bottom"/>
            <w:gridSpan w:val="5"/>
          </w:tcPr>
          <w:p>
            <w:pPr>
              <w:spacing w:after="0"/>
              <w:rPr>
                <w:sz w:val="20"/>
                <w:szCs w:val="20"/>
                <w:color w:val="auto"/>
              </w:rPr>
            </w:pPr>
            <w:r>
              <w:rPr>
                <w:rFonts w:ascii="Arial" w:cs="Arial" w:eastAsia="Arial" w:hAnsi="Arial"/>
                <w:sz w:val="18"/>
                <w:szCs w:val="18"/>
                <w:color w:val="auto"/>
              </w:rPr>
              <w:t>acknowledged in connection with that certain Subscription Agreement, dated as of [</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w w:val="92"/>
              </w:rPr>
              <w:t>], by and among TapImmune Inc., a Nevada corporation (the</w:t>
            </w:r>
          </w:p>
        </w:tc>
      </w:tr>
      <w:tr>
        <w:trPr>
          <w:trHeight w:val="234"/>
        </w:trPr>
        <w:tc>
          <w:tcPr>
            <w:tcW w:w="11240" w:type="dxa"/>
            <w:vAlign w:val="bottom"/>
            <w:gridSpan w:val="6"/>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 each of the those persons and entities listed as a Purchaser on the Annex A thereto (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432"/>
        </w:trPr>
        <w:tc>
          <w:tcPr>
            <w:tcW w:w="6860" w:type="dxa"/>
            <w:vAlign w:val="bottom"/>
            <w:gridSpan w:val="5"/>
          </w:tcPr>
          <w:p>
            <w:pPr>
              <w:ind w:left="460"/>
              <w:spacing w:after="0"/>
              <w:rPr>
                <w:sz w:val="20"/>
                <w:szCs w:val="20"/>
                <w:color w:val="auto"/>
              </w:rPr>
            </w:pPr>
            <w:r>
              <w:rPr>
                <w:rFonts w:ascii="Arial" w:cs="Arial" w:eastAsia="Arial" w:hAnsi="Arial"/>
                <w:sz w:val="18"/>
                <w:szCs w:val="18"/>
                <w:color w:val="auto"/>
              </w:rPr>
              <w:t>1. EXERCISE OF WARRANT.</w:t>
            </w: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11240" w:type="dxa"/>
            <w:vAlign w:val="bottom"/>
            <w:gridSpan w:val="6"/>
          </w:tcPr>
          <w:p>
            <w:pPr>
              <w:ind w:left="920"/>
              <w:spacing w:after="0"/>
              <w:rPr>
                <w:sz w:val="20"/>
                <w:szCs w:val="20"/>
                <w:color w:val="auto"/>
              </w:rPr>
            </w:pPr>
            <w:r>
              <w:rPr>
                <w:rFonts w:ascii="Arial" w:cs="Arial" w:eastAsia="Arial" w:hAnsi="Arial"/>
                <w:sz w:val="18"/>
                <w:szCs w:val="18"/>
                <w:color w:val="auto"/>
                <w:w w:val="93"/>
              </w:rPr>
              <w:t>(a) Number and Exercise Price of Warrant Shares; Expiration Date. Subject to the terms and conditions set forth herein and set forth in the</w:t>
            </w:r>
          </w:p>
        </w:tc>
        <w:tc>
          <w:tcPr>
            <w:tcW w:w="18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560" w:type="dxa"/>
            <w:vAlign w:val="bottom"/>
            <w:gridSpan w:val="3"/>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8"/>
        </w:trPr>
        <w:tc>
          <w:tcPr>
            <w:tcW w:w="6860" w:type="dxa"/>
            <w:vAlign w:val="bottom"/>
            <w:gridSpan w:val="5"/>
          </w:tcPr>
          <w:p>
            <w:pPr>
              <w:spacing w:after="0"/>
              <w:rPr>
                <w:sz w:val="20"/>
                <w:szCs w:val="20"/>
                <w:color w:val="auto"/>
              </w:rPr>
            </w:pPr>
            <w:r>
              <w:rPr>
                <w:rFonts w:ascii="Arial" w:cs="Arial" w:eastAsia="Arial" w:hAnsi="Arial"/>
                <w:sz w:val="18"/>
                <w:szCs w:val="18"/>
                <w:color w:val="auto"/>
                <w:w w:val="96"/>
              </w:rPr>
              <w:t>Purchase Agreement, the Warrantholder is entitled to purchase from the Company up to [</w:t>
            </w:r>
          </w:p>
        </w:tc>
        <w:tc>
          <w:tcPr>
            <w:tcW w:w="4380" w:type="dxa"/>
            <w:vAlign w:val="bottom"/>
          </w:tcPr>
          <w:p>
            <w:pPr>
              <w:ind w:left="340"/>
              <w:spacing w:after="0"/>
              <w:rPr>
                <w:sz w:val="20"/>
                <w:szCs w:val="20"/>
                <w:color w:val="auto"/>
              </w:rPr>
            </w:pPr>
            <w:r>
              <w:rPr>
                <w:rFonts w:ascii="Arial" w:cs="Arial" w:eastAsia="Arial" w:hAnsi="Arial"/>
                <w:sz w:val="18"/>
                <w:szCs w:val="18"/>
                <w:color w:val="auto"/>
                <w:w w:val="92"/>
              </w:rPr>
              <w:t>] shares of the Company’s Common Stock, $0.001 par</w:t>
            </w:r>
          </w:p>
        </w:tc>
        <w:tc>
          <w:tcPr>
            <w:tcW w:w="180" w:type="dxa"/>
            <w:vAlign w:val="bottom"/>
          </w:tcPr>
          <w:p>
            <w:pPr>
              <w:spacing w:after="0"/>
              <w:rPr>
                <w:sz w:val="18"/>
                <w:szCs w:val="18"/>
                <w:color w:val="auto"/>
              </w:rPr>
            </w:pPr>
          </w:p>
        </w:tc>
      </w:tr>
      <w:tr>
        <w:trPr>
          <w:trHeight w:val="216"/>
        </w:trPr>
        <w:tc>
          <w:tcPr>
            <w:tcW w:w="11240" w:type="dxa"/>
            <w:vAlign w:val="bottom"/>
            <w:gridSpan w:val="6"/>
          </w:tcPr>
          <w:p>
            <w:pPr>
              <w:spacing w:after="0"/>
              <w:rPr>
                <w:sz w:val="20"/>
                <w:szCs w:val="20"/>
                <w:color w:val="auto"/>
              </w:rPr>
            </w:pPr>
            <w:r>
              <w:rPr>
                <w:rFonts w:ascii="Arial" w:cs="Arial" w:eastAsia="Arial" w:hAnsi="Arial"/>
                <w:sz w:val="18"/>
                <w:szCs w:val="18"/>
                <w:color w:val="auto"/>
                <w:w w:val="92"/>
              </w:rPr>
              <w:t>value per share (the “</w:t>
            </w:r>
            <w:r>
              <w:rPr>
                <w:rFonts w:ascii="Arial" w:cs="Arial" w:eastAsia="Arial" w:hAnsi="Arial"/>
                <w:sz w:val="18"/>
                <w:szCs w:val="18"/>
                <w:b w:val="1"/>
                <w:bCs w:val="1"/>
                <w:color w:val="auto"/>
                <w:w w:val="92"/>
              </w:rPr>
              <w:t>Common Stock</w:t>
            </w:r>
            <w:r>
              <w:rPr>
                <w:rFonts w:ascii="Arial" w:cs="Arial" w:eastAsia="Arial" w:hAnsi="Arial"/>
                <w:sz w:val="18"/>
                <w:szCs w:val="18"/>
                <w:color w:val="auto"/>
                <w:w w:val="92"/>
              </w:rPr>
              <w:t>”) (as adjusted from time to time pursuant to the provisions of this Warrant) (the “</w:t>
            </w:r>
            <w:r>
              <w:rPr>
                <w:rFonts w:ascii="Arial" w:cs="Arial" w:eastAsia="Arial" w:hAnsi="Arial"/>
                <w:sz w:val="18"/>
                <w:szCs w:val="18"/>
                <w:b w:val="1"/>
                <w:bCs w:val="1"/>
                <w:color w:val="auto"/>
                <w:w w:val="92"/>
              </w:rPr>
              <w:t>Warrant Shares</w:t>
            </w:r>
            <w:r>
              <w:rPr>
                <w:rFonts w:ascii="Arial" w:cs="Arial" w:eastAsia="Arial" w:hAnsi="Arial"/>
                <w:sz w:val="18"/>
                <w:szCs w:val="18"/>
                <w:color w:val="auto"/>
                <w:w w:val="92"/>
              </w:rPr>
              <w:t>”), at a purchase</w:t>
            </w:r>
          </w:p>
        </w:tc>
        <w:tc>
          <w:tcPr>
            <w:tcW w:w="180" w:type="dxa"/>
            <w:vAlign w:val="bottom"/>
          </w:tcPr>
          <w:p>
            <w:pPr>
              <w:spacing w:after="0"/>
              <w:rPr>
                <w:sz w:val="18"/>
                <w:szCs w:val="18"/>
                <w:color w:val="auto"/>
              </w:rPr>
            </w:pP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price of [</w:t>
            </w:r>
          </w:p>
        </w:tc>
        <w:tc>
          <w:tcPr>
            <w:tcW w:w="9840" w:type="dxa"/>
            <w:vAlign w:val="bottom"/>
            <w:gridSpan w:val="4"/>
          </w:tcPr>
          <w:p>
            <w:pPr>
              <w:ind w:left="4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1</w:t>
            </w:r>
            <w:r>
              <w:rPr>
                <w:rFonts w:ascii="Arial" w:cs="Arial" w:eastAsia="Arial" w:hAnsi="Arial"/>
                <w:sz w:val="18"/>
                <w:szCs w:val="18"/>
                <w:color w:val="auto"/>
                <w:w w:val="94"/>
              </w:rPr>
              <w:t xml:space="preserve"> per share (the “</w:t>
            </w:r>
            <w:r>
              <w:rPr>
                <w:rFonts w:ascii="Arial" w:cs="Arial" w:eastAsia="Arial" w:hAnsi="Arial"/>
                <w:sz w:val="18"/>
                <w:szCs w:val="18"/>
                <w:b w:val="1"/>
                <w:bCs w:val="1"/>
                <w:color w:val="auto"/>
                <w:w w:val="94"/>
              </w:rPr>
              <w:t>Exercise Price</w:t>
            </w:r>
            <w:r>
              <w:rPr>
                <w:rFonts w:ascii="Arial" w:cs="Arial" w:eastAsia="Arial" w:hAnsi="Arial"/>
                <w:sz w:val="18"/>
                <w:szCs w:val="18"/>
                <w:color w:val="auto"/>
                <w:w w:val="94"/>
              </w:rPr>
              <w:t>”), on or before 5:00 p.m. New York City time on the fifth anniversary of the Date of Issuance (the</w:t>
            </w:r>
          </w:p>
        </w:tc>
        <w:tc>
          <w:tcPr>
            <w:tcW w:w="180" w:type="dxa"/>
            <w:vAlign w:val="bottom"/>
          </w:tcPr>
          <w:p>
            <w:pPr>
              <w:spacing w:after="0"/>
              <w:rPr>
                <w:sz w:val="18"/>
                <w:szCs w:val="18"/>
                <w:color w:val="auto"/>
              </w:rPr>
            </w:pPr>
          </w:p>
        </w:tc>
      </w:tr>
      <w:tr>
        <w:trPr>
          <w:trHeight w:val="234"/>
        </w:trPr>
        <w:tc>
          <w:tcPr>
            <w:tcW w:w="686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(subject to earlier termination of this Warrant as set forth herein).</w:t>
            </w:r>
          </w:p>
        </w:tc>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2" w:lineRule="exact"/>
        <w:rPr>
          <w:sz w:val="20"/>
          <w:szCs w:val="20"/>
          <w:color w:val="auto"/>
        </w:rPr>
      </w:pPr>
    </w:p>
    <w:p>
      <w:pPr>
        <w:ind w:right="180" w:firstLine="921"/>
        <w:spacing w:after="0" w:line="277" w:lineRule="auto"/>
        <w:tabs>
          <w:tab w:leader="none" w:pos="116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While this Warrant remains outstanding and exercisable in accordance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above, the Warrantholder may exercise this Warrant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herein, by either:</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1"/>
          <w:numId w:val="3"/>
        </w:numPr>
        <w:rPr>
          <w:rFonts w:ascii="Arial" w:cs="Arial" w:eastAsia="Arial" w:hAnsi="Arial"/>
          <w:sz w:val="17"/>
          <w:szCs w:val="17"/>
          <w:color w:val="auto"/>
        </w:rPr>
      </w:pPr>
      <w:r>
        <w:rPr>
          <w:rFonts w:ascii="Arial" w:cs="Arial" w:eastAsia="Arial" w:hAnsi="Arial"/>
          <w:sz w:val="17"/>
          <w:szCs w:val="17"/>
          <w:color w:val="auto"/>
        </w:rPr>
        <w:t>wire transfer to the Company or cashier’s check drawn on a United States bank made payable to the order of the Company, or</w:t>
      </w:r>
    </w:p>
    <w:p>
      <w:pPr>
        <w:spacing w:after="0" w:line="236" w:lineRule="exact"/>
        <w:rPr>
          <w:rFonts w:ascii="Arial" w:cs="Arial" w:eastAsia="Arial" w:hAnsi="Arial"/>
          <w:sz w:val="17"/>
          <w:szCs w:val="17"/>
          <w:color w:val="auto"/>
        </w:rPr>
      </w:pPr>
    </w:p>
    <w:p>
      <w:pPr>
        <w:ind w:right="140" w:firstLine="1492"/>
        <w:spacing w:after="0" w:line="277" w:lineRule="auto"/>
        <w:tabs>
          <w:tab w:leader="none" w:pos="1738" w:val="left"/>
        </w:tabs>
        <w:numPr>
          <w:ilvl w:val="1"/>
          <w:numId w:val="3"/>
        </w:numPr>
        <w:rPr>
          <w:rFonts w:ascii="Arial" w:cs="Arial" w:eastAsia="Arial" w:hAnsi="Arial"/>
          <w:sz w:val="18"/>
          <w:szCs w:val="18"/>
          <w:color w:val="auto"/>
        </w:rPr>
      </w:pPr>
      <w:r>
        <w:rPr>
          <w:rFonts w:ascii="Arial" w:cs="Arial" w:eastAsia="Arial" w:hAnsi="Arial"/>
          <w:sz w:val="18"/>
          <w:szCs w:val="18"/>
          <w:color w:val="auto"/>
        </w:rPr>
        <w:t>exercising of the right to credit the Exercise Price against the Fair Market Value of the Warrant Shares (as defined below) at the time of exercise (the “</w:t>
      </w:r>
      <w:r>
        <w:rPr>
          <w:rFonts w:ascii="Arial" w:cs="Arial" w:eastAsia="Arial" w:hAnsi="Arial"/>
          <w:sz w:val="18"/>
          <w:szCs w:val="18"/>
          <w:b w:val="1"/>
          <w:bCs w:val="1"/>
          <w:color w:val="auto"/>
        </w:rPr>
        <w:t>Net Exercise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5"/>
          <w:szCs w:val="15"/>
          <w:color w:val="auto"/>
        </w:rPr>
      </w:pPr>
      <w:r>
        <w:rPr>
          <w:rFonts w:ascii="Arial" w:cs="Arial" w:eastAsia="Arial" w:hAnsi="Arial"/>
          <w:sz w:val="18"/>
          <w:szCs w:val="18"/>
          <w:color w:val="auto"/>
        </w:rPr>
        <w:t>To be inserted at the time of the issuance of the Investor Warrants. The purchase price is the 125% of the Purchase Price of the Securities.</w:t>
      </w:r>
    </w:p>
    <w:p>
      <w:pPr>
        <w:sectPr>
          <w:pgSz w:w="11900" w:h="16838" w:orient="portrait"/>
          <w:cols w:equalWidth="0" w:num="1">
            <w:col w:w="11420"/>
          </w:cols>
          <w:pgMar w:left="240" w:top="121" w:right="239" w:bottom="1440" w:gutter="0" w:footer="0" w:header="0"/>
        </w:sectPr>
      </w:pPr>
    </w:p>
    <w:bookmarkStart w:id="7" w:name="page8"/>
    <w:bookmarkEnd w:id="7"/>
    <w:p>
      <w:pPr>
        <w:jc w:val="both"/>
        <w:ind w:right="8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herein to the contrary, the Warrantholder shall not be required to physically surrender this Warrant to the Company until the Warrantholder has purchased all of the Warrant Shares available hereunder and the Warrant has been exercised in full, in which case, the Warrantholder shall surrender this Warrant to the Company for cancellation within three (3) trading days of the date the final Notice of Exercise is delivered to the Company.</w:t>
      </w:r>
    </w:p>
    <w:p>
      <w:pPr>
        <w:spacing w:after="0" w:line="302" w:lineRule="auto"/>
        <w:rPr>
          <w:sz w:val="20"/>
          <w:szCs w:val="20"/>
          <w:color w:val="auto"/>
        </w:rPr>
      </w:pPr>
      <w:r>
        <w:rPr>
          <w:rFonts w:ascii="Arial" w:cs="Arial" w:eastAsia="Arial" w:hAnsi="Arial"/>
          <w:sz w:val="16"/>
          <w:szCs w:val="16"/>
          <w:color w:val="auto"/>
        </w:rPr>
        <w:t>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Warrantholder and the Company shall maintain records showing the number of Warrant Shares purchased and the date of such purchases.</w:t>
      </w:r>
    </w:p>
    <w:p>
      <w:pPr>
        <w:spacing w:after="0" w:line="155" w:lineRule="exact"/>
        <w:rPr>
          <w:sz w:val="20"/>
          <w:szCs w:val="20"/>
          <w:color w:val="auto"/>
        </w:rPr>
      </w:pPr>
    </w:p>
    <w:p>
      <w:pPr>
        <w:ind w:right="40" w:firstLine="921"/>
        <w:spacing w:after="0" w:line="264" w:lineRule="auto"/>
        <w:tabs>
          <w:tab w:leader="none" w:pos="115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Net Exercise</w:t>
      </w:r>
      <w:r>
        <w:rPr>
          <w:rFonts w:ascii="Arial" w:cs="Arial" w:eastAsia="Arial" w:hAnsi="Arial"/>
          <w:sz w:val="18"/>
          <w:szCs w:val="18"/>
          <w:color w:val="auto"/>
        </w:rPr>
        <w:t>. If the Company shall receive written notice from the Warrantholder at the time of exercise of this Warrant that the holder elects to Net Exercise the Warrant, the Company shall deliver to such Warrantholder (without payment by the Warrantholder of any exercise price in cash) that number of Warrant Shares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141605</wp:posOffset>
            </wp:positionV>
            <wp:extent cx="771525"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Warrant Shares to be issued to the Warrantholder.</w:t>
      </w:r>
    </w:p>
    <w:p>
      <w:pPr>
        <w:spacing w:after="0" w:line="117" w:lineRule="exact"/>
        <w:rPr>
          <w:sz w:val="20"/>
          <w:szCs w:val="20"/>
          <w:color w:val="auto"/>
        </w:rPr>
      </w:pPr>
    </w:p>
    <w:p>
      <w:pPr>
        <w:ind w:left="1560" w:right="1140" w:hanging="472"/>
        <w:spacing w:after="0" w:line="277" w:lineRule="auto"/>
        <w:tabs>
          <w:tab w:leader="none" w:pos="1540" w:val="left"/>
        </w:tabs>
        <w:rPr>
          <w:sz w:val="20"/>
          <w:szCs w:val="20"/>
          <w:color w:val="auto"/>
        </w:rPr>
      </w:pPr>
      <w:r>
        <w:rPr>
          <w:rFonts w:ascii="Arial" w:cs="Arial" w:eastAsia="Arial" w:hAnsi="Arial"/>
          <w:sz w:val="18"/>
          <w:szCs w:val="18"/>
          <w:color w:val="auto"/>
        </w:rPr>
        <w:t>Y =</w:t>
        <w:tab/>
        <w:t>The number of Warrant Shares purchasable under this Warrant or, if only a portion of the Warrant is being exercised, the portion of the Warrant being cancelled (at the date of such calculation).</w:t>
      </w:r>
    </w:p>
    <w:p>
      <w:pPr>
        <w:spacing w:after="0" w:line="62" w:lineRule="exact"/>
        <w:rPr>
          <w:sz w:val="20"/>
          <w:szCs w:val="20"/>
          <w:color w:val="auto"/>
        </w:rPr>
      </w:pPr>
    </w:p>
    <w:p>
      <w:pPr>
        <w:ind w:left="1560" w:right="1220" w:hanging="472"/>
        <w:spacing w:after="0" w:line="277" w:lineRule="auto"/>
        <w:tabs>
          <w:tab w:leader="none" w:pos="1540" w:val="left"/>
        </w:tabs>
        <w:rPr>
          <w:sz w:val="20"/>
          <w:szCs w:val="20"/>
          <w:color w:val="auto"/>
        </w:rPr>
      </w:pPr>
      <w:r>
        <w:rPr>
          <w:rFonts w:ascii="Arial" w:cs="Arial" w:eastAsia="Arial" w:hAnsi="Arial"/>
          <w:sz w:val="18"/>
          <w:szCs w:val="18"/>
          <w:color w:val="auto"/>
        </w:rPr>
        <w:t>A =</w:t>
        <w:tab/>
        <w:t>The Fair Market Value of one (1) share of Common Stock on the trading date immediately preceding the date on which Warrantholder elects to exercise this Warrant.</w:t>
      </w:r>
    </w:p>
    <w:p>
      <w:pPr>
        <w:spacing w:after="0" w:line="62"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Exercise Price (as adjusted hereunder).</w:t>
      </w:r>
    </w:p>
    <w:p>
      <w:pPr>
        <w:spacing w:after="0" w:line="221" w:lineRule="exact"/>
        <w:rPr>
          <w:sz w:val="20"/>
          <w:szCs w:val="20"/>
          <w:color w:val="auto"/>
        </w:rPr>
      </w:pPr>
    </w:p>
    <w:p>
      <w:pPr>
        <w:ind w:right="60" w:firstLine="913"/>
        <w:spacing w:after="0" w:line="281"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one share of Common Stock shall mean (x) the last reported sale price and, if there are no sales, the last reported bid price, of the Common Stock on the business day prior to the date of exercise on the Trading Market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8" w:name="page9"/>
    <w:bookmarkEnd w:id="8"/>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(collectively, “</w:t>
      </w:r>
      <w:r>
        <w:rPr>
          <w:rFonts w:ascii="Arial" w:cs="Arial" w:eastAsia="Arial" w:hAnsi="Arial"/>
          <w:sz w:val="18"/>
          <w:szCs w:val="18"/>
          <w:b w:val="1"/>
          <w:bCs w:val="1"/>
          <w:color w:val="auto"/>
        </w:rPr>
        <w:t>Bloomberg</w:t>
      </w:r>
      <w:r>
        <w:rPr>
          <w:rFonts w:ascii="Arial" w:cs="Arial" w:eastAsia="Arial" w:hAnsi="Arial"/>
          <w:sz w:val="18"/>
          <w:szCs w:val="18"/>
          <w:color w:val="auto"/>
        </w:rPr>
        <w:t>”), (y) if the foregoing does not apply, the last sales price of the Common Stock in the over-the-counter market on the pink sheets or bulletin board for such security as reported by Bloomberg, and, if there are no sales, the last reported bid price of the Common Stock as reported by Bloomberg or, (z) if fair market value cannot be calculated as of such date on either of the foregoing bases, the price determined in good faith by the Company’s Board of Directors.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OTC Markets</w:t>
      </w:r>
      <w:r>
        <w:rPr>
          <w:rFonts w:ascii="Arial" w:cs="Arial" w:eastAsia="Arial" w:hAnsi="Arial"/>
          <w:sz w:val="18"/>
          <w:szCs w:val="18"/>
          <w:color w:val="auto"/>
        </w:rPr>
        <w:t>” shall mean either OTC QX or OTC QB of the OTC Markets Group, Inc.</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80" w:lineRule="exact"/>
        <w:rPr>
          <w:sz w:val="20"/>
          <w:szCs w:val="20"/>
          <w:color w:val="auto"/>
        </w:rPr>
      </w:pPr>
    </w:p>
    <w:p>
      <w:pPr>
        <w:jc w:val="both"/>
        <w:ind w:right="120" w:firstLine="921"/>
        <w:spacing w:after="0" w:line="259" w:lineRule="auto"/>
        <w:tabs>
          <w:tab w:leader="none" w:pos="1168"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Deemed Exercise</w:t>
      </w:r>
      <w:r>
        <w:rPr>
          <w:rFonts w:ascii="Arial" w:cs="Arial" w:eastAsia="Arial" w:hAnsi="Arial"/>
          <w:sz w:val="18"/>
          <w:szCs w:val="18"/>
          <w:color w:val="auto"/>
        </w:rPr>
        <w:t xml:space="preserve">. In the event that immediately prior to the close of business on the Expiration Date, the Fair Market Value of one share of Common Stock (as determined in accordance with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is greater than the then applicable Exercise Price, this Warrant shall be deemed to be automatically exercised on a net exercise issue basis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the Company shall deliver the applicable number of Warrant Shares to the Warrantholder pursuant to the provisions of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1(d)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ADJUSTMENTS.</w:t>
      </w:r>
    </w:p>
    <w:p>
      <w:pPr>
        <w:spacing w:after="0" w:line="225" w:lineRule="exact"/>
        <w:rPr>
          <w:rFonts w:ascii="Arial" w:cs="Arial" w:eastAsia="Arial" w:hAnsi="Arial"/>
          <w:sz w:val="18"/>
          <w:szCs w:val="18"/>
          <w:color w:val="auto"/>
        </w:rPr>
      </w:pPr>
    </w:p>
    <w:p>
      <w:pPr>
        <w:ind w:right="420" w:firstLine="921"/>
        <w:spacing w:after="0" w:line="277" w:lineRule="auto"/>
        <w:tabs>
          <w:tab w:leader="none" w:pos="1157"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Adjustment of Number of Warrant Shares and Exercise Price</w:t>
      </w:r>
      <w:r>
        <w:rPr>
          <w:rFonts w:ascii="Arial" w:cs="Arial" w:eastAsia="Arial" w:hAnsi="Arial"/>
          <w:sz w:val="18"/>
          <w:szCs w:val="18"/>
          <w:color w:val="auto"/>
        </w:rPr>
        <w:t>. The number and kind of Warrant Shares purchasable upon exercise of this Warrant and the Exercise Price shall be subject to adjustment from time to time as follows:</w:t>
      </w:r>
    </w:p>
    <w:p>
      <w:pPr>
        <w:spacing w:after="0" w:line="170" w:lineRule="exact"/>
        <w:rPr>
          <w:rFonts w:ascii="Arial" w:cs="Arial" w:eastAsia="Arial" w:hAnsi="Arial"/>
          <w:sz w:val="18"/>
          <w:szCs w:val="18"/>
          <w:color w:val="auto"/>
        </w:rPr>
      </w:pPr>
    </w:p>
    <w:p>
      <w:pPr>
        <w:ind w:firstLine="1492"/>
        <w:spacing w:after="0" w:line="271" w:lineRule="auto"/>
        <w:tabs>
          <w:tab w:leader="none" w:pos="1738" w:val="left"/>
        </w:tabs>
        <w:numPr>
          <w:ilvl w:val="2"/>
          <w:numId w:val="7"/>
        </w:numPr>
        <w:rPr>
          <w:rFonts w:ascii="Arial" w:cs="Arial" w:eastAsia="Arial" w:hAnsi="Arial"/>
          <w:sz w:val="17"/>
          <w:szCs w:val="17"/>
          <w:color w:val="auto"/>
        </w:rPr>
      </w:pPr>
      <w:r>
        <w:rPr>
          <w:rFonts w:ascii="Arial" w:cs="Arial" w:eastAsia="Arial" w:hAnsi="Arial"/>
          <w:sz w:val="17"/>
          <w:szCs w:val="17"/>
          <w:u w:val="single" w:color="auto"/>
          <w:color w:val="auto"/>
        </w:rPr>
        <w:t>Subdivisions, Combinations and Other Issuances</w:t>
      </w:r>
      <w:r>
        <w:rPr>
          <w:rFonts w:ascii="Arial" w:cs="Arial" w:eastAsia="Arial" w:hAnsi="Arial"/>
          <w:sz w:val="17"/>
          <w:szCs w:val="17"/>
          <w:color w:val="auto"/>
        </w:rPr>
        <w:t xml:space="preserve">. If the Company shall at any time after the Date of Issuance but prior to the Expiration Date subdivide its shares of capital stock of the same class as the Warrant Shares, by split-up or otherwise, or combine such shares of capital stock, or issue additional shares of capital stock as a dividend with respect to any shares of such capital stock, the number of Warrant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178" w:lineRule="exact"/>
        <w:rPr>
          <w:rFonts w:ascii="Arial" w:cs="Arial" w:eastAsia="Arial" w:hAnsi="Arial"/>
          <w:sz w:val="17"/>
          <w:szCs w:val="17"/>
          <w:color w:val="auto"/>
        </w:rPr>
      </w:pPr>
    </w:p>
    <w:p>
      <w:pPr>
        <w:ind w:right="100" w:firstLine="1492"/>
        <w:spacing w:after="0" w:line="259" w:lineRule="auto"/>
        <w:tabs>
          <w:tab w:leader="none" w:pos="1738" w:val="left"/>
        </w:tabs>
        <w:numPr>
          <w:ilvl w:val="2"/>
          <w:numId w:val="7"/>
        </w:numPr>
        <w:rPr>
          <w:rFonts w:ascii="Arial" w:cs="Arial" w:eastAsia="Arial" w:hAnsi="Arial"/>
          <w:sz w:val="18"/>
          <w:szCs w:val="18"/>
          <w:color w:val="auto"/>
        </w:rPr>
      </w:pPr>
      <w:r>
        <w:rPr>
          <w:rFonts w:ascii="Arial" w:cs="Arial" w:eastAsia="Arial" w:hAnsi="Arial"/>
          <w:sz w:val="18"/>
          <w:szCs w:val="18"/>
          <w:u w:val="single" w:color="auto"/>
          <w:color w:val="auto"/>
        </w:rPr>
        <w:t>Reclassification, Reorganizations and Consolidation</w:t>
      </w:r>
      <w:r>
        <w:rPr>
          <w:rFonts w:ascii="Arial" w:cs="Arial" w:eastAsia="Arial" w:hAnsi="Arial"/>
          <w:sz w:val="18"/>
          <w:szCs w:val="18"/>
          <w:color w:val="auto"/>
        </w:rPr>
        <w:t xml:space="preserve">. In case of any reclassification, capital reorganization or change in the capital stock of the Company (other than as a result of a subdivision, combination or stock dividend provided for in </w:t>
      </w:r>
      <w:r>
        <w:rPr>
          <w:rFonts w:ascii="Arial" w:cs="Arial" w:eastAsia="Arial" w:hAnsi="Arial"/>
          <w:sz w:val="18"/>
          <w:szCs w:val="18"/>
          <w:u w:val="single" w:color="auto"/>
          <w:color w:val="auto"/>
        </w:rPr>
        <w:t>Section 2(a)(1)</w:t>
      </w:r>
      <w:r>
        <w:rPr>
          <w:rFonts w:ascii="Arial" w:cs="Arial" w:eastAsia="Arial" w:hAnsi="Arial"/>
          <w:sz w:val="18"/>
          <w:szCs w:val="18"/>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Warrantholder, so that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9" w:name="page10"/>
    <w:bookmarkEnd w:id="9"/>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Warrantholder shall thereafter have the right at any time prior to the expiration of this Warrant to purchase, at a total price equal to that payable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as Warrant Shares by the Warrantholders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provided the aggregate Exercise Price shall remain the same (and, for the avoidance of doubt, this Warrant shall be exclusively exercisable for such shares of stock and/or other securities or property from and after the consummation of such reclassification or other change in the capital stock of the Company).</w:t>
      </w:r>
      <w:r>
        <w:rPr>
          <w:rFonts w:ascii="Arial" w:cs="Arial" w:eastAsia="Arial" w:hAnsi="Arial"/>
          <w:sz w:val="13"/>
          <w:szCs w:val="13"/>
          <w:color w:val="auto"/>
        </w:rPr>
        <w:t>2</w:t>
      </w:r>
    </w:p>
    <w:p>
      <w:pPr>
        <w:spacing w:after="0" w:line="166" w:lineRule="exact"/>
        <w:rPr>
          <w:sz w:val="20"/>
          <w:szCs w:val="20"/>
          <w:color w:val="auto"/>
        </w:rPr>
      </w:pPr>
    </w:p>
    <w:p>
      <w:pPr>
        <w:ind w:firstLine="921"/>
        <w:spacing w:after="0" w:line="272" w:lineRule="auto"/>
        <w:tabs>
          <w:tab w:leader="none" w:pos="1168"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Notice to Warrantholder</w:t>
      </w:r>
      <w:r>
        <w:rPr>
          <w:rFonts w:ascii="Arial" w:cs="Arial" w:eastAsia="Arial" w:hAnsi="Arial"/>
          <w:sz w:val="17"/>
          <w:szCs w:val="17"/>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 dissolution, liquidation or winding up of the affairs of the Company, then the Company shall deliver to the Warrantholder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w:t>
      </w:r>
    </w:p>
    <w:p>
      <w:pPr>
        <w:spacing w:after="0" w:line="177" w:lineRule="exact"/>
        <w:rPr>
          <w:rFonts w:ascii="Arial" w:cs="Arial" w:eastAsia="Arial" w:hAnsi="Arial"/>
          <w:sz w:val="17"/>
          <w:szCs w:val="17"/>
          <w:color w:val="auto"/>
        </w:rPr>
      </w:pPr>
    </w:p>
    <w:p>
      <w:pPr>
        <w:ind w:right="140" w:firstLine="921"/>
        <w:spacing w:after="0" w:line="264" w:lineRule="auto"/>
        <w:tabs>
          <w:tab w:leader="none" w:pos="115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made to the nearest cent or the nearest whole share, as the case may be.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Treatment of Warrant upon a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55" w:lineRule="auto"/>
        <w:tabs>
          <w:tab w:leader="none" w:pos="1738"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Arial" w:cs="Arial" w:eastAsia="Arial" w:hAnsi="Arial"/>
          <w:sz w:val="18"/>
          <w:szCs w:val="18"/>
          <w:b w:val="1"/>
          <w:bCs w:val="1"/>
          <w:color w:val="auto"/>
        </w:rPr>
        <w:t>Alternate Consideration</w:t>
      </w:r>
      <w:r>
        <w:rPr>
          <w:rFonts w:ascii="Arial" w:cs="Arial" w:eastAsia="Arial" w:hAnsi="Arial"/>
          <w:sz w:val="18"/>
          <w:szCs w:val="18"/>
          <w:color w:val="auto"/>
        </w:rPr>
        <w:t>”). The Company shall not effect any such Change of Control unless prior to or simultaneously with the consummation thereof, any successor to the Company, surviving entity or the corporation purchasing or otherwise acquiring such assets or other appropriate corporation or entity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220" w:right="80" w:hanging="212"/>
        <w:spacing w:after="0" w:line="277" w:lineRule="auto"/>
        <w:tabs>
          <w:tab w:leader="none" w:pos="220" w:val="left"/>
        </w:tabs>
        <w:numPr>
          <w:ilvl w:val="0"/>
          <w:numId w:val="9"/>
        </w:numPr>
        <w:rPr>
          <w:rFonts w:ascii="Arial" w:cs="Arial" w:eastAsia="Arial" w:hAnsi="Arial"/>
          <w:sz w:val="15"/>
          <w:szCs w:val="15"/>
          <w:color w:val="auto"/>
        </w:rPr>
      </w:pPr>
      <w:r>
        <w:rPr>
          <w:rFonts w:ascii="Arial" w:cs="Arial" w:eastAsia="Arial" w:hAnsi="Arial"/>
          <w:sz w:val="18"/>
          <w:szCs w:val="18"/>
          <w:color w:val="auto"/>
        </w:rPr>
        <w:t>Clause 3 relating to adjustments upon subsequent equity sales deleted – not part of terms expressed in the Katalyst term sheet provided to TapImmune and approved by the TI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 w:name="page11"/>
    <w:bookmarkEnd w:id="10"/>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assume the obligation to deliver to the holder, such Alternate Consideration as, in accordance with the foregoing provisions, the holder may be entitled to purchase, and the other obligations under this Warrant.</w:t>
      </w:r>
    </w:p>
    <w:p>
      <w:pPr>
        <w:spacing w:after="0" w:line="166" w:lineRule="exact"/>
        <w:rPr>
          <w:sz w:val="20"/>
          <w:szCs w:val="20"/>
          <w:color w:val="auto"/>
        </w:rPr>
      </w:pPr>
    </w:p>
    <w:p>
      <w:pPr>
        <w:ind w:right="60" w:firstLine="1492"/>
        <w:spacing w:after="0" w:line="255" w:lineRule="auto"/>
        <w:tabs>
          <w:tab w:leader="none" w:pos="1738" w:val="left"/>
        </w:tabs>
        <w:numPr>
          <w:ilvl w:val="2"/>
          <w:numId w:val="10"/>
        </w:numPr>
        <w:rPr>
          <w:rFonts w:ascii="Arial" w:cs="Arial" w:eastAsia="Arial" w:hAnsi="Arial"/>
          <w:sz w:val="18"/>
          <w:szCs w:val="18"/>
          <w:color w:val="auto"/>
        </w:rPr>
      </w:pPr>
      <w:r>
        <w:rPr>
          <w:rFonts w:ascii="Arial" w:cs="Arial" w:eastAsia="Arial" w:hAnsi="Arial"/>
          <w:sz w:val="18"/>
          <w:szCs w:val="18"/>
          <w:color w:val="auto"/>
        </w:rPr>
        <w:t>As used in this Warrant, a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 (iv) a “person” or “group” (as these terms are used for purposes of Section 13(d) and 14(d)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is or shall become the “beneficial owner” (as defined in Rule 13d-3 under the Exchange Act), directly or indirectly at least a majority of the voting power of the capital stock of the Company.</w:t>
      </w:r>
    </w:p>
    <w:p>
      <w:pPr>
        <w:spacing w:after="0" w:line="193" w:lineRule="exact"/>
        <w:rPr>
          <w:rFonts w:ascii="Arial" w:cs="Arial" w:eastAsia="Arial" w:hAnsi="Arial"/>
          <w:sz w:val="18"/>
          <w:szCs w:val="18"/>
          <w:color w:val="auto"/>
        </w:rPr>
      </w:pPr>
    </w:p>
    <w:p>
      <w:pPr>
        <w:ind w:right="180" w:firstLine="464"/>
        <w:spacing w:after="0" w:line="264"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FRACTIONAL SHARES.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w:t>
      </w:r>
    </w:p>
    <w:p>
      <w:pPr>
        <w:spacing w:after="0" w:line="181" w:lineRule="exact"/>
        <w:rPr>
          <w:rFonts w:ascii="Arial" w:cs="Arial" w:eastAsia="Arial" w:hAnsi="Arial"/>
          <w:sz w:val="18"/>
          <w:szCs w:val="18"/>
          <w:color w:val="auto"/>
        </w:rPr>
      </w:pPr>
    </w:p>
    <w:p>
      <w:pPr>
        <w:ind w:firstLine="464"/>
        <w:spacing w:after="0" w:line="264"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NO STOCKHOLDER RIGHTS. Until the exercise of this Warrant or any portion of this Warrant, the Warrantholder shall not have, nor exercise, any rights as a stockholder of the Company (including without limitation the right to notification of stockholder meetings or the right to receive any notice or other communication concerning the business and affairs of the Company) except as provided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below.</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MECHANICS OF EXERCISE.</w:t>
      </w:r>
    </w:p>
    <w:p>
      <w:pPr>
        <w:spacing w:after="0" w:line="225" w:lineRule="exact"/>
        <w:rPr>
          <w:rFonts w:ascii="Arial" w:cs="Arial" w:eastAsia="Arial" w:hAnsi="Arial"/>
          <w:sz w:val="18"/>
          <w:szCs w:val="18"/>
          <w:color w:val="auto"/>
        </w:rPr>
      </w:pPr>
    </w:p>
    <w:p>
      <w:pPr>
        <w:ind w:right="20" w:firstLine="921"/>
        <w:spacing w:after="0" w:line="269" w:lineRule="auto"/>
        <w:tabs>
          <w:tab w:leader="none" w:pos="1157"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Delivery of Warrant Shares Upon Exercise</w:t>
      </w:r>
      <w:r>
        <w:rPr>
          <w:rFonts w:ascii="Arial" w:cs="Arial" w:eastAsia="Arial" w:hAnsi="Arial"/>
          <w:sz w:val="17"/>
          <w:szCs w:val="17"/>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executed copy of the Notice of Exercise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by facsimile or e-mail attachment and paying the Exercise Price (unless the Warrantholder has elected to Net Exercise) then in effect with respect to the number of Warrant Shares as to which the Warrant is being exercised. This Warrant shall be deemed to have been exercised immediately prior to the close of business on the date of the delivery to the Company of the Notice of Exercise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holder by crediting the account of the holder’s prime broker with The Depository Trust Company through its Deposit or Withdrawal at Custodian system (“</w:t>
      </w:r>
      <w:r>
        <w:rPr>
          <w:rFonts w:ascii="Arial" w:cs="Arial" w:eastAsia="Arial" w:hAnsi="Arial"/>
          <w:sz w:val="17"/>
          <w:szCs w:val="17"/>
          <w:b w:val="1"/>
          <w:bCs w:val="1"/>
          <w:color w:val="auto"/>
        </w:rPr>
        <w:t>DWAC</w:t>
      </w:r>
      <w:r>
        <w:rPr>
          <w:rFonts w:ascii="Arial" w:cs="Arial" w:eastAsia="Arial" w:hAnsi="Arial"/>
          <w:sz w:val="17"/>
          <w:szCs w:val="17"/>
          <w:color w:val="auto"/>
        </w:rPr>
        <w:t>”) if the Company is then a participant in such system and either (A) 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1" w:name="page12"/>
    <w:bookmarkEnd w:id="11"/>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Notice of Exercise by the end of the day on the date that is three (3) trading days from the delivery to the Company of the Notice of Exercise and payment of the aggregate Exercise Price (unless exercised by means of a cashless exercise pursuant to </w:t>
      </w:r>
      <w:r>
        <w:rPr>
          <w:rFonts w:ascii="Arial" w:cs="Arial" w:eastAsia="Arial" w:hAnsi="Arial"/>
          <w:sz w:val="17"/>
          <w:szCs w:val="17"/>
          <w:u w:val="single" w:color="auto"/>
          <w:color w:val="auto"/>
        </w:rPr>
        <w:t>Section 1(c)</w:t>
      </w:r>
      <w:r>
        <w:rPr>
          <w:rFonts w:ascii="Arial" w:cs="Arial" w:eastAsia="Arial" w:hAnsi="Arial"/>
          <w:sz w:val="17"/>
          <w:szCs w:val="17"/>
          <w:color w:val="auto"/>
        </w:rPr>
        <w:t>). The Warrant Shares shall be deemed to have been issued, and the holder or any other person so designated to be named therein shall be deemed to have become a holder of record of such shares for all purposes, as of the date the Warrant has been exercised, with payment to the Company of the Exercise Price (or by Net Exercise) and all taxes required to be paid by the holder, if any, prior to the issuance of such shares, having been paid.</w:t>
      </w:r>
    </w:p>
    <w:p>
      <w:pPr>
        <w:spacing w:after="0" w:line="173" w:lineRule="exact"/>
        <w:rPr>
          <w:sz w:val="20"/>
          <w:szCs w:val="20"/>
          <w:color w:val="auto"/>
        </w:rPr>
      </w:pPr>
    </w:p>
    <w:p>
      <w:pPr>
        <w:ind w:right="240" w:firstLine="921"/>
        <w:spacing w:after="0" w:line="277" w:lineRule="auto"/>
        <w:tabs>
          <w:tab w:leader="none" w:pos="116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Warrantholder the Warrant Shares pursuant to Section 5(a) by the Warrant Share Delivery Date, then the Warrantholder will have the right to rescind such exercise.</w:t>
      </w:r>
    </w:p>
    <w:p>
      <w:pPr>
        <w:spacing w:after="0" w:line="170" w:lineRule="exact"/>
        <w:rPr>
          <w:rFonts w:ascii="Arial" w:cs="Arial" w:eastAsia="Arial" w:hAnsi="Arial"/>
          <w:sz w:val="18"/>
          <w:szCs w:val="18"/>
          <w:color w:val="auto"/>
        </w:rPr>
      </w:pPr>
    </w:p>
    <w:p>
      <w:pPr>
        <w:ind w:firstLine="921"/>
        <w:spacing w:after="0" w:line="285" w:lineRule="auto"/>
        <w:tabs>
          <w:tab w:leader="none" w:pos="115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Warrantholder’s Exercise Limitations</w:t>
      </w:r>
      <w:r>
        <w:rPr>
          <w:rFonts w:ascii="Arial" w:cs="Arial" w:eastAsia="Arial" w:hAnsi="Arial"/>
          <w:sz w:val="16"/>
          <w:szCs w:val="16"/>
          <w:color w:val="auto"/>
        </w:rPr>
        <w:t xml:space="preserve">. A holder shall not have the right to exercise this Warrant,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aggregate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convertible notes or convertible preferred stock or warrants) subject to a limitation on conversion or exercise analogous to the limitation contained herein beneficially owned by the holder or any of its affiliates. Except as set forth in the preceding sentence, for purposes of this section,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and shall have no liability for exercise of the Warrant that are not in compliance with the Beneficial Ownership Limitation. In addition, a determination as to any group status as contemplated above shall be determined in accordance with Section 13(d) of the Exchange Act and the rules and regulations promulgated thereunder. For purposes of this </w:t>
      </w:r>
      <w:r>
        <w:rPr>
          <w:rFonts w:ascii="Arial" w:cs="Arial" w:eastAsia="Arial" w:hAnsi="Arial"/>
          <w:sz w:val="16"/>
          <w:szCs w:val="16"/>
          <w:u w:val="single" w:color="auto"/>
          <w:color w:val="auto"/>
        </w:rPr>
        <w:t>Section 5(c)</w:t>
      </w:r>
      <w:r>
        <w:rPr>
          <w:rFonts w:ascii="Arial" w:cs="Arial" w:eastAsia="Arial" w:hAnsi="Arial"/>
          <w:sz w:val="16"/>
          <w:szCs w:val="16"/>
          <w:color w:val="auto"/>
        </w:rPr>
        <w:t>, in determining the number of outstanding shares of Common Stock, a holder may rely on the number of outstanding shares of Common Stock as reflected in (A) the Company’s most recent periodic or annual report filed with the U.S. Securities and</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 w:name="page13"/>
    <w:bookmarkEnd w:id="1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Commission, as the case may be, (B) a more recent public announcement by the Company or (C) a more recent written notice by the Company or the Company’s transfer agent setting forth the number of shares of Common Stock outstanding. Upon the written request of a holder, the Company shall within two (2) trading days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17"/>
          <w:szCs w:val="17"/>
          <w:b w:val="1"/>
          <w:bCs w:val="1"/>
          <w:color w:val="auto"/>
        </w:rPr>
        <w:t>Beneficial Ownership Limitation</w:t>
      </w:r>
      <w:r>
        <w:rPr>
          <w:rFonts w:ascii="Arial" w:cs="Arial" w:eastAsia="Arial" w:hAnsi="Arial"/>
          <w:sz w:val="17"/>
          <w:szCs w:val="17"/>
          <w:color w:val="auto"/>
        </w:rPr>
        <w:t xml:space="preserve">” shall be 9.99% of the number of shares of the Common Stock outstanding immediately after giving effect to the issuance of shares of Common Stock issuable upon exercise of this Warrant. Any such increase or decrease will not be effective until the 61st day after such notice is delivered to the Company. The provisions of this paragraph shall be construed and implemented in strict conformity with the terms of this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3" w:lineRule="exact"/>
        <w:rPr>
          <w:sz w:val="20"/>
          <w:szCs w:val="20"/>
          <w:color w:val="auto"/>
        </w:rPr>
      </w:pPr>
    </w:p>
    <w:p>
      <w:pPr>
        <w:jc w:val="both"/>
        <w:ind w:right="60" w:firstLine="464"/>
        <w:spacing w:after="0" w:line="264"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CERTIFICATE OF ADJUSTMENT. Whenever the Exercise Price or number or type of securities issuable upon exercise of this Warrant is adjusted, as herein provided, the Company shall, at its expense, promptly deliver to the Warrantholder a certificate of an officer of the Company setting forth the nature of such adjustment and showing in detail the facts upon which such adjustment is based.</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SECURITIES LAWS.</w:t>
      </w:r>
    </w:p>
    <w:p>
      <w:pPr>
        <w:spacing w:after="0" w:line="225" w:lineRule="exact"/>
        <w:rPr>
          <w:rFonts w:ascii="Arial" w:cs="Arial" w:eastAsia="Arial" w:hAnsi="Arial"/>
          <w:sz w:val="18"/>
          <w:szCs w:val="18"/>
          <w:color w:val="auto"/>
        </w:rPr>
      </w:pPr>
    </w:p>
    <w:p>
      <w:pPr>
        <w:ind w:right="700" w:firstLine="921"/>
        <w:spacing w:after="0" w:line="276" w:lineRule="auto"/>
        <w:tabs>
          <w:tab w:leader="none" w:pos="1158"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Warrantholder understands that this Warrant and the Warrant Shares are characterized as “restricted securities” under the federal securities laws inasmuch as they are being acquired from the Company in a transaction not involving a public offering and that under such laws and applicable regulations this Warrant and the Warrant Shares may be resold without registration under the Securities Act only in certain limited circumstances. In this connection, the Warrantholder represents that it is familiar with Rule 144 under the Securities Act, as presently in effect, and understands the resale limitations imposed thereby and by the Securities Act.</w:t>
      </w:r>
    </w:p>
    <w:p>
      <w:pPr>
        <w:spacing w:after="0" w:line="172" w:lineRule="exact"/>
        <w:rPr>
          <w:rFonts w:ascii="Arial" w:cs="Arial" w:eastAsia="Arial" w:hAnsi="Arial"/>
          <w:sz w:val="17"/>
          <w:szCs w:val="17"/>
          <w:color w:val="auto"/>
        </w:rPr>
      </w:pPr>
    </w:p>
    <w:p>
      <w:pPr>
        <w:ind w:right="60" w:firstLine="921"/>
        <w:spacing w:after="0" w:line="302" w:lineRule="auto"/>
        <w:tabs>
          <w:tab w:leader="none" w:pos="1168" w:val="left"/>
        </w:tabs>
        <w:numPr>
          <w:ilvl w:val="1"/>
          <w:numId w:val="13"/>
        </w:numPr>
        <w:rPr>
          <w:rFonts w:ascii="Arial" w:cs="Arial" w:eastAsia="Arial" w:hAnsi="Arial"/>
          <w:sz w:val="16"/>
          <w:szCs w:val="16"/>
          <w:color w:val="auto"/>
        </w:rPr>
      </w:pPr>
      <w:r>
        <w:rPr>
          <w:rFonts w:ascii="Arial" w:cs="Arial" w:eastAsia="Arial" w:hAnsi="Arial"/>
          <w:sz w:val="16"/>
          <w:szCs w:val="16"/>
          <w:color w:val="auto"/>
        </w:rPr>
        <w:t>Prior and as a condition to the sale or transfer of the Warrant Shares issuable upon exercise of this Warrant, the Warrantholder shall furnish to the Company such certificates, representations, agreements and other information, including an opinion of counsel, as the Company or the Company’s transfer agent reasonably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 w:name="page14"/>
    <w:bookmarkEnd w:id="13"/>
    <w:p>
      <w:pPr>
        <w:ind w:right="40" w:firstLine="921"/>
        <w:spacing w:after="0" w:line="264" w:lineRule="auto"/>
        <w:tabs>
          <w:tab w:leader="none" w:pos="1158"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Warrantholder acknowledges that the Company may place a restrictive legend on the Warrant Shares issuable upon exercise of this Warrant in order to comply with applicable securities laws, in substantially the following form and substance, unless such Warrant Shares are otherwise freely tradable under Rule 144 of the Securities Act:</w:t>
      </w:r>
    </w:p>
    <w:p>
      <w:pPr>
        <w:spacing w:after="0" w:line="73" w:lineRule="exact"/>
        <w:rPr>
          <w:sz w:val="20"/>
          <w:szCs w:val="20"/>
          <w:color w:val="auto"/>
        </w:rPr>
      </w:pPr>
    </w:p>
    <w:p>
      <w:pPr>
        <w:ind w:left="920" w:right="100"/>
        <w:spacing w:after="0" w:line="270" w:lineRule="auto"/>
        <w:rPr>
          <w:sz w:val="20"/>
          <w:szCs w:val="20"/>
          <w:color w:val="auto"/>
        </w:rPr>
      </w:pPr>
      <w:r>
        <w:rPr>
          <w:rFonts w:ascii="Arial" w:cs="Arial" w:eastAsia="Arial" w:hAnsi="Arial"/>
          <w:sz w:val="17"/>
          <w:szCs w:val="17"/>
          <w:color w:val="auto"/>
        </w:rPr>
        <w:t>“THE SECURITIES EVIDENCED BY THIS CERTIFICATE HAVE NOT BEEN REGISTERED UNDER THE U.S.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78" w:lineRule="exact"/>
        <w:rPr>
          <w:sz w:val="20"/>
          <w:szCs w:val="20"/>
          <w:color w:val="auto"/>
        </w:rPr>
      </w:pPr>
    </w:p>
    <w:p>
      <w:pPr>
        <w:ind w:right="120" w:firstLine="464"/>
        <w:spacing w:after="0" w:line="259"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or, in the case of any such mutilation, on surrender and cancellation of such Warrant, the Company at its expense will execute and deliver, in lieu thereof, a new Warrant of like tenor.</w:t>
      </w:r>
    </w:p>
    <w:p>
      <w:pPr>
        <w:spacing w:after="0" w:line="186" w:lineRule="exact"/>
        <w:rPr>
          <w:rFonts w:ascii="Arial" w:cs="Arial" w:eastAsia="Arial" w:hAnsi="Arial"/>
          <w:sz w:val="18"/>
          <w:szCs w:val="18"/>
          <w:color w:val="auto"/>
        </w:rPr>
      </w:pPr>
    </w:p>
    <w:p>
      <w:pPr>
        <w:jc w:val="both"/>
        <w:ind w:right="160" w:firstLine="464"/>
        <w:spacing w:after="0" w:line="259"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IMPAIRMENT. Except to the extent as may be waived by the holder of this Warrant,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86" w:lineRule="exact"/>
        <w:rPr>
          <w:rFonts w:ascii="Arial" w:cs="Arial" w:eastAsia="Arial" w:hAnsi="Arial"/>
          <w:sz w:val="18"/>
          <w:szCs w:val="18"/>
          <w:color w:val="auto"/>
        </w:rPr>
      </w:pPr>
    </w:p>
    <w:p>
      <w:pPr>
        <w:ind w:firstLine="464"/>
        <w:spacing w:after="0" w:line="264" w:lineRule="auto"/>
        <w:tabs>
          <w:tab w:leader="none" w:pos="7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TRANSFERS; EXCHANGES.</w:t>
      </w:r>
    </w:p>
    <w:p>
      <w:pPr>
        <w:spacing w:after="0" w:line="225" w:lineRule="exact"/>
        <w:rPr>
          <w:rFonts w:ascii="Arial" w:cs="Arial" w:eastAsia="Arial" w:hAnsi="Arial"/>
          <w:sz w:val="18"/>
          <w:szCs w:val="18"/>
          <w:color w:val="auto"/>
        </w:rPr>
      </w:pPr>
    </w:p>
    <w:p>
      <w:pPr>
        <w:ind w:right="360" w:firstLine="921"/>
        <w:spacing w:after="0" w:line="264" w:lineRule="auto"/>
        <w:tabs>
          <w:tab w:leader="none" w:pos="11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Subject to compliance with applicable federal and state securities laws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this Warrant may be transferred by the Warrantholder to any Affiliate (as defined below) with respect to any or all of the Warrant Shares purchasable hereunder (a “</w:t>
      </w:r>
      <w:r>
        <w:rPr>
          <w:rFonts w:ascii="Arial" w:cs="Arial" w:eastAsia="Arial" w:hAnsi="Arial"/>
          <w:sz w:val="18"/>
          <w:szCs w:val="18"/>
          <w:b w:val="1"/>
          <w:bCs w:val="1"/>
          <w:color w:val="auto"/>
        </w:rPr>
        <w:t>Permitted Transfer</w:t>
      </w:r>
      <w:r>
        <w:rPr>
          <w:rFonts w:ascii="Arial" w:cs="Arial" w:eastAsia="Arial" w:hAnsi="Arial"/>
          <w:sz w:val="18"/>
          <w:szCs w:val="18"/>
          <w:color w:val="auto"/>
        </w:rPr>
        <w:t>”). For a transfer of this Warrant as an entirety by the Warrantholder, upon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4" w:name="page15"/>
    <w:bookmarkEnd w:id="1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surrender of this Warrant to the Company, together with the Notice of Assignment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duly completed and executed on behalf of the Warrantholder,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 The term “</w:t>
      </w:r>
      <w:r>
        <w:rPr>
          <w:rFonts w:ascii="Arial" w:cs="Arial" w:eastAsia="Arial" w:hAnsi="Arial"/>
          <w:sz w:val="18"/>
          <w:szCs w:val="18"/>
          <w:b w:val="1"/>
          <w:bCs w:val="1"/>
          <w:color w:val="auto"/>
        </w:rPr>
        <w:t>Affiliate</w:t>
      </w:r>
      <w:r>
        <w:rPr>
          <w:rFonts w:ascii="Arial" w:cs="Arial" w:eastAsia="Arial" w:hAnsi="Arial"/>
          <w:sz w:val="18"/>
          <w:szCs w:val="18"/>
          <w:color w:val="auto"/>
        </w:rPr>
        <w:t>” as used herein means, with respect to any person, any other person that, directly or indirectly through one or more intermediaries, controls, is controlled by or is under common control with such person, and any officers, employees or partners of the Warrantholder.</w:t>
      </w:r>
    </w:p>
    <w:p>
      <w:pPr>
        <w:spacing w:after="0" w:line="192" w:lineRule="exact"/>
        <w:rPr>
          <w:sz w:val="20"/>
          <w:szCs w:val="20"/>
          <w:color w:val="auto"/>
        </w:rPr>
      </w:pPr>
    </w:p>
    <w:p>
      <w:pPr>
        <w:ind w:right="40" w:firstLine="921"/>
        <w:spacing w:after="0" w:line="255" w:lineRule="auto"/>
        <w:tabs>
          <w:tab w:leader="none" w:pos="11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Arial" w:cs="Arial" w:eastAsia="Arial" w:hAnsi="Arial"/>
          <w:sz w:val="18"/>
          <w:szCs w:val="18"/>
          <w:b w:val="1"/>
          <w:bCs w:val="1"/>
          <w:color w:val="auto"/>
        </w:rPr>
        <w:t>Warrants</w:t>
      </w:r>
      <w:r>
        <w:rPr>
          <w:rFonts w:ascii="Arial" w:cs="Arial" w:eastAsia="Arial" w:hAnsi="Arial"/>
          <w:sz w:val="18"/>
          <w:szCs w:val="18"/>
          <w:color w:val="auto"/>
        </w:rPr>
        <w:t>” as used herein includes any warrants into which this Warrant may be divided or exchanged.</w:t>
      </w:r>
    </w:p>
    <w:p>
      <w:pPr>
        <w:spacing w:after="0" w:line="193" w:lineRule="exact"/>
        <w:rPr>
          <w:rFonts w:ascii="Arial" w:cs="Arial" w:eastAsia="Arial" w:hAnsi="Arial"/>
          <w:sz w:val="18"/>
          <w:szCs w:val="18"/>
          <w:color w:val="auto"/>
        </w:rPr>
      </w:pPr>
    </w:p>
    <w:p>
      <w:pPr>
        <w:ind w:firstLine="464"/>
        <w:spacing w:after="0" w:line="289" w:lineRule="auto"/>
        <w:tabs>
          <w:tab w:leader="none" w:pos="72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quoted or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6" w:lineRule="exact"/>
        <w:rPr>
          <w:rFonts w:ascii="Arial" w:cs="Arial" w:eastAsia="Arial" w:hAnsi="Arial"/>
          <w:sz w:val="16"/>
          <w:szCs w:val="16"/>
          <w:color w:val="auto"/>
        </w:rPr>
      </w:pPr>
    </w:p>
    <w:p>
      <w:pPr>
        <w:ind w:left="740" w:hanging="27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jc w:val="both"/>
        <w:ind w:right="140" w:firstLine="921"/>
        <w:spacing w:after="0" w:line="259" w:lineRule="auto"/>
        <w:tabs>
          <w:tab w:leader="none" w:pos="11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United States of America and the State of New York, both substantive and remedial, without regard to New York conflicts of law principles. Any judicial proceeding brought under this Agreement or any dispute arising out of this Agreement or any matter related hereto shall be brought in the courts of the State of New York, New York County, or in the United States District Court for the Southern District of New York.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 w:name="page16"/>
    <w:bookmarkEnd w:id="15"/>
    <w:p>
      <w:pPr>
        <w:ind w:left="-100" w:firstLine="921"/>
        <w:spacing w:after="0" w:line="272" w:lineRule="auto"/>
        <w:tabs>
          <w:tab w:leader="none" w:pos="1068"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TapImmune Inc., 50 North Laura Street, Suite 2500, Jacksonville, FL 32202 Attn: Mr. Glynn Wilson, Ph.D., e-mail: gwilson@tapimmune.com; with a copy to (which shall not constitute notice) Shumaker, Loop &amp; Kendrick, LLP, 101 East Kennedy Blvd., Ste 2800, Tampa, FL 33602, Attn: Mark A. Catchur, Esq., e-Mail: mcatchur@slk-law.com, and (b) if to the Warrantholder, at such address or addresses (including copies to counsel) as may have been furnished by the Warrantholder to the Company in writing.</w:t>
      </w:r>
    </w:p>
    <w:p>
      <w:pPr>
        <w:spacing w:after="0" w:line="177" w:lineRule="exact"/>
        <w:rPr>
          <w:rFonts w:ascii="Arial" w:cs="Arial" w:eastAsia="Arial" w:hAnsi="Arial"/>
          <w:sz w:val="17"/>
          <w:szCs w:val="17"/>
          <w:color w:val="auto"/>
        </w:rPr>
      </w:pPr>
    </w:p>
    <w:p>
      <w:pPr>
        <w:ind w:left="1060" w:hanging="239"/>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invalidity or unenforceability of any provision hereof shall in no way affect the validity or enforceability of any other provisions.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40" w:top="274"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Common Stock Purchase Warrant is issued effective as of the date first set forth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Name: Mr. Glynn Wilson, Ph.D</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7"/>
          <w:szCs w:val="17"/>
          <w:color w:val="auto"/>
        </w:rPr>
        <w:t>Title:</w:t>
        <w:tab/>
        <w:t>Chief Executive Officer</w:t>
      </w:r>
    </w:p>
    <w:p>
      <w:pPr>
        <w:spacing w:after="0" w:line="222" w:lineRule="exact"/>
        <w:rPr>
          <w:sz w:val="20"/>
          <w:szCs w:val="20"/>
          <w:color w:val="auto"/>
        </w:rPr>
      </w:pPr>
    </w:p>
    <w:p>
      <w:pPr>
        <w:ind w:left="3940"/>
        <w:spacing w:after="0"/>
        <w:tabs>
          <w:tab w:leader="none" w:pos="650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No. [</w:t>
      </w:r>
      <w:r>
        <w:rPr>
          <w:rFonts w:ascii="Arial" w:cs="Arial" w:eastAsia="Arial" w:hAnsi="Arial"/>
          <w:sz w:val="18"/>
          <w:szCs w:val="18"/>
          <w:color w:val="auto"/>
        </w:rPr>
        <w:tab/>
        <w:t>]</w:t>
      </w:r>
    </w:p>
    <w:p>
      <w:pPr>
        <w:sectPr>
          <w:pgSz w:w="11900" w:h="16838" w:orient="portrait"/>
          <w:cols w:equalWidth="0" w:num="1">
            <w:col w:w="9759"/>
          </w:cols>
          <w:pgMar w:left="700" w:top="274" w:right="1440" w:bottom="1440" w:gutter="0" w:footer="0" w:header="0"/>
        </w:sectPr>
      </w:pPr>
    </w:p>
    <w:bookmarkStart w:id="17" w:name="page18"/>
    <w:bookmarkEnd w:id="17"/>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NOTICE OF EXERCISE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be signed only upon exercise of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TapImmune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the Warrantholder of the attached Warrant, hereby irrevocably elects to exercise the purchase right represented by such Warrant for,</w:t>
      </w:r>
    </w:p>
    <w:p>
      <w:pPr>
        <w:spacing w:after="0" w:line="46" w:lineRule="exact"/>
        <w:rPr>
          <w:sz w:val="20"/>
          <w:szCs w:val="20"/>
          <w:color w:val="auto"/>
        </w:rPr>
      </w:pPr>
    </w:p>
    <w:p>
      <w:pPr>
        <w:spacing w:after="0"/>
        <w:tabs>
          <w:tab w:leader="none" w:pos="2960" w:val="left"/>
          <w:tab w:leader="none" w:pos="3740" w:val="left"/>
        </w:tabs>
        <w:rPr>
          <w:sz w:val="20"/>
          <w:szCs w:val="20"/>
          <w:color w:val="auto"/>
        </w:rPr>
      </w:pPr>
      <w:r>
        <w:rPr>
          <w:rFonts w:ascii="Arial" w:cs="Arial" w:eastAsia="Arial" w:hAnsi="Arial"/>
          <w:sz w:val="18"/>
          <w:szCs w:val="18"/>
          <w:color w:val="auto"/>
        </w:rPr>
        <w:t>and to purchase thereunder,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shares of Common Stock of TapImmune Inc. and (choose one)</w:t>
      </w:r>
    </w:p>
    <w:p>
      <w:pPr>
        <w:sectPr>
          <w:pgSz w:w="11900" w:h="16838" w:orient="portrait"/>
          <w:cols w:equalWidth="0" w:num="1">
            <w:col w:w="11280"/>
          </w:cols>
          <w:pgMar w:left="240" w:top="270" w:right="379" w:bottom="1440" w:gutter="0" w:footer="0" w:header="0"/>
        </w:sectPr>
      </w:pP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herewith makes payment of</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Dollars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thereof</w:t>
      </w:r>
    </w:p>
    <w:p>
      <w:pPr>
        <w:spacing w:after="0" w:line="200" w:lineRule="exact"/>
        <w:rPr>
          <w:sz w:val="20"/>
          <w:szCs w:val="20"/>
          <w:color w:val="auto"/>
        </w:rPr>
      </w:pPr>
    </w:p>
    <w:p>
      <w:pPr>
        <w:sectPr>
          <w:pgSz w:w="11900" w:h="16838" w:orient="portrait"/>
          <w:cols w:equalWidth="0" w:num="3">
            <w:col w:w="3400" w:space="460"/>
            <w:col w:w="720" w:space="360"/>
            <w:col w:w="6340"/>
          </w:cols>
          <w:pgMar w:left="240" w:top="270" w:right="37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280"/>
          </w:cols>
          <w:pgMar w:left="240" w:top="270" w:right="379" w:bottom="1440" w:gutter="0" w:footer="0" w:header="0"/>
          <w:type w:val="continuous"/>
        </w:sectPr>
      </w:pPr>
    </w:p>
    <w:p>
      <w:pPr>
        <w:spacing w:after="0" w:line="23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elects to Net Exercise the Warrant pursuant to </w:t>
      </w:r>
      <w:r>
        <w:rPr>
          <w:rFonts w:ascii="Arial" w:cs="Arial" w:eastAsia="Arial" w:hAnsi="Arial"/>
          <w:sz w:val="18"/>
          <w:szCs w:val="18"/>
          <w:u w:val="single" w:color="auto"/>
          <w:color w:val="auto"/>
        </w:rPr>
        <w:t>Section 1(b)(2)</w:t>
      </w:r>
      <w:r>
        <w:rPr>
          <w:rFonts w:ascii="Arial" w:cs="Arial" w:eastAsia="Arial" w:hAnsi="Arial"/>
          <w:sz w:val="18"/>
          <w:szCs w:val="18"/>
          <w:color w:val="auto"/>
        </w:rPr>
        <w:t xml:space="preserve">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requests that the certificates or book entry position evidencing the shares to be acquired pursuant to such exercise be issued in the</w:t>
      </w:r>
    </w:p>
    <w:p>
      <w:pPr>
        <w:spacing w:after="0" w:line="46" w:lineRule="exact"/>
        <w:rPr>
          <w:sz w:val="20"/>
          <w:szCs w:val="20"/>
          <w:color w:val="auto"/>
        </w:rPr>
      </w:pPr>
    </w:p>
    <w:p>
      <w:pPr>
        <w:spacing w:after="0"/>
        <w:tabs>
          <w:tab w:leader="none" w:pos="2760" w:val="left"/>
          <w:tab w:leader="none" w:pos="5920" w:val="left"/>
        </w:tabs>
        <w:rPr>
          <w:sz w:val="20"/>
          <w:szCs w:val="20"/>
          <w:color w:val="auto"/>
        </w:rPr>
      </w:pPr>
      <w:r>
        <w:rPr>
          <w:rFonts w:ascii="Arial" w:cs="Arial" w:eastAsia="Arial" w:hAnsi="Arial"/>
          <w:sz w:val="18"/>
          <w:szCs w:val="18"/>
          <w:color w:val="auto"/>
        </w:rPr>
        <w:t>name of, and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must conform in all respects to name of the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Warrantholder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5715</wp:posOffset>
            </wp:positionV>
            <wp:extent cx="2400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160020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314325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ASSIGNMENT FORM</w:t>
      </w:r>
    </w:p>
    <w:p>
      <w:pPr>
        <w:spacing w:after="0" w:line="225" w:lineRule="exact"/>
        <w:rPr>
          <w:sz w:val="20"/>
          <w:szCs w:val="20"/>
          <w:color w:val="auto"/>
        </w:rPr>
      </w:pPr>
    </w:p>
    <w:p>
      <w:pPr>
        <w:ind w:left="460"/>
        <w:spacing w:after="0"/>
        <w:tabs>
          <w:tab w:leader="none" w:pos="3400" w:val="left"/>
        </w:tabs>
        <w:rPr>
          <w:sz w:val="20"/>
          <w:szCs w:val="20"/>
          <w:color w:val="auto"/>
        </w:rPr>
      </w:pPr>
      <w:r>
        <w:rPr>
          <w:rFonts w:ascii="Arial" w:cs="Arial" w:eastAsia="Arial" w:hAnsi="Arial"/>
          <w:sz w:val="18"/>
          <w:szCs w:val="18"/>
          <w:color w:val="auto"/>
        </w:rPr>
        <w:t>FOR VALUE RECEIVED, [</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hereby sells, assigns and transfers all of the rights of the undersigned Assignor under the</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attached Warrant with respect to the number of shares of common stock of TapImmune Inc. (the “</w:t>
      </w:r>
      <w:r>
        <w:rPr>
          <w:rFonts w:ascii="Arial" w:cs="Arial" w:eastAsia="Arial" w:hAnsi="Arial"/>
          <w:sz w:val="18"/>
          <w:szCs w:val="18"/>
          <w:u w:val="single" w:color="auto"/>
          <w:color w:val="auto"/>
        </w:rPr>
        <w:t>Company</w:t>
      </w:r>
      <w:r>
        <w:rPr>
          <w:rFonts w:ascii="Arial" w:cs="Arial" w:eastAsia="Arial" w:hAnsi="Arial"/>
          <w:sz w:val="18"/>
          <w:szCs w:val="18"/>
          <w:color w:val="auto"/>
        </w:rPr>
        <w:t>”) covered thereby set forth below, to the following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and, in connection with such transfer, represents and warrants to the Company that the transfer is in compliance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Warrant and applicable federal and state securities laws: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NAME OF ASSIGNEE</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ind w:left="740"/>
              <w:spacing w:after="0"/>
              <w:rPr>
                <w:sz w:val="20"/>
                <w:szCs w:val="20"/>
                <w:color w:val="auto"/>
              </w:rPr>
            </w:pPr>
            <w:r>
              <w:rPr>
                <w:rFonts w:ascii="Arial" w:cs="Arial" w:eastAsia="Arial" w:hAnsi="Arial"/>
                <w:sz w:val="18"/>
                <w:szCs w:val="18"/>
                <w:color w:val="auto"/>
              </w:rPr>
              <w:t>ADDRESS/FAX NUMBER</w:t>
            </w:r>
          </w:p>
        </w:tc>
      </w:tr>
      <w:tr>
        <w:trPr>
          <w:trHeight w:val="432"/>
        </w:trPr>
        <w:tc>
          <w:tcPr>
            <w:tcW w:w="158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3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74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gridSpan w:val="2"/>
          </w:tcPr>
          <w:p>
            <w:pPr>
              <w:ind w:left="680"/>
              <w:spacing w:after="0"/>
              <w:rPr>
                <w:sz w:val="20"/>
                <w:szCs w:val="20"/>
                <w:color w:val="auto"/>
              </w:rPr>
            </w:pPr>
            <w:r>
              <w:rPr>
                <w:rFonts w:ascii="Arial" w:cs="Arial" w:eastAsia="Arial" w:hAnsi="Arial"/>
                <w:sz w:val="18"/>
                <w:szCs w:val="18"/>
                <w:color w:val="auto"/>
              </w:rPr>
              <w:t>Signature:</w:t>
            </w:r>
          </w:p>
        </w:tc>
        <w:tc>
          <w:tcPr>
            <w:tcW w:w="4420" w:type="dxa"/>
            <w:vAlign w:val="bottom"/>
            <w:tcBorders>
              <w:bottom w:val="single" w:sz="8" w:color="auto"/>
            </w:tcBorders>
          </w:tcPr>
          <w:p>
            <w:pPr>
              <w:spacing w:after="0"/>
              <w:rPr>
                <w:sz w:val="24"/>
                <w:szCs w:val="24"/>
                <w:color w:val="auto"/>
              </w:rPr>
            </w:pPr>
          </w:p>
        </w:tc>
      </w:tr>
      <w:tr>
        <w:trPr>
          <w:trHeight w:val="439"/>
        </w:trPr>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ind w:left="640"/>
              <w:spacing w:after="0"/>
              <w:rPr>
                <w:sz w:val="20"/>
                <w:szCs w:val="20"/>
                <w:color w:val="auto"/>
              </w:rPr>
            </w:pPr>
            <w:r>
              <w:rPr>
                <w:rFonts w:ascii="Arial" w:cs="Arial" w:eastAsia="Arial" w:hAnsi="Arial"/>
                <w:sz w:val="18"/>
                <w:szCs w:val="18"/>
                <w:color w:val="auto"/>
              </w:rPr>
              <w:t>Witness:</w:t>
            </w:r>
          </w:p>
        </w:tc>
        <w:tc>
          <w:tcPr>
            <w:tcW w:w="4540" w:type="dxa"/>
            <w:vAlign w:val="bottom"/>
            <w:tcBorders>
              <w:bottom w:val="single" w:sz="8" w:color="auto"/>
            </w:tcBorders>
            <w:gridSpan w:val="2"/>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ASSIGNEE ACKNOWLEDGMENT</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14605</wp:posOffset>
            </wp:positionV>
            <wp:extent cx="22040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14605</wp:posOffset>
            </wp:positionV>
            <wp:extent cx="25812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WARRANT TO PURCHASE COMMON STOCK</w:t>
      </w:r>
    </w:p>
    <w:p>
      <w:pPr>
        <w:spacing w:after="0" w:line="229"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Series A Warrant No.: 1-12-15 – [</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Taplmmune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November 28, 2015</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but not after 11:59 p.m., New York time, on the Expiration Date (as defined below), [ ]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19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7" w:lineRule="auto"/>
        <w:tabs>
          <w:tab w:leader="none" w:pos="701"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Mechanics of Exercise</w:t>
      </w:r>
      <w:r>
        <w:rPr>
          <w:rFonts w:ascii="Arial" w:cs="Arial" w:eastAsia="Arial" w:hAnsi="Arial"/>
          <w:sz w:val="17"/>
          <w:szCs w:val="17"/>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Exercise Notice</w:t>
      </w:r>
      <w:r>
        <w:rPr>
          <w:rFonts w:ascii="Arial" w:cs="Arial" w:eastAsia="Arial" w:hAnsi="Arial"/>
          <w:sz w:val="17"/>
          <w:szCs w:val="17"/>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7"/>
          <w:szCs w:val="17"/>
          <w:b w:val="1"/>
          <w:bCs w:val="1"/>
          <w:color w:val="auto"/>
        </w:rPr>
        <w:t>Aggregate Exercise Price</w:t>
      </w:r>
      <w:r>
        <w:rPr>
          <w:rFonts w:ascii="Arial" w:cs="Arial" w:eastAsia="Arial" w:hAnsi="Arial"/>
          <w:sz w:val="17"/>
          <w:szCs w:val="17"/>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to the Holder and the Company’s transfer agent (the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 On or before the third (3rd ) Trading Day following the date on which the Company has received such Exercise Notice, the Company shall (X)</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the Transfer Agent is participating in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w:t>
      </w:r>
    </w:p>
    <w:p>
      <w:pPr>
        <w:sectPr>
          <w:pgSz w:w="11900" w:h="16838" w:orient="portrait"/>
          <w:cols w:equalWidth="0" w:num="1">
            <w:col w:w="11420"/>
          </w:cols>
          <w:pgMar w:left="240" w:top="121" w:right="239" w:bottom="1440" w:gutter="0" w:footer="0" w:header="0"/>
        </w:sectPr>
      </w:pPr>
    </w:p>
    <w:bookmarkStart w:id="20" w:name="page21"/>
    <w:bookmarkEnd w:id="20"/>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74" w:lineRule="exact"/>
        <w:rPr>
          <w:sz w:val="20"/>
          <w:szCs w:val="20"/>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$0.10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1" w:name="page22"/>
    <w:bookmarkEnd w:id="2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foregoing formula: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420"/>
        <w:spacing w:after="0" w:line="271" w:lineRule="auto"/>
        <w:rPr>
          <w:sz w:val="20"/>
          <w:szCs w:val="20"/>
          <w:color w:val="auto"/>
        </w:rPr>
      </w:pPr>
      <w:r>
        <w:rPr>
          <w:rFonts w:ascii="Arial" w:cs="Arial" w:eastAsia="Arial" w:hAnsi="Arial"/>
          <w:sz w:val="17"/>
          <w:szCs w:val="17"/>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40" w:right="160" w:firstLine="464"/>
        <w:spacing w:after="0" w:line="312" w:lineRule="auto"/>
        <w:tabs>
          <w:tab w:leader="none" w:pos="66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40" w:right="40" w:firstLine="464"/>
        <w:spacing w:after="0" w:line="284" w:lineRule="auto"/>
        <w:tabs>
          <w:tab w:leader="none" w:pos="64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22" w:name="page23"/>
    <w:bookmarkEnd w:id="22"/>
    <w:p>
      <w:pPr>
        <w:ind w:left="-8" w:right="60" w:firstLine="464"/>
        <w:spacing w:after="0" w:line="286" w:lineRule="auto"/>
        <w:tabs>
          <w:tab w:leader="none" w:pos="703"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71" w:lineRule="exact"/>
        <w:rPr>
          <w:rFonts w:ascii="Arial" w:cs="Arial" w:eastAsia="Arial" w:hAnsi="Arial"/>
          <w:sz w:val="16"/>
          <w:szCs w:val="16"/>
          <w:color w:val="auto"/>
        </w:rPr>
      </w:pPr>
    </w:p>
    <w:p>
      <w:pPr>
        <w:ind w:left="-8" w:right="140" w:firstLine="8"/>
        <w:spacing w:after="0" w:line="277" w:lineRule="auto"/>
        <w:tabs>
          <w:tab w:leader="none" w:pos="1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23" w:name="page24"/>
    <w:bookmarkEnd w:id="23"/>
    <w:p>
      <w:pPr>
        <w:ind w:left="-8" w:right="120" w:firstLine="464"/>
        <w:spacing w:after="0" w:line="308" w:lineRule="auto"/>
        <w:tabs>
          <w:tab w:leader="none" w:pos="693"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20" w:firstLine="8"/>
        <w:spacing w:after="0" w:line="269" w:lineRule="auto"/>
        <w:tabs>
          <w:tab w:leader="none" w:pos="17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72" w:hanging="172"/>
        <w:spacing w:after="0"/>
        <w:tabs>
          <w:tab w:leader="none" w:pos="17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p>
    <w:p>
      <w:pPr>
        <w:spacing w:after="0" w:line="225"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69" w:lineRule="exact"/>
        <w:rPr>
          <w:rFonts w:ascii="Arial" w:cs="Arial" w:eastAsia="Arial" w:hAnsi="Arial"/>
          <w:sz w:val="16"/>
          <w:szCs w:val="16"/>
          <w:color w:val="auto"/>
        </w:rPr>
      </w:pPr>
    </w:p>
    <w:p>
      <w:pPr>
        <w:ind w:left="-8" w:right="40" w:firstLine="464"/>
        <w:spacing w:after="0" w:line="288" w:lineRule="auto"/>
        <w:tabs>
          <w:tab w:leader="none" w:pos="703"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24" w:name="page25"/>
    <w:bookmarkEnd w:id="2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2" w:lineRule="exact"/>
        <w:rPr>
          <w:sz w:val="20"/>
          <w:szCs w:val="20"/>
          <w:color w:val="auto"/>
        </w:rPr>
      </w:pPr>
    </w:p>
    <w:p>
      <w:pPr>
        <w:ind w:right="120" w:firstLine="464"/>
        <w:spacing w:after="0" w:line="257" w:lineRule="auto"/>
        <w:tabs>
          <w:tab w:leader="none" w:pos="70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00" w:firstLine="8"/>
        <w:spacing w:after="0" w:line="287"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72" w:lineRule="exact"/>
        <w:rPr>
          <w:rFonts w:ascii="Arial" w:cs="Arial" w:eastAsia="Arial" w:hAnsi="Arial"/>
          <w:sz w:val="16"/>
          <w:szCs w:val="16"/>
          <w:color w:val="auto"/>
        </w:rPr>
      </w:pPr>
    </w:p>
    <w:p>
      <w:pPr>
        <w:ind w:right="48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WARRANT HOLDER NOT DEEMED A SHAREHOLDER</w:t>
      </w:r>
      <w:r>
        <w:rPr>
          <w:rFonts w:ascii="Arial" w:cs="Arial" w:eastAsia="Arial" w:hAnsi="Arial"/>
          <w:sz w:val="18"/>
          <w:szCs w:val="18"/>
          <w:color w:val="auto"/>
        </w:rPr>
        <w:t>. Except as otherwise specifically provided herein, the Holder, solely in its capacity as a holder of this Warrant, shall not be entitled to vote or receive dividends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5" w:name="page26"/>
    <w:bookmarkEnd w:id="2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167"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64"/>
        <w:spacing w:after="0" w:line="255" w:lineRule="auto"/>
        <w:tabs>
          <w:tab w:leader="none" w:pos="701"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right="140" w:firstLine="464"/>
        <w:spacing w:after="0" w:line="276" w:lineRule="auto"/>
        <w:tabs>
          <w:tab w:leader="none" w:pos="711"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right="60" w:firstLine="464"/>
        <w:spacing w:after="0" w:line="279" w:lineRule="auto"/>
        <w:tabs>
          <w:tab w:leader="none" w:pos="701"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100" w:firstLine="464"/>
        <w:spacing w:after="0" w:line="273" w:lineRule="auto"/>
        <w:tabs>
          <w:tab w:leader="none" w:pos="711"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right="20" w:firstLine="8"/>
        <w:spacing w:after="0" w:line="273"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6" w:name="page27"/>
    <w:bookmarkEnd w:id="26"/>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78" w:lineRule="exact"/>
        <w:rPr>
          <w:sz w:val="20"/>
          <w:szCs w:val="20"/>
          <w:color w:val="auto"/>
        </w:rPr>
      </w:pPr>
    </w:p>
    <w:p>
      <w:pPr>
        <w:ind w:right="60" w:firstLine="8"/>
        <w:spacing w:after="0" w:line="25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40" w:firstLine="8"/>
        <w:spacing w:after="0" w:line="271" w:lineRule="auto"/>
        <w:tabs>
          <w:tab w:leader="none" w:pos="27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8"/>
        <w:spacing w:after="0" w:line="283" w:lineRule="auto"/>
        <w:tabs>
          <w:tab w:leader="none" w:pos="26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w:t>
      </w:r>
    </w:p>
    <w:p>
      <w:pPr>
        <w:spacing w:after="0" w:line="6"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REQUEST, A JURY TRIAL FOR THE ADJUDICATION OF ANY DISPUTE HEREUNDER OR IN CONNECTION WITH OR ARISING OUT OF THIS WARRANT OR ANY TRANSACTION CONTEMPLATED HEREBY.</w:t>
      </w:r>
    </w:p>
    <w:p>
      <w:pPr>
        <w:spacing w:after="0" w:line="183" w:lineRule="exact"/>
        <w:rPr>
          <w:rFonts w:ascii="Arial" w:cs="Arial" w:eastAsia="Arial" w:hAnsi="Arial"/>
          <w:sz w:val="16"/>
          <w:szCs w:val="16"/>
          <w:color w:val="auto"/>
        </w:rPr>
      </w:pPr>
    </w:p>
    <w:p>
      <w:pPr>
        <w:jc w:val="both"/>
        <w:ind w:right="180" w:firstLine="8"/>
        <w:spacing w:after="0" w:line="302" w:lineRule="auto"/>
        <w:tabs>
          <w:tab w:leader="none" w:pos="27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80" w:firstLine="8"/>
        <w:spacing w:after="0" w:line="259"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7" w:name="page28"/>
    <w:bookmarkEnd w:id="2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sz w:val="20"/>
          <w:szCs w:val="20"/>
          <w:color w:val="auto"/>
        </w:rPr>
      </w:pPr>
    </w:p>
    <w:p>
      <w:pPr>
        <w:ind w:right="40" w:firstLine="8"/>
        <w:spacing w:after="0" w:line="268" w:lineRule="auto"/>
        <w:tabs>
          <w:tab w:leader="none" w:pos="27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40" w:firstLine="464"/>
        <w:spacing w:after="0" w:line="290" w:lineRule="auto"/>
        <w:tabs>
          <w:tab w:leader="none" w:pos="701"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8" w:name="page29"/>
    <w:bookmarkEnd w:id="2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6" w:lineRule="exact"/>
        <w:rPr>
          <w:sz w:val="20"/>
          <w:szCs w:val="20"/>
          <w:color w:val="auto"/>
        </w:rPr>
      </w:pPr>
    </w:p>
    <w:p>
      <w:pPr>
        <w:ind w:left="720" w:hanging="256"/>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right="620" w:firstLine="464"/>
        <w:spacing w:after="0" w:line="347" w:lineRule="auto"/>
        <w:tabs>
          <w:tab w:leader="none" w:pos="681"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right="420" w:firstLine="464"/>
        <w:spacing w:after="0" w:line="282" w:lineRule="auto"/>
        <w:tabs>
          <w:tab w:leader="none" w:pos="7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right="60" w:firstLine="464"/>
        <w:spacing w:after="0" w:line="282" w:lineRule="auto"/>
        <w:tabs>
          <w:tab w:leader="none" w:pos="7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61" w:lineRule="exact"/>
        <w:rPr>
          <w:rFonts w:ascii="Arial" w:cs="Arial" w:eastAsia="Arial" w:hAnsi="Arial"/>
          <w:sz w:val="18"/>
          <w:szCs w:val="18"/>
          <w:color w:val="auto"/>
        </w:rPr>
      </w:pPr>
    </w:p>
    <w:p>
      <w:pPr>
        <w:ind w:left="680" w:hanging="216"/>
        <w:spacing w:after="0"/>
        <w:tabs>
          <w:tab w:leader="none" w:pos="6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right="100" w:firstLine="8"/>
        <w:spacing w:after="0" w:line="267" w:lineRule="auto"/>
        <w:tabs>
          <w:tab w:leader="none" w:pos="2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9" w:name="page30"/>
    <w:bookmarkEnd w:id="29"/>
    <w:p>
      <w:pPr>
        <w:ind w:left="620" w:hanging="216"/>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60" w:firstLine="464"/>
        <w:spacing w:after="0" w:line="266" w:lineRule="auto"/>
        <w:tabs>
          <w:tab w:leader="none" w:pos="7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60" w:right="20" w:firstLine="464"/>
        <w:spacing w:after="0" w:line="282" w:lineRule="auto"/>
        <w:tabs>
          <w:tab w:leader="none" w:pos="6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660" w:hanging="25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60" w:right="200" w:firstLine="464"/>
        <w:spacing w:after="0" w:line="347" w:lineRule="auto"/>
        <w:tabs>
          <w:tab w:leader="none" w:pos="651"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left="-60" w:right="100" w:firstLine="464"/>
        <w:spacing w:after="0" w:line="292" w:lineRule="auto"/>
        <w:tabs>
          <w:tab w:leader="none" w:pos="651"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left="-60" w:right="60" w:firstLine="464"/>
        <w:spacing w:after="0" w:line="314" w:lineRule="auto"/>
        <w:tabs>
          <w:tab w:leader="none" w:pos="621"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300" w:top="270" w:right="299" w:bottom="1440" w:gutter="0" w:footer="0" w:header="0"/>
        </w:sectPr>
      </w:pPr>
    </w:p>
    <w:bookmarkStart w:id="30" w:name="page31"/>
    <w:bookmarkEnd w:id="30"/>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270" w:right="6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undersigned holder hereby exercises the right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A Warrant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240"/>
        <w:spacing w:after="0" w:line="313" w:lineRule="auto"/>
        <w:rPr>
          <w:sz w:val="20"/>
          <w:szCs w:val="20"/>
          <w:color w:val="auto"/>
        </w:rPr>
      </w:pPr>
      <w:r>
        <w:rPr>
          <w:rFonts w:ascii="Arial" w:cs="Arial" w:eastAsia="Arial" w:hAnsi="Arial"/>
          <w:sz w:val="17"/>
          <w:szCs w:val="17"/>
          <w:color w:val="auto"/>
        </w:rPr>
        <w:t>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TapImmune Inc., a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w:t>
      </w:r>
    </w:p>
    <w:p>
      <w:pPr>
        <w:spacing w:after="0" w:line="347" w:lineRule="exact"/>
        <w:rPr>
          <w:sz w:val="20"/>
          <w:szCs w:val="20"/>
          <w:color w:val="auto"/>
        </w:rPr>
      </w:pPr>
    </w:p>
    <w:p>
      <w:pPr>
        <w:sectPr>
          <w:pgSz w:w="11900" w:h="16838" w:orient="portrait"/>
          <w:cols w:equalWidth="0" w:num="2">
            <w:col w:w="5400" w:space="340"/>
            <w:col w:w="5680"/>
          </w:cols>
          <w:pgMar w:left="240" w:top="270" w:right="23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2960" w:type="dxa"/>
            <w:vAlign w:val="bottom"/>
            <w:gridSpan w:val="3"/>
          </w:tcPr>
          <w:p>
            <w:pPr>
              <w:spacing w:after="0"/>
              <w:rPr>
                <w:sz w:val="20"/>
                <w:szCs w:val="20"/>
                <w:color w:val="auto"/>
              </w:rPr>
            </w:pPr>
            <w:r>
              <w:rPr>
                <w:rFonts w:ascii="Arial" w:cs="Arial" w:eastAsia="Arial" w:hAnsi="Arial"/>
                <w:sz w:val="18"/>
                <w:szCs w:val="18"/>
                <w:color w:val="auto"/>
              </w:rPr>
              <w:t>a “Cash Exercise” with respect to</w:t>
            </w:r>
          </w:p>
        </w:tc>
        <w:tc>
          <w:tcPr>
            <w:tcW w:w="1920" w:type="dxa"/>
            <w:vAlign w:val="bottom"/>
          </w:tcPr>
          <w:p>
            <w:pPr>
              <w:jc w:val="center"/>
              <w:ind w:left="170"/>
              <w:spacing w:after="0"/>
              <w:rPr>
                <w:sz w:val="20"/>
                <w:szCs w:val="20"/>
                <w:color w:val="auto"/>
              </w:rPr>
            </w:pPr>
            <w:r>
              <w:rPr>
                <w:rFonts w:ascii="Arial" w:cs="Arial" w:eastAsia="Arial" w:hAnsi="Arial"/>
                <w:sz w:val="18"/>
                <w:szCs w:val="18"/>
                <w:color w:val="auto"/>
                <w:w w:val="88"/>
              </w:rPr>
              <w:t>Warrant Shares; and/or</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3"/>
        </w:trPr>
        <w:tc>
          <w:tcPr>
            <w:tcW w:w="2960" w:type="dxa"/>
            <w:vAlign w:val="bottom"/>
            <w:gridSpan w:val="3"/>
          </w:tcPr>
          <w:p>
            <w:pPr>
              <w:spacing w:after="0"/>
              <w:rPr>
                <w:sz w:val="20"/>
                <w:szCs w:val="20"/>
                <w:color w:val="auto"/>
              </w:rPr>
            </w:pPr>
            <w:r>
              <w:rPr>
                <w:rFonts w:ascii="Arial" w:cs="Arial" w:eastAsia="Arial" w:hAnsi="Arial"/>
                <w:sz w:val="18"/>
                <w:szCs w:val="18"/>
                <w:color w:val="auto"/>
                <w:w w:val="99"/>
              </w:rPr>
              <w:t>a “Cashless Exercise” with respect to</w:t>
            </w:r>
          </w:p>
        </w:tc>
        <w:tc>
          <w:tcPr>
            <w:tcW w:w="1920" w:type="dxa"/>
            <w:vAlign w:val="bottom"/>
          </w:tcPr>
          <w:p>
            <w:pPr>
              <w:jc w:val="center"/>
              <w:ind w:left="210"/>
              <w:spacing w:after="0"/>
              <w:rPr>
                <w:sz w:val="20"/>
                <w:szCs w:val="20"/>
                <w:color w:val="auto"/>
              </w:rPr>
            </w:pPr>
            <w:r>
              <w:rPr>
                <w:rFonts w:ascii="Arial" w:cs="Arial" w:eastAsia="Arial" w:hAnsi="Arial"/>
                <w:sz w:val="18"/>
                <w:szCs w:val="18"/>
                <w:color w:val="auto"/>
                <w:w w:val="86"/>
              </w:rPr>
              <w:t>Warrant Shares.</w:t>
            </w:r>
          </w:p>
        </w:tc>
      </w:tr>
    </w:tbl>
    <w:p>
      <w:pPr>
        <w:spacing w:after="0" w:line="202"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right="100" w:firstLine="464"/>
        <w:spacing w:after="0" w:line="342" w:lineRule="auto"/>
        <w:tabs>
          <w:tab w:leader="none" w:pos="63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21697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21697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21697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14605</wp:posOffset>
            </wp:positionV>
            <wp:extent cx="17754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25984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-1905</wp:posOffset>
            </wp:positionV>
            <wp:extent cx="4800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5715</wp:posOffset>
            </wp:positionV>
            <wp:extent cx="4800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type w:val="continuous"/>
        </w:sectPr>
      </w:pPr>
    </w:p>
    <w:bookmarkStart w:id="32" w:name="page33"/>
    <w:bookmarkEnd w:id="32"/>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697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WARRANT TO PURCHASE COMMON STOCK</w:t>
      </w:r>
    </w:p>
    <w:p>
      <w:pPr>
        <w:spacing w:after="0" w:line="229"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Series C Warrant No.: 1-12-15 – [</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Taplmmune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but not after 11:59 p.m., New York time, on the Expiration Date (as defined below), [ ]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17.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19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4" w:lineRule="auto"/>
        <w:tabs>
          <w:tab w:leader="none" w:pos="701"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On or before the third (3rd ) Trading Day following the date on which the Company has received such Exercise Notice, the Company shall (X)</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w:t>
      </w:r>
    </w:p>
    <w:p>
      <w:pPr>
        <w:sectPr>
          <w:pgSz w:w="11900" w:h="16838" w:orient="portrait"/>
          <w:cols w:equalWidth="0" w:num="1">
            <w:col w:w="11420"/>
          </w:cols>
          <w:pgMar w:left="240" w:top="121" w:right="239" w:bottom="1440" w:gutter="0" w:footer="0" w:header="0"/>
        </w:sectPr>
      </w:pPr>
    </w:p>
    <w:bookmarkStart w:id="34" w:name="page35"/>
    <w:bookmarkEnd w:id="3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88" w:lineRule="exact"/>
        <w:rPr>
          <w:sz w:val="20"/>
          <w:szCs w:val="20"/>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$0.50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940"/>
        <w:spacing w:after="0"/>
        <w:tabs>
          <w:tab w:leader="none" w:pos="2180" w:val="left"/>
        </w:tabs>
        <w:rPr>
          <w:sz w:val="20"/>
          <w:szCs w:val="20"/>
          <w:color w:val="auto"/>
        </w:rPr>
      </w:pPr>
      <w:r>
        <w:rPr>
          <w:rFonts w:ascii="Arial" w:cs="Arial" w:eastAsia="Arial" w:hAnsi="Arial"/>
          <w:sz w:val="18"/>
          <w:szCs w:val="18"/>
          <w:b w:val="1"/>
          <w:bCs w:val="1"/>
          <w:color w:val="auto"/>
        </w:rPr>
        <w:t>Net Number =</w:t>
      </w:r>
      <w:r>
        <w:rPr>
          <w:sz w:val="20"/>
          <w:szCs w:val="20"/>
          <w:color w:val="auto"/>
        </w:rPr>
        <w:tab/>
      </w:r>
      <w:r>
        <w:rPr>
          <w:rFonts w:ascii="Arial" w:cs="Arial" w:eastAsia="Arial" w:hAnsi="Arial"/>
          <w:sz w:val="17"/>
          <w:szCs w:val="17"/>
          <w:u w:val="single" w:color="auto"/>
          <w:color w:val="auto"/>
        </w:rPr>
        <w:t>(A x B) - (A x 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5" w:name="page36"/>
    <w:bookmarkEnd w:id="3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foregoing formula: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right="140" w:firstLine="464"/>
        <w:spacing w:after="0" w:line="312" w:lineRule="auto"/>
        <w:tabs>
          <w:tab w:leader="none" w:pos="70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14.</w:t>
      </w:r>
    </w:p>
    <w:p>
      <w:pPr>
        <w:spacing w:after="0" w:line="146" w:lineRule="exact"/>
        <w:rPr>
          <w:rFonts w:ascii="Arial" w:cs="Arial" w:eastAsia="Arial" w:hAnsi="Arial"/>
          <w:sz w:val="16"/>
          <w:szCs w:val="16"/>
          <w:color w:val="auto"/>
        </w:rPr>
      </w:pPr>
    </w:p>
    <w:p>
      <w:pPr>
        <w:ind w:right="20" w:firstLine="464"/>
        <w:spacing w:after="0" w:line="284" w:lineRule="auto"/>
        <w:tabs>
          <w:tab w:leader="none" w:pos="68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36" w:name="page37"/>
    <w:bookmarkEnd w:id="36"/>
    <w:p>
      <w:pPr>
        <w:ind w:left="-8" w:right="60" w:firstLine="464"/>
        <w:spacing w:after="0" w:line="286" w:lineRule="auto"/>
        <w:tabs>
          <w:tab w:leader="none" w:pos="703"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71" w:lineRule="exact"/>
        <w:rPr>
          <w:rFonts w:ascii="Arial" w:cs="Arial" w:eastAsia="Arial" w:hAnsi="Arial"/>
          <w:sz w:val="16"/>
          <w:szCs w:val="16"/>
          <w:color w:val="auto"/>
        </w:rPr>
      </w:pPr>
    </w:p>
    <w:p>
      <w:pPr>
        <w:ind w:left="-8" w:right="140" w:firstLine="8"/>
        <w:spacing w:after="0" w:line="277" w:lineRule="auto"/>
        <w:tabs>
          <w:tab w:leader="none" w:pos="17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14 of this Warrant.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37" w:name="page38"/>
    <w:bookmarkEnd w:id="37"/>
    <w:p>
      <w:pPr>
        <w:ind w:left="-8" w:right="120" w:firstLine="464"/>
        <w:spacing w:after="0" w:line="308" w:lineRule="auto"/>
        <w:tabs>
          <w:tab w:leader="none" w:pos="693"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220" w:firstLine="464"/>
        <w:spacing w:after="0" w:line="277" w:lineRule="auto"/>
        <w:tabs>
          <w:tab w:leader="none" w:pos="69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adjustment in the Exercise Price of this Warrant shall simultaneously result in a pro-rata adjustment to the Mandatory Exercise Trading Price (as defined below).</w:t>
      </w:r>
    </w:p>
    <w:p>
      <w:pPr>
        <w:spacing w:after="0" w:line="170" w:lineRule="exact"/>
        <w:rPr>
          <w:rFonts w:ascii="Arial" w:cs="Arial" w:eastAsia="Arial" w:hAnsi="Arial"/>
          <w:sz w:val="18"/>
          <w:szCs w:val="18"/>
          <w:color w:val="auto"/>
        </w:rPr>
      </w:pPr>
    </w:p>
    <w:p>
      <w:pPr>
        <w:ind w:left="-8" w:right="20" w:firstLine="8"/>
        <w:spacing w:after="0" w:line="269" w:lineRule="auto"/>
        <w:tabs>
          <w:tab w:leader="none" w:pos="172"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72" w:hanging="172"/>
        <w:spacing w:after="0"/>
        <w:tabs>
          <w:tab w:leader="none" w:pos="1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69" w:lineRule="exact"/>
        <w:rPr>
          <w:rFonts w:ascii="Arial" w:cs="Arial" w:eastAsia="Arial" w:hAnsi="Arial"/>
          <w:sz w:val="16"/>
          <w:szCs w:val="16"/>
          <w:color w:val="auto"/>
        </w:rPr>
      </w:pPr>
    </w:p>
    <w:p>
      <w:pPr>
        <w:jc w:val="both"/>
        <w:ind w:left="-8" w:right="140" w:firstLine="464"/>
        <w:spacing w:after="0" w:line="254" w:lineRule="auto"/>
        <w:tabs>
          <w:tab w:leader="none" w:pos="703"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w:t>
      </w:r>
    </w:p>
    <w:p>
      <w:pPr>
        <w:spacing w:after="0" w:line="1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capital stock (but taking into account the relative value of the shares of Common Stock pursuant to such Fundamental Transaction and the value of such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of capital stock, such adjustments to the number of shares of capital stock and such exercise price being for the purpose of protecting the economic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this Warrant immediately prior to the consummation of such Fundamental Transaction) and (ii) the Successor Entity (including its Parent Entity) is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publicly traded corporation whose common stock is quoted on or listed for trading on an Eligible Market. Upon the consummation of each Fundamental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 the Successor Entity shall succeed to, and be substituted for (so that from and after the date of the applicable Fundamental Transaction,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this Warrant and the other Transaction Documents referring to the “Company” shall refer instead to the Successor Entity), and may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every right and power of the Company and shall assume all of the obligations of the Company under this Warrant and the other Transaction Documents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same effect as if such Successor Entity had been named as the Company herein. Upon consummation of each Fundamental Transaction, the Successor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 shall deliver to the Holder confirmation that there shall be issued upon exercise of this Warrant at any time after the consummation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Fundamental Transaction, in lieu of the shares of Common Stock (or other securities, cash, assets or other property (except such items still issuable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Sections 3 and4(a) above, which shall continue to be receivable thereafter)) issuable upon the exercise of this Warrant prior to the applicable Fundamental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Transaction, such shares of publicly traded common stock (or its equivalent) of the Successor Entity (including its Parent Entity) which the Holder would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have been entitled to receive upon the happening of the applicable Fundamental Transaction had this Warrant been exercised immediately prior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Fundamental Transaction (without regard to any limitations on the exercise of this Warrant), as adjusted in accordance with the provisions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In addition to and not in substitution for any other rights hereunder, prior to the consummation of each Fundamental Transaction pursuant to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of shares of Common Stock are entitled to receive securities or other assets with respect to or in exchange for shares of Common Stock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at any time after the consummation of the applicable Fundamental Transaction but prior to the Expiration Date, in lieu of the shares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(or other securities, cash, assets or other property (except such items still issuable under Sections 3 and4(a) above, which shall continue to be receivable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thereafter)) issuable upon the exercise of the Warrant prior to such Fundamental Transaction, such shares of stock, securities, cash, assets or any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whatsoever (including warrants or other purchase or subscription rights) which the Holder would have been entitled to receive upon the happening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Fundamental Transaction had this Warrant been exercised immediately prior to the applicable Fundamental Transaction (without regard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limitations on the exercise of this Warrant). Provision made pursuant to the preceding sentence shall be in a form and substance reasonably satisfactory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right="140" w:firstLine="464"/>
        <w:spacing w:after="0" w:line="257" w:lineRule="auto"/>
        <w:tabs>
          <w:tab w:leader="none" w:pos="701"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40" w:firstLine="8"/>
        <w:spacing w:after="0" w:line="287" w:lineRule="auto"/>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MANDATORY EXERCISE</w:t>
      </w:r>
      <w:r>
        <w:rPr>
          <w:rFonts w:ascii="Arial" w:cs="Arial" w:eastAsia="Arial" w:hAnsi="Arial"/>
          <w:sz w:val="16"/>
          <w:szCs w:val="16"/>
          <w:color w:val="auto"/>
        </w:rPr>
        <w:t>. If at any time from and after the Issuance Date (i) the VWAP of the Common Stock listed on the Principal Market equals or exceeds $1.00 (subject to appropriate adjustments for stock splits, stock dividends, recapitalizations, reorganizations, reclassifications, combinations, reverse stock splits or other similar transactions after the Issuance Date) for not less than ten (10) consecutive Trading Days (the “</w:t>
      </w:r>
      <w:r>
        <w:rPr>
          <w:rFonts w:ascii="Arial" w:cs="Arial" w:eastAsia="Arial" w:hAnsi="Arial"/>
          <w:sz w:val="16"/>
          <w:szCs w:val="16"/>
          <w:b w:val="1"/>
          <w:bCs w:val="1"/>
          <w:color w:val="auto"/>
        </w:rPr>
        <w:t>Mandatory Exercise Measuring</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and (ii) no Equity Conditions Failure (as defined below) has occurred (unless the Holder has waived such Equity Conditions Failure) as of such date</w:t>
      </w:r>
      <w:r>
        <w:rPr>
          <w:rFonts w:ascii="Arial" w:cs="Arial" w:eastAsia="Arial" w:hAnsi="Arial"/>
          <w:sz w:val="16"/>
          <w:szCs w:val="16"/>
          <w:b w:val="1"/>
          <w:bCs w:val="1"/>
          <w:color w:val="auto"/>
        </w:rPr>
        <w:t xml:space="preserve"> </w:t>
      </w:r>
      <w:r>
        <w:rPr>
          <w:rFonts w:ascii="Arial" w:cs="Arial" w:eastAsia="Arial" w:hAnsi="Arial"/>
          <w:sz w:val="16"/>
          <w:szCs w:val="16"/>
          <w:color w:val="auto"/>
        </w:rPr>
        <w:t>(clauses (i) and (ii), the “</w:t>
      </w:r>
      <w:r>
        <w:rPr>
          <w:rFonts w:ascii="Arial" w:cs="Arial" w:eastAsia="Arial" w:hAnsi="Arial"/>
          <w:sz w:val="16"/>
          <w:szCs w:val="16"/>
          <w:b w:val="1"/>
          <w:bCs w:val="1"/>
          <w:color w:val="auto"/>
        </w:rPr>
        <w:t>Mandatory Exercise Conditions</w:t>
      </w:r>
      <w:r>
        <w:rPr>
          <w:rFonts w:ascii="Arial" w:cs="Arial" w:eastAsia="Arial" w:hAnsi="Arial"/>
          <w:sz w:val="16"/>
          <w:szCs w:val="16"/>
          <w:color w:val="auto"/>
        </w:rPr>
        <w:t>”), then the Company shall have the right to require the Holder to exercise all or any portion of this Warrant still unexercised for a cash exercise, as designated in the Mandatory Exercise Notice on the Mandatory Exercise Date (each as defined below) into fully paid, validly issued and nonassessable shares of Common Stock in accordance with Section 1 hereof at the Exercise Price as of the Mandatory Exercise Date (as defined below) (a “</w:t>
      </w:r>
      <w:r>
        <w:rPr>
          <w:rFonts w:ascii="Arial" w:cs="Arial" w:eastAsia="Arial" w:hAnsi="Arial"/>
          <w:sz w:val="16"/>
          <w:szCs w:val="16"/>
          <w:b w:val="1"/>
          <w:bCs w:val="1"/>
          <w:color w:val="auto"/>
        </w:rPr>
        <w:t>Mandatory Exercise</w:t>
      </w:r>
      <w:r>
        <w:rPr>
          <w:rFonts w:ascii="Arial" w:cs="Arial" w:eastAsia="Arial" w:hAnsi="Arial"/>
          <w:sz w:val="16"/>
          <w:szCs w:val="16"/>
          <w:color w:val="auto"/>
        </w:rPr>
        <w:t>”). The Company may exercise its right to require exercise under this Section 5 by delivering within not more than two (2) Trading Days following the end of such Mandatory Exercise Measuring Period a written notice thereof by facsimile and electronic mail to the Holder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and the date that the Holder received such notice is referred to as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Mandatory Exercise Notice shall be irrevocable. The Mandatory Exercise Notice shall (x) state (I) the Trading Day on which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9" w:name="page40"/>
    <w:bookmarkEnd w:id="39"/>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Mandatory Exercise shall occur, which shall be the third Trading Day following the Mandatory Exercise Notice Date (the “</w:t>
      </w:r>
      <w:r>
        <w:rPr>
          <w:rFonts w:ascii="Arial" w:cs="Arial" w:eastAsia="Arial" w:hAnsi="Arial"/>
          <w:sz w:val="18"/>
          <w:szCs w:val="18"/>
          <w:b w:val="1"/>
          <w:bCs w:val="1"/>
          <w:color w:val="auto"/>
        </w:rPr>
        <w:t>Mandatory Exercise Date</w:t>
      </w:r>
      <w:r>
        <w:rPr>
          <w:rFonts w:ascii="Arial" w:cs="Arial" w:eastAsia="Arial" w:hAnsi="Arial"/>
          <w:sz w:val="18"/>
          <w:szCs w:val="18"/>
          <w:color w:val="auto"/>
        </w:rPr>
        <w:t>”) and (II) the aggregate number of Warrants which the Company has elected to be subject to such Mandatory Exercise from the Holder (the “</w:t>
      </w:r>
      <w:r>
        <w:rPr>
          <w:rFonts w:ascii="Arial" w:cs="Arial" w:eastAsia="Arial" w:hAnsi="Arial"/>
          <w:sz w:val="18"/>
          <w:szCs w:val="18"/>
          <w:b w:val="1"/>
          <w:bCs w:val="1"/>
          <w:color w:val="auto"/>
        </w:rPr>
        <w:t>Mandatory</w:t>
      </w:r>
      <w:r>
        <w:rPr>
          <w:rFonts w:ascii="Arial" w:cs="Arial" w:eastAsia="Arial" w:hAnsi="Arial"/>
          <w:sz w:val="18"/>
          <w:szCs w:val="18"/>
          <w:color w:val="auto"/>
        </w:rPr>
        <w:t xml:space="preserve"> </w:t>
      </w:r>
      <w:r>
        <w:rPr>
          <w:rFonts w:ascii="Arial" w:cs="Arial" w:eastAsia="Arial" w:hAnsi="Arial"/>
          <w:sz w:val="18"/>
          <w:szCs w:val="18"/>
          <w:b w:val="1"/>
          <w:bCs w:val="1"/>
          <w:color w:val="auto"/>
        </w:rPr>
        <w:t>Exercise Amount</w:t>
      </w:r>
      <w:r>
        <w:rPr>
          <w:rFonts w:ascii="Arial" w:cs="Arial" w:eastAsia="Arial" w:hAnsi="Arial"/>
          <w:sz w:val="18"/>
          <w:szCs w:val="18"/>
          <w:color w:val="auto"/>
        </w:rPr>
        <w:t>”) pursuant to this Section 5 and (y) certify that the Mandatory Exercise Conditions have been satisfied. The Mandatory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may only occur on the Mandatory Exercise Date if there is no Equity Conditions Failure (unless the Holder has waived such Equity Conditions Failure) during the ten (10) consecutive Trading Day period that occurs immediately prior to the Mandatory Exercise Date (the “</w:t>
      </w:r>
      <w:r>
        <w:rPr>
          <w:rFonts w:ascii="Arial" w:cs="Arial" w:eastAsia="Arial" w:hAnsi="Arial"/>
          <w:sz w:val="18"/>
          <w:szCs w:val="18"/>
          <w:b w:val="1"/>
          <w:bCs w:val="1"/>
          <w:color w:val="auto"/>
        </w:rPr>
        <w:t>Mandatory Exercise Bring-Down Conditions</w:t>
      </w:r>
      <w:r>
        <w:rPr>
          <w:rFonts w:ascii="Arial" w:cs="Arial" w:eastAsia="Arial" w:hAnsi="Arial"/>
          <w:sz w:val="18"/>
          <w:szCs w:val="18"/>
          <w:color w:val="auto"/>
        </w:rPr>
        <w:t>”).</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shall deliver to the Holder a notice no later than 10:00 a.m., New York Time, on the Mandatory Exercise Date (the “</w:t>
      </w:r>
      <w:r>
        <w:rPr>
          <w:rFonts w:ascii="Arial" w:cs="Arial" w:eastAsia="Arial" w:hAnsi="Arial"/>
          <w:sz w:val="17"/>
          <w:szCs w:val="17"/>
          <w:b w:val="1"/>
          <w:bCs w:val="1"/>
          <w:color w:val="auto"/>
        </w:rPr>
        <w:t>Bring-Down Notice</w:t>
      </w:r>
      <w:r>
        <w:rPr>
          <w:rFonts w:ascii="Arial" w:cs="Arial" w:eastAsia="Arial" w:hAnsi="Arial"/>
          <w:sz w:val="17"/>
          <w:szCs w:val="17"/>
          <w:color w:val="auto"/>
        </w:rPr>
        <w:t xml:space="preserve">”), which notice shall certify whether or not the Mandatory Exercise Bring-Down Conditions have been satisfied. If the Mandatory Exercise Bring-Down Conditions have not been satisfied at such time (and are not waived by the Holder), the Mandatory Exercise Notice will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Notwithstanding anything to the contrary in this Section 5, until the Mandatory Exercise has occurred, the Mandatory Exercise Amount may be exercised, in whole or in part, by the Holder into shares of Common Stock pursuant to Section 1. The Company covenants and agrees that it will honor all Exercise Notices tendered from the time of delivery of the Mandatory Exercise Notice until the Mandatory Exercise has occurred. Unless otherwise indicated by the Holder, all Warrants exercised by the Holder after the Mandatory Exercise Notice Date shall reduce the Mandatory Exercise Amount of this Warrant required to be exercised on the Mandatory Exercise Date. Upon an Equity Conditions Failure, the Holder may revoke any Exercise Notice delivered after the Mandatory Exercise Notice is received by the Holder, and the Company, within one (1) Business Day of such revocation, shall return the Aggregate Exercise Price applicable to any such Exercise Notice(s) to the Holder by wire transfer of immediately available funds and any Warrants so exercised shall be deemed reinstated and returned to the Holders, if applicable. Delivery of any shares of Common Stock issuable pursuant to a Mandatory Exercise shall be made electronically to the Holder’s or its designee’s balance account with DTC through its Deposit / Withdrawal at Custodian system in accordance with the provisions of Section 1 above.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to the contrary contained herein, if the Holder’s obligation to exercise this Warrant upon a Mandatory Exercise would result in the Holder exceeding the Maximum Percentage, the Holder shall still be required to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8"/>
          <w:szCs w:val="18"/>
          <w:b w:val="1"/>
          <w:bCs w:val="1"/>
          <w:color w:val="auto"/>
        </w:rPr>
        <w:t>Excess Shares</w:t>
      </w:r>
      <w:r>
        <w:rPr>
          <w:rFonts w:ascii="Arial" w:cs="Arial" w:eastAsia="Arial" w:hAnsi="Arial"/>
          <w:sz w:val="18"/>
          <w:szCs w:val="18"/>
          <w:color w:val="auto"/>
        </w:rPr>
        <w:t>”)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w:t>
      </w:r>
    </w:p>
    <w:p>
      <w:pPr>
        <w:spacing w:after="0" w:line="193" w:lineRule="exact"/>
        <w:rPr>
          <w:sz w:val="20"/>
          <w:szCs w:val="20"/>
          <w:color w:val="auto"/>
        </w:rPr>
      </w:pPr>
    </w:p>
    <w:p>
      <w:pPr>
        <w:ind w:right="100" w:firstLine="8"/>
        <w:spacing w:after="0" w:line="287"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72" w:lineRule="exact"/>
        <w:rPr>
          <w:rFonts w:ascii="Arial" w:cs="Arial" w:eastAsia="Arial" w:hAnsi="Arial"/>
          <w:sz w:val="16"/>
          <w:szCs w:val="16"/>
          <w:color w:val="auto"/>
        </w:rPr>
      </w:pPr>
    </w:p>
    <w:p>
      <w:pPr>
        <w:ind w:right="240" w:firstLine="8"/>
        <w:spacing w:after="0" w:line="279"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SHAREHOLDER</w:t>
      </w:r>
      <w:r>
        <w:rPr>
          <w:rFonts w:ascii="Arial" w:cs="Arial" w:eastAsia="Arial" w:hAnsi="Arial"/>
          <w:sz w:val="17"/>
          <w:szCs w:val="17"/>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40" w:name="page41"/>
    <w:bookmarkEnd w:id="40"/>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 xml:space="preserve">Company. Notwithstanding this Section 7,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73"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464"/>
        <w:spacing w:after="0" w:line="255" w:lineRule="auto"/>
        <w:tabs>
          <w:tab w:leader="none" w:pos="701"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right="120" w:firstLine="464"/>
        <w:spacing w:after="0" w:line="276" w:lineRule="auto"/>
        <w:tabs>
          <w:tab w:leader="none" w:pos="711"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172" w:lineRule="exact"/>
        <w:rPr>
          <w:rFonts w:ascii="Arial" w:cs="Arial" w:eastAsia="Arial" w:hAnsi="Arial"/>
          <w:sz w:val="17"/>
          <w:szCs w:val="17"/>
          <w:color w:val="auto"/>
        </w:rPr>
      </w:pPr>
    </w:p>
    <w:p>
      <w:pPr>
        <w:ind w:right="40" w:firstLine="464"/>
        <w:spacing w:after="0" w:line="279" w:lineRule="auto"/>
        <w:tabs>
          <w:tab w:leader="none" w:pos="701"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80" w:firstLine="464"/>
        <w:spacing w:after="0" w:line="273" w:lineRule="auto"/>
        <w:tabs>
          <w:tab w:leader="none" w:pos="711"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firstLine="8"/>
        <w:spacing w:after="0" w:line="290"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9, the failure to deliver any notice under this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41" w:name="page42"/>
    <w:bookmarkEnd w:id="4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9.</w:t>
      </w:r>
    </w:p>
    <w:p>
      <w:pPr>
        <w:spacing w:after="0" w:line="187" w:lineRule="exact"/>
        <w:rPr>
          <w:sz w:val="20"/>
          <w:szCs w:val="20"/>
          <w:color w:val="auto"/>
        </w:rPr>
      </w:pPr>
    </w:p>
    <w:p>
      <w:pPr>
        <w:ind w:right="60" w:firstLine="8"/>
        <w:spacing w:after="0" w:line="257"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40" w:firstLine="8"/>
        <w:spacing w:after="0" w:line="271" w:lineRule="auto"/>
        <w:tabs>
          <w:tab w:leader="none" w:pos="26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8"/>
        <w:spacing w:after="0" w:line="283" w:lineRule="auto"/>
        <w:tabs>
          <w:tab w:leader="none" w:pos="27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w:t>
      </w:r>
    </w:p>
    <w:p>
      <w:pPr>
        <w:spacing w:after="0" w:line="6"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REQUEST, A JURY TRIAL FOR THE ADJUDICATION OF ANY DISPUTE HEREUNDER OR IN CONNECTION WITH OR ARISING OUT OF THIS WARRANT OR ANY TRANSACTION CONTEMPLATED HEREBY.</w:t>
      </w:r>
    </w:p>
    <w:p>
      <w:pPr>
        <w:spacing w:after="0" w:line="183" w:lineRule="exact"/>
        <w:rPr>
          <w:rFonts w:ascii="Arial" w:cs="Arial" w:eastAsia="Arial" w:hAnsi="Arial"/>
          <w:sz w:val="16"/>
          <w:szCs w:val="16"/>
          <w:color w:val="auto"/>
        </w:rPr>
      </w:pPr>
    </w:p>
    <w:p>
      <w:pPr>
        <w:jc w:val="both"/>
        <w:ind w:right="180" w:firstLine="8"/>
        <w:spacing w:after="0" w:line="302" w:lineRule="auto"/>
        <w:tabs>
          <w:tab w:leader="none" w:pos="27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80" w:firstLine="8"/>
        <w:spacing w:after="0" w:line="293" w:lineRule="auto"/>
        <w:tabs>
          <w:tab w:leader="none" w:pos="27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2" w:name="page43"/>
    <w:bookmarkEnd w:id="4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78" w:lineRule="exact"/>
        <w:rPr>
          <w:sz w:val="20"/>
          <w:szCs w:val="20"/>
          <w:color w:val="auto"/>
        </w:rPr>
      </w:pPr>
    </w:p>
    <w:p>
      <w:pPr>
        <w:ind w:right="40" w:firstLine="8"/>
        <w:spacing w:after="0" w:line="268" w:lineRule="auto"/>
        <w:tabs>
          <w:tab w:leader="none" w:pos="27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40" w:firstLine="464"/>
        <w:spacing w:after="0" w:line="270" w:lineRule="auto"/>
        <w:tabs>
          <w:tab w:leader="none" w:pos="701" w:val="left"/>
        </w:tabs>
        <w:numPr>
          <w:ilvl w:val="1"/>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7"/>
          <w:szCs w:val="17"/>
          <w:b w:val="1"/>
          <w:bCs w:val="1"/>
          <w:color w:val="auto"/>
        </w:rPr>
        <w:t>Pink Sheets</w:t>
      </w:r>
      <w:r>
        <w:rPr>
          <w:rFonts w:ascii="Arial" w:cs="Arial" w:eastAsia="Arial" w:hAnsi="Arial"/>
          <w:sz w:val="17"/>
          <w:szCs w:val="17"/>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3" w:name="page44"/>
    <w:bookmarkEnd w:id="43"/>
    <w:p>
      <w:pPr>
        <w:ind w:left="712" w:hanging="256"/>
        <w:spacing w:after="0"/>
        <w:tabs>
          <w:tab w:leader="none" w:pos="712"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left="-8" w:right="260" w:firstLine="464"/>
        <w:spacing w:after="0" w:line="282" w:lineRule="auto"/>
        <w:tabs>
          <w:tab w:leader="none" w:pos="6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left="-8" w:right="40" w:firstLine="464"/>
        <w:spacing w:after="0" w:line="288" w:lineRule="auto"/>
        <w:tabs>
          <w:tab w:leader="none" w:pos="703" w:val="left"/>
        </w:tabs>
        <w:numPr>
          <w:ilvl w:val="1"/>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left="-8" w:firstLine="464"/>
        <w:spacing w:after="0" w:line="282" w:lineRule="auto"/>
        <w:tabs>
          <w:tab w:leader="none" w:pos="6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left="-8" w:right="620" w:firstLine="464"/>
        <w:spacing w:after="0" w:line="347" w:lineRule="auto"/>
        <w:tabs>
          <w:tab w:leader="none" w:pos="673" w:val="left"/>
        </w:tabs>
        <w:numPr>
          <w:ilvl w:val="1"/>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left="-8" w:right="420" w:firstLine="464"/>
        <w:spacing w:after="0" w:line="282" w:lineRule="auto"/>
        <w:tabs>
          <w:tab w:leader="none" w:pos="7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left="-8" w:right="140" w:firstLine="464"/>
        <w:spacing w:after="0" w:line="254" w:lineRule="auto"/>
        <w:tabs>
          <w:tab w:leader="none" w:pos="7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w:t>
      </w:r>
      <w:r>
        <w:rPr>
          <w:rFonts w:ascii="Arial" w:cs="Arial" w:eastAsia="Arial" w:hAnsi="Arial"/>
          <w:sz w:val="18"/>
          <w:szCs w:val="18"/>
          <w:color w:val="auto"/>
        </w:rPr>
        <w:t xml:space="preserve"> means each of the following conditions: (i) a registration statement shall be effective and available for the issuance or resale of all remaining Warrant Shares issuable upon exercise of this Warrant; (ii) the Company shall have delivered all shares of Common Stock upon exercise of all warrants previously exercised by the Holder, including under this Warrant, in each case in accordance with the terms of the applicable warrants; (iii) any applicable shares of Common Stock to be issued in connection with the event requiring determination may be issued in full without violating the rules or regulations of the Principal Market or any other applicable Eligible Market; (iv) the Holder shall not be in possession of any material, nonpublic information received from the Company, any Subsidiary or any of their respective agents or affiliates; and (v) the shares of Common Stock issuable pursuant the event requiring the satisfaction of the Equity Conditions are duly authorized and listed and eligible for trading without restriction on an Eligible Market. For point of clarification, the non-delivery of shares of Common Stock as a result of their designation as “Excess Shares” shall not constitute an Equity Conditions Failure.</w:t>
      </w:r>
    </w:p>
    <w:p>
      <w:pPr>
        <w:spacing w:after="0" w:line="189" w:lineRule="exact"/>
        <w:rPr>
          <w:rFonts w:ascii="Arial" w:cs="Arial" w:eastAsia="Arial" w:hAnsi="Arial"/>
          <w:sz w:val="18"/>
          <w:szCs w:val="18"/>
          <w:color w:val="auto"/>
        </w:rPr>
      </w:pPr>
    </w:p>
    <w:p>
      <w:pPr>
        <w:ind w:left="-8" w:right="840" w:firstLine="464"/>
        <w:spacing w:after="0" w:line="347" w:lineRule="auto"/>
        <w:tabs>
          <w:tab w:leader="none" w:pos="663" w:val="left"/>
        </w:tabs>
        <w:numPr>
          <w:ilvl w:val="1"/>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 Failure”</w:t>
      </w:r>
      <w:r>
        <w:rPr>
          <w:rFonts w:ascii="Arial" w:cs="Arial" w:eastAsia="Arial" w:hAnsi="Arial"/>
          <w:sz w:val="16"/>
          <w:szCs w:val="16"/>
          <w:color w:val="auto"/>
        </w:rPr>
        <w:t xml:space="preserve"> means that on any day during the period commencing ten (10) Trading Days prior to the applicable date of determination through the applicable date of determination, the Equity Conditions have not been satisfied (or waived in writing by the Holder).</w:t>
      </w:r>
    </w:p>
    <w:p>
      <w:pPr>
        <w:spacing w:after="0" w:line="116" w:lineRule="exact"/>
        <w:rPr>
          <w:rFonts w:ascii="Arial" w:cs="Arial" w:eastAsia="Arial" w:hAnsi="Arial"/>
          <w:sz w:val="16"/>
          <w:szCs w:val="16"/>
          <w:color w:val="auto"/>
        </w:rPr>
      </w:pPr>
    </w:p>
    <w:p>
      <w:pPr>
        <w:ind w:left="-8" w:right="100" w:firstLine="464"/>
        <w:spacing w:after="0" w:line="282" w:lineRule="auto"/>
        <w:tabs>
          <w:tab w:leader="none" w:pos="663"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61" w:lineRule="exact"/>
        <w:rPr>
          <w:rFonts w:ascii="Arial" w:cs="Arial" w:eastAsia="Arial" w:hAnsi="Arial"/>
          <w:sz w:val="18"/>
          <w:szCs w:val="18"/>
          <w:color w:val="auto"/>
        </w:rPr>
      </w:pPr>
    </w:p>
    <w:p>
      <w:pPr>
        <w:ind w:left="712" w:hanging="256"/>
        <w:spacing w:after="0"/>
        <w:tabs>
          <w:tab w:leader="none" w:pos="712" w:val="left"/>
        </w:tabs>
        <w:numPr>
          <w:ilvl w:val="1"/>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left="252" w:hanging="252"/>
        <w:spacing w:after="0"/>
        <w:tabs>
          <w:tab w:leader="none" w:pos="2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consolidate or merge with or into (whether or not the Company</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70" w:right="239" w:bottom="1440" w:gutter="0" w:footer="0" w:header="0"/>
        </w:sectPr>
      </w:pPr>
    </w:p>
    <w:bookmarkStart w:id="44" w:name="page45"/>
    <w:bookmarkEnd w:id="4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69" w:lineRule="exact"/>
        <w:rPr>
          <w:sz w:val="20"/>
          <w:szCs w:val="20"/>
          <w:color w:val="auto"/>
        </w:rPr>
      </w:pPr>
    </w:p>
    <w:p>
      <w:pPr>
        <w:ind w:left="680" w:hanging="21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right="40" w:firstLine="464"/>
        <w:spacing w:after="0" w:line="266" w:lineRule="auto"/>
        <w:tabs>
          <w:tab w:leader="none" w:pos="7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right="60" w:firstLine="464"/>
        <w:spacing w:after="0" w:line="282" w:lineRule="auto"/>
        <w:tabs>
          <w:tab w:leader="none" w:pos="7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20" w:hanging="25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right="240" w:firstLine="464"/>
        <w:spacing w:after="0" w:line="347" w:lineRule="auto"/>
        <w:tabs>
          <w:tab w:leader="none" w:pos="711"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right="140" w:firstLine="464"/>
        <w:spacing w:after="0" w:line="292" w:lineRule="auto"/>
        <w:tabs>
          <w:tab w:leader="none" w:pos="711"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right="100" w:firstLine="464"/>
        <w:spacing w:after="0" w:line="314" w:lineRule="auto"/>
        <w:tabs>
          <w:tab w:leader="none" w:pos="681"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45" w:name="page46"/>
    <w:bookmarkEnd w:id="45"/>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270" w:right="6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undersigned holder hereby exercises the right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C Warrant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240"/>
        <w:spacing w:after="0" w:line="313" w:lineRule="auto"/>
        <w:rPr>
          <w:sz w:val="20"/>
          <w:szCs w:val="20"/>
          <w:color w:val="auto"/>
        </w:rPr>
      </w:pPr>
      <w:r>
        <w:rPr>
          <w:rFonts w:ascii="Arial" w:cs="Arial" w:eastAsia="Arial" w:hAnsi="Arial"/>
          <w:sz w:val="17"/>
          <w:szCs w:val="17"/>
          <w:color w:val="auto"/>
        </w:rPr>
        <w:t>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TapImmune Inc., a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w:t>
      </w:r>
    </w:p>
    <w:p>
      <w:pPr>
        <w:spacing w:after="0" w:line="347" w:lineRule="exact"/>
        <w:rPr>
          <w:sz w:val="20"/>
          <w:szCs w:val="20"/>
          <w:color w:val="auto"/>
        </w:rPr>
      </w:pPr>
    </w:p>
    <w:p>
      <w:pPr>
        <w:sectPr>
          <w:pgSz w:w="11900" w:h="16838" w:orient="portrait"/>
          <w:cols w:equalWidth="0" w:num="2">
            <w:col w:w="5400" w:space="340"/>
            <w:col w:w="5680"/>
          </w:cols>
          <w:pgMar w:left="240" w:top="270" w:right="23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3040" w:type="dxa"/>
            <w:vAlign w:val="bottom"/>
            <w:gridSpan w:val="3"/>
          </w:tcPr>
          <w:p>
            <w:pPr>
              <w:spacing w:after="0"/>
              <w:rPr>
                <w:sz w:val="20"/>
                <w:szCs w:val="20"/>
                <w:color w:val="auto"/>
              </w:rPr>
            </w:pPr>
            <w:r>
              <w:rPr>
                <w:rFonts w:ascii="Arial" w:cs="Arial" w:eastAsia="Arial" w:hAnsi="Arial"/>
                <w:sz w:val="18"/>
                <w:szCs w:val="18"/>
                <w:color w:val="auto"/>
              </w:rPr>
              <w:t>a “Cash Exercise” with respect to</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88"/>
              </w:rPr>
              <w:t>Warrant Shares; and/or</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53"/>
        </w:trPr>
        <w:tc>
          <w:tcPr>
            <w:tcW w:w="3040" w:type="dxa"/>
            <w:vAlign w:val="bottom"/>
            <w:gridSpan w:val="3"/>
          </w:tcPr>
          <w:p>
            <w:pPr>
              <w:spacing w:after="0"/>
              <w:rPr>
                <w:sz w:val="20"/>
                <w:szCs w:val="20"/>
                <w:color w:val="auto"/>
              </w:rPr>
            </w:pPr>
            <w:r>
              <w:rPr>
                <w:rFonts w:ascii="Arial" w:cs="Arial" w:eastAsia="Arial" w:hAnsi="Arial"/>
                <w:sz w:val="18"/>
                <w:szCs w:val="18"/>
                <w:color w:val="auto"/>
              </w:rPr>
              <w:t>a “Cashless Exercise” with respect to</w:t>
            </w:r>
          </w:p>
        </w:tc>
        <w:tc>
          <w:tcPr>
            <w:tcW w:w="2020" w:type="dxa"/>
            <w:vAlign w:val="bottom"/>
          </w:tcPr>
          <w:p>
            <w:pPr>
              <w:jc w:val="center"/>
              <w:ind w:left="310"/>
              <w:spacing w:after="0"/>
              <w:rPr>
                <w:sz w:val="20"/>
                <w:szCs w:val="20"/>
                <w:color w:val="auto"/>
              </w:rPr>
            </w:pPr>
            <w:r>
              <w:rPr>
                <w:rFonts w:ascii="Arial" w:cs="Arial" w:eastAsia="Arial" w:hAnsi="Arial"/>
                <w:sz w:val="18"/>
                <w:szCs w:val="18"/>
                <w:color w:val="auto"/>
                <w:w w:val="86"/>
              </w:rPr>
              <w:t>Warrant Shares.</w:t>
            </w:r>
          </w:p>
        </w:tc>
      </w:tr>
    </w:tbl>
    <w:p>
      <w:pPr>
        <w:spacing w:after="0" w:line="202"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right="100" w:firstLine="464"/>
        <w:spacing w:after="0" w:line="342" w:lineRule="auto"/>
        <w:tabs>
          <w:tab w:leader="none" w:pos="63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21697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21697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21697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2366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23666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type w:val="continuous"/>
        </w:sectPr>
      </w:pPr>
    </w:p>
    <w:bookmarkStart w:id="47" w:name="page48"/>
    <w:bookmarkEnd w:id="47"/>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WARRANT TO PURCHASE COMMON STOCK</w:t>
      </w:r>
    </w:p>
    <w:p>
      <w:pPr>
        <w:spacing w:after="0" w:line="22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Series D Warrant No.: 1-12-15 – [</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 xml:space="preserve">hereby acknowledged, </w:t>
      </w:r>
      <w:r>
        <w:rPr>
          <w:rFonts w:ascii="Arial" w:cs="Arial" w:eastAsia="Arial" w:hAnsi="Arial"/>
          <w:sz w:val="16"/>
          <w:szCs w:val="16"/>
          <w:b w:val="1"/>
          <w:bCs w:val="1"/>
          <w:color w:val="auto"/>
        </w:rPr>
        <w:t>[ ]</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but not after 11:59 p.m., New York time, on the Expiration Date (as defined below), </w:t>
      </w:r>
      <w:r>
        <w:rPr>
          <w:rFonts w:ascii="Arial" w:cs="Arial" w:eastAsia="Arial" w:hAnsi="Arial"/>
          <w:sz w:val="18"/>
          <w:szCs w:val="18"/>
          <w:b w:val="1"/>
          <w:bCs w:val="1"/>
          <w:color w:val="auto"/>
        </w:rPr>
        <w:t>[ ]</w:t>
      </w:r>
      <w:r>
        <w:rPr>
          <w:rFonts w:ascii="Arial" w:cs="Arial" w:eastAsia="Arial" w:hAnsi="Arial"/>
          <w:sz w:val="18"/>
          <w:szCs w:val="18"/>
          <w:color w:val="auto"/>
        </w:rPr>
        <w:t xml:space="preserve">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191"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7" w:lineRule="auto"/>
        <w:tabs>
          <w:tab w:leader="none" w:pos="701"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(3rd ) Trading Day following the date on which the Company has received such Exercise Notice,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9" w:name="page50"/>
    <w:bookmarkEnd w:id="4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178" w:lineRule="exact"/>
        <w:rPr>
          <w:sz w:val="20"/>
          <w:szCs w:val="20"/>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$0.75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without restrictive legend to the Holder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0" w:name="page51"/>
    <w:bookmarkEnd w:id="5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foregoing formula: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420" w:right="20"/>
        <w:spacing w:after="0" w:line="271" w:lineRule="auto"/>
        <w:rPr>
          <w:sz w:val="20"/>
          <w:szCs w:val="20"/>
          <w:color w:val="auto"/>
        </w:rPr>
      </w:pPr>
      <w:r>
        <w:rPr>
          <w:rFonts w:ascii="Arial" w:cs="Arial" w:eastAsia="Arial" w:hAnsi="Arial"/>
          <w:sz w:val="17"/>
          <w:szCs w:val="17"/>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40" w:right="180" w:firstLine="464"/>
        <w:spacing w:after="0" w:line="312" w:lineRule="auto"/>
        <w:tabs>
          <w:tab w:leader="none" w:pos="66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40" w:firstLine="464"/>
        <w:spacing w:after="0" w:line="284" w:lineRule="auto"/>
        <w:tabs>
          <w:tab w:leader="none" w:pos="64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51" w:name="page52"/>
    <w:bookmarkEnd w:id="51"/>
    <w:p>
      <w:pPr>
        <w:ind w:left="-8" w:right="60" w:firstLine="464"/>
        <w:spacing w:after="0" w:line="286" w:lineRule="auto"/>
        <w:tabs>
          <w:tab w:leader="none" w:pos="703"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71" w:lineRule="exact"/>
        <w:rPr>
          <w:rFonts w:ascii="Arial" w:cs="Arial" w:eastAsia="Arial" w:hAnsi="Arial"/>
          <w:sz w:val="16"/>
          <w:szCs w:val="16"/>
          <w:color w:val="auto"/>
        </w:rPr>
      </w:pPr>
    </w:p>
    <w:p>
      <w:pPr>
        <w:ind w:left="-8" w:right="140" w:firstLine="8"/>
        <w:spacing w:after="0" w:line="277" w:lineRule="auto"/>
        <w:tabs>
          <w:tab w:leader="none" w:pos="17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52" w:name="page53"/>
    <w:bookmarkEnd w:id="52"/>
    <w:p>
      <w:pPr>
        <w:ind w:left="-8" w:right="120" w:firstLine="464"/>
        <w:spacing w:after="0" w:line="308" w:lineRule="auto"/>
        <w:tabs>
          <w:tab w:leader="none" w:pos="693"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20" w:firstLine="8"/>
        <w:spacing w:after="0" w:line="269" w:lineRule="auto"/>
        <w:tabs>
          <w:tab w:leader="none" w:pos="172"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72" w:hanging="172"/>
        <w:spacing w:after="0"/>
        <w:tabs>
          <w:tab w:leader="none" w:pos="17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69" w:lineRule="exact"/>
        <w:rPr>
          <w:rFonts w:ascii="Arial" w:cs="Arial" w:eastAsia="Arial" w:hAnsi="Arial"/>
          <w:sz w:val="16"/>
          <w:szCs w:val="16"/>
          <w:color w:val="auto"/>
        </w:rPr>
      </w:pPr>
    </w:p>
    <w:p>
      <w:pPr>
        <w:ind w:left="-8" w:right="40" w:firstLine="464"/>
        <w:spacing w:after="0" w:line="289" w:lineRule="auto"/>
        <w:tabs>
          <w:tab w:leader="none" w:pos="703"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53" w:name="page54"/>
    <w:bookmarkEnd w:id="5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0" w:lineRule="exact"/>
        <w:rPr>
          <w:sz w:val="20"/>
          <w:szCs w:val="20"/>
          <w:color w:val="auto"/>
        </w:rPr>
      </w:pPr>
    </w:p>
    <w:p>
      <w:pPr>
        <w:ind w:right="140" w:firstLine="464"/>
        <w:spacing w:after="0" w:line="257" w:lineRule="auto"/>
        <w:tabs>
          <w:tab w:leader="none" w:pos="701"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auto"/>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20" w:firstLine="8"/>
        <w:spacing w:after="0" w:line="287" w:lineRule="auto"/>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4" w:name="page55"/>
    <w:bookmarkEnd w:id="54"/>
    <w:p>
      <w:pPr>
        <w:ind w:left="-8" w:firstLine="8"/>
        <w:spacing w:after="0" w:line="269" w:lineRule="auto"/>
        <w:tabs>
          <w:tab w:leader="none" w:pos="17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72" w:hanging="172"/>
        <w:spacing w:after="0"/>
        <w:tabs>
          <w:tab w:leader="none" w:pos="17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464"/>
        <w:spacing w:after="0" w:line="255" w:lineRule="auto"/>
        <w:tabs>
          <w:tab w:leader="none" w:pos="693"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left="-8" w:right="140" w:firstLine="464"/>
        <w:spacing w:after="0" w:line="276" w:lineRule="auto"/>
        <w:tabs>
          <w:tab w:leader="none" w:pos="703"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left="-8" w:right="60" w:firstLine="464"/>
        <w:spacing w:after="0" w:line="279" w:lineRule="auto"/>
        <w:tabs>
          <w:tab w:leader="none" w:pos="693"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left="-8" w:right="100" w:firstLine="464"/>
        <w:spacing w:after="0" w:line="273" w:lineRule="auto"/>
        <w:tabs>
          <w:tab w:leader="none" w:pos="703"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left="-8" w:right="20" w:firstLine="8"/>
        <w:spacing w:after="0" w:line="257" w:lineRule="auto"/>
        <w:tabs>
          <w:tab w:leader="none" w:pos="17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55" w:name="page56"/>
    <w:bookmarkEnd w:id="5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92" w:lineRule="exact"/>
        <w:rPr>
          <w:sz w:val="20"/>
          <w:szCs w:val="20"/>
          <w:color w:val="auto"/>
        </w:rPr>
      </w:pPr>
    </w:p>
    <w:p>
      <w:pPr>
        <w:ind w:right="60" w:firstLine="8"/>
        <w:spacing w:after="0" w:line="257"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40" w:firstLine="8"/>
        <w:spacing w:after="0" w:line="271" w:lineRule="auto"/>
        <w:tabs>
          <w:tab w:leader="none" w:pos="27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8"/>
        <w:spacing w:after="0" w:line="283" w:lineRule="auto"/>
        <w:tabs>
          <w:tab w:leader="none" w:pos="26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w:t>
      </w:r>
    </w:p>
    <w:p>
      <w:pPr>
        <w:spacing w:after="0" w:line="6"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REQUEST, A JURY TRIAL FOR THE ADJUDICATION OF ANY DISPUTE HEREUNDER OR IN CONNECTION WITH OR ARISING OUT OF THIS WARRANT OR ANY TRANSACTION CONTEMPLATED HEREBY.</w:t>
      </w:r>
    </w:p>
    <w:p>
      <w:pPr>
        <w:spacing w:after="0" w:line="183" w:lineRule="exact"/>
        <w:rPr>
          <w:rFonts w:ascii="Arial" w:cs="Arial" w:eastAsia="Arial" w:hAnsi="Arial"/>
          <w:sz w:val="16"/>
          <w:szCs w:val="16"/>
          <w:color w:val="auto"/>
        </w:rPr>
      </w:pPr>
    </w:p>
    <w:p>
      <w:pPr>
        <w:jc w:val="both"/>
        <w:ind w:right="180" w:firstLine="8"/>
        <w:spacing w:after="0" w:line="302" w:lineRule="auto"/>
        <w:tabs>
          <w:tab w:leader="none" w:pos="27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80" w:firstLine="8"/>
        <w:spacing w:after="0" w:line="264" w:lineRule="auto"/>
        <w:tabs>
          <w:tab w:leader="none" w:pos="27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6" w:name="page57"/>
    <w:bookmarkEnd w:id="5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75" w:lineRule="exact"/>
        <w:rPr>
          <w:sz w:val="20"/>
          <w:szCs w:val="20"/>
          <w:color w:val="auto"/>
        </w:rPr>
      </w:pPr>
    </w:p>
    <w:p>
      <w:pPr>
        <w:ind w:right="40" w:firstLine="8"/>
        <w:spacing w:after="0" w:line="268" w:lineRule="auto"/>
        <w:tabs>
          <w:tab w:leader="none" w:pos="27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40" w:firstLine="464"/>
        <w:spacing w:after="0" w:line="255" w:lineRule="auto"/>
        <w:tabs>
          <w:tab w:leader="none" w:pos="701"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Bid Price</w:t>
      </w:r>
      <w:r>
        <w:rPr>
          <w:rFonts w:ascii="Arial" w:cs="Arial" w:eastAsia="Arial" w:hAnsi="Arial"/>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8"/>
          <w:szCs w:val="18"/>
          <w:b w:val="1"/>
          <w:bCs w:val="1"/>
          <w:color w:val="auto"/>
        </w:rPr>
        <w:t>Pink Sheets</w:t>
      </w:r>
      <w:r>
        <w:rPr>
          <w:rFonts w:ascii="Arial" w:cs="Arial" w:eastAsia="Arial" w:hAnsi="Arial"/>
          <w:sz w:val="18"/>
          <w:szCs w:val="18"/>
          <w:color w:val="auto"/>
        </w:rPr>
        <w:t>”) as of such time of determination. If the Bid Price cannot be calculated for a security as of the particular time of determination on any of the foregoing bases,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7" w:name="page58"/>
    <w:bookmarkEnd w:id="57"/>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3" w:lineRule="exact"/>
        <w:rPr>
          <w:sz w:val="20"/>
          <w:szCs w:val="20"/>
          <w:color w:val="auto"/>
        </w:rPr>
      </w:pPr>
    </w:p>
    <w:p>
      <w:pPr>
        <w:ind w:left="720" w:hanging="256"/>
        <w:spacing w:after="0"/>
        <w:tabs>
          <w:tab w:leader="none" w:pos="7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right="620" w:firstLine="464"/>
        <w:spacing w:after="0" w:line="347" w:lineRule="auto"/>
        <w:tabs>
          <w:tab w:leader="none" w:pos="681"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right="420" w:firstLine="464"/>
        <w:spacing w:after="0" w:line="282" w:lineRule="auto"/>
        <w:tabs>
          <w:tab w:leader="none" w:pos="711"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right="40" w:firstLine="464"/>
        <w:spacing w:after="0" w:line="347" w:lineRule="auto"/>
        <w:tabs>
          <w:tab w:leader="none" w:pos="711"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fifth (5th) anniversary of the date of the initial exercise of the Series B Warrant or, if such date falls on a day other than a Business Day or on which trading does not take place on the Principal Market (a “Holiday”), the next date that is not a Holiday.</w:t>
      </w:r>
    </w:p>
    <w:p>
      <w:pPr>
        <w:spacing w:after="0" w:line="116" w:lineRule="exact"/>
        <w:rPr>
          <w:rFonts w:ascii="Arial" w:cs="Arial" w:eastAsia="Arial" w:hAnsi="Arial"/>
          <w:sz w:val="16"/>
          <w:szCs w:val="16"/>
          <w:color w:val="auto"/>
        </w:rPr>
      </w:pPr>
    </w:p>
    <w:p>
      <w:pPr>
        <w:ind w:left="680" w:hanging="216"/>
        <w:spacing w:after="0"/>
        <w:tabs>
          <w:tab w:leader="none" w:pos="6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right="100" w:firstLine="8"/>
        <w:spacing w:after="0" w:line="268" w:lineRule="auto"/>
        <w:tabs>
          <w:tab w:leader="none" w:pos="2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8" w:name="page59"/>
    <w:bookmarkEnd w:id="58"/>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20" w:lineRule="exact"/>
        <w:rPr>
          <w:sz w:val="20"/>
          <w:szCs w:val="20"/>
          <w:color w:val="auto"/>
        </w:rPr>
      </w:pPr>
    </w:p>
    <w:p>
      <w:pPr>
        <w:ind w:right="40" w:firstLine="464"/>
        <w:spacing w:after="0" w:line="266" w:lineRule="auto"/>
        <w:tabs>
          <w:tab w:leader="none" w:pos="6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Eligibility Number</w:t>
      </w:r>
      <w:r>
        <w:rPr>
          <w:rFonts w:ascii="Arial" w:cs="Arial" w:eastAsia="Arial" w:hAnsi="Arial"/>
          <w:sz w:val="18"/>
          <w:szCs w:val="18"/>
          <w:color w:val="auto"/>
        </w:rPr>
        <w:t>” means initially zero and shall be increased upon each exercise of the Series B Warrant held by the Holder by such aggregate number of shares of Common Stock equal to 100% of the number of shares of Common Stock issued upon any such exercise of such Series B Warrant (as adjusted for stock splits, stock distributions, recapitalizations and similar events).</w:t>
      </w:r>
    </w:p>
    <w:p>
      <w:pPr>
        <w:spacing w:after="0" w:line="176"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right="40" w:firstLine="464"/>
        <w:spacing w:after="0" w:line="266" w:lineRule="auto"/>
        <w:tabs>
          <w:tab w:leader="none" w:pos="6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firstLine="464"/>
        <w:spacing w:after="0" w:line="282" w:lineRule="auto"/>
        <w:tabs>
          <w:tab w:leader="none" w:pos="761"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Warrant</w:t>
      </w:r>
      <w:r>
        <w:rPr>
          <w:rFonts w:ascii="Arial" w:cs="Arial" w:eastAsia="Arial" w:hAnsi="Arial"/>
          <w:sz w:val="18"/>
          <w:szCs w:val="18"/>
          <w:color w:val="auto"/>
        </w:rPr>
        <w:t>” means the Series B Warrant to Purchase Common Stock issued pursuant to the Securities Purchase Agreement.</w:t>
      </w:r>
    </w:p>
    <w:p>
      <w:pPr>
        <w:spacing w:after="0" w:line="225" w:lineRule="exact"/>
        <w:rPr>
          <w:rFonts w:ascii="Arial" w:cs="Arial" w:eastAsia="Arial" w:hAnsi="Arial"/>
          <w:sz w:val="18"/>
          <w:szCs w:val="18"/>
          <w:color w:val="auto"/>
        </w:rPr>
      </w:pPr>
    </w:p>
    <w:p>
      <w:pPr>
        <w:ind w:right="240" w:firstLine="464"/>
        <w:spacing w:after="0" w:line="347" w:lineRule="auto"/>
        <w:tabs>
          <w:tab w:leader="none" w:pos="711"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right="140" w:firstLine="464"/>
        <w:spacing w:after="0" w:line="292" w:lineRule="auto"/>
        <w:tabs>
          <w:tab w:leader="none" w:pos="711"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right="100" w:firstLine="464"/>
        <w:spacing w:after="0" w:line="314" w:lineRule="auto"/>
        <w:tabs>
          <w:tab w:leader="none" w:pos="681"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59" w:name="page60"/>
    <w:bookmarkEnd w:id="59"/>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270" w:right="6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undersigned holder hereby exercises the right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D Warrant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240"/>
        <w:spacing w:after="0" w:line="313" w:lineRule="auto"/>
        <w:rPr>
          <w:sz w:val="20"/>
          <w:szCs w:val="20"/>
          <w:color w:val="auto"/>
        </w:rPr>
      </w:pPr>
      <w:r>
        <w:rPr>
          <w:rFonts w:ascii="Arial" w:cs="Arial" w:eastAsia="Arial" w:hAnsi="Arial"/>
          <w:sz w:val="17"/>
          <w:szCs w:val="17"/>
          <w:color w:val="auto"/>
        </w:rPr>
        <w:t>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TapImmune Inc., a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w:t>
      </w:r>
    </w:p>
    <w:p>
      <w:pPr>
        <w:spacing w:after="0" w:line="347" w:lineRule="exact"/>
        <w:rPr>
          <w:sz w:val="20"/>
          <w:szCs w:val="20"/>
          <w:color w:val="auto"/>
        </w:rPr>
      </w:pPr>
    </w:p>
    <w:p>
      <w:pPr>
        <w:sectPr>
          <w:pgSz w:w="11900" w:h="16838" w:orient="portrait"/>
          <w:cols w:equalWidth="0" w:num="2">
            <w:col w:w="5400" w:space="340"/>
            <w:col w:w="5680"/>
          </w:cols>
          <w:pgMar w:left="240" w:top="270" w:right="23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25" w:lineRule="exact"/>
        <w:rPr>
          <w:sz w:val="20"/>
          <w:szCs w:val="20"/>
          <w:color w:val="auto"/>
        </w:rPr>
      </w:pPr>
    </w:p>
    <w:p>
      <w:pPr>
        <w:ind w:left="1860"/>
        <w:spacing w:after="0"/>
        <w:tabs>
          <w:tab w:leader="none" w:pos="5080" w:val="left"/>
        </w:tabs>
        <w:rPr>
          <w:sz w:val="20"/>
          <w:szCs w:val="20"/>
          <w:color w:val="auto"/>
        </w:rPr>
      </w:pPr>
      <w:r>
        <w:rPr>
          <w:rFonts w:ascii="Arial" w:cs="Arial" w:eastAsia="Arial" w:hAnsi="Arial"/>
          <w:sz w:val="18"/>
          <w:szCs w:val="18"/>
          <w:color w:val="auto"/>
        </w:rPr>
        <w:t>a “Cash Exercise” with respect to</w:t>
      </w:r>
      <w:r>
        <w:rPr>
          <w:sz w:val="20"/>
          <w:szCs w:val="20"/>
          <w:color w:val="auto"/>
        </w:rPr>
        <w:tab/>
      </w:r>
      <w:r>
        <w:rPr>
          <w:rFonts w:ascii="Arial" w:cs="Arial" w:eastAsia="Arial" w:hAnsi="Arial"/>
          <w:sz w:val="15"/>
          <w:szCs w:val="15"/>
          <w:color w:val="auto"/>
        </w:rPr>
        <w:t>Warrant Shares; and/or</w:t>
      </w:r>
    </w:p>
    <w:p>
      <w:pPr>
        <w:spacing w:after="0" w:line="225" w:lineRule="exact"/>
        <w:rPr>
          <w:sz w:val="20"/>
          <w:szCs w:val="20"/>
          <w:color w:val="auto"/>
        </w:rPr>
      </w:pPr>
    </w:p>
    <w:p>
      <w:pPr>
        <w:ind w:left="1860"/>
        <w:spacing w:after="0"/>
        <w:tabs>
          <w:tab w:leader="none" w:pos="5340" w:val="left"/>
        </w:tabs>
        <w:rPr>
          <w:sz w:val="20"/>
          <w:szCs w:val="20"/>
          <w:color w:val="auto"/>
        </w:rPr>
      </w:pPr>
      <w:r>
        <w:rPr>
          <w:rFonts w:ascii="Arial" w:cs="Arial" w:eastAsia="Arial" w:hAnsi="Arial"/>
          <w:sz w:val="18"/>
          <w:szCs w:val="18"/>
          <w:color w:val="auto"/>
        </w:rPr>
        <w:t>a “Cashless Exercise” with respect to</w:t>
      </w:r>
      <w:r>
        <w:rPr>
          <w:sz w:val="20"/>
          <w:szCs w:val="20"/>
          <w:color w:val="auto"/>
        </w:rPr>
        <w:tab/>
      </w:r>
      <w:r>
        <w:rPr>
          <w:rFonts w:ascii="Arial" w:cs="Arial" w:eastAsia="Arial" w:hAnsi="Arial"/>
          <w:sz w:val="15"/>
          <w:szCs w:val="15"/>
          <w:color w:val="auto"/>
        </w:rPr>
        <w:t>Warrant Shares.</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right="100" w:firstLine="464"/>
        <w:spacing w:after="0" w:line="342" w:lineRule="auto"/>
        <w:tabs>
          <w:tab w:leader="none" w:pos="636"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241935</wp:posOffset>
            </wp:positionV>
            <wp:extent cx="21697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464820</wp:posOffset>
            </wp:positionV>
            <wp:extent cx="21697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688340</wp:posOffset>
            </wp:positionV>
            <wp:extent cx="21697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type w:val="continuous"/>
        </w:sectPr>
      </w:pPr>
    </w:p>
    <w:bookmarkStart w:id="61" w:name="page62"/>
    <w:bookmarkEnd w:id="6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240" w:top="270" w:right="5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E WARRANT TO PURCHASE COMMON STOCK</w:t>
      </w:r>
    </w:p>
    <w:p>
      <w:pPr>
        <w:spacing w:after="0" w:line="229"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Series E Warrant No.: 1-12-15 – [</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 xml:space="preserve">hereby acknowledged, </w:t>
      </w:r>
      <w:r>
        <w:rPr>
          <w:rFonts w:ascii="Arial" w:cs="Arial" w:eastAsia="Arial" w:hAnsi="Arial"/>
          <w:sz w:val="16"/>
          <w:szCs w:val="16"/>
          <w:b w:val="1"/>
          <w:bCs w:val="1"/>
          <w:color w:val="auto"/>
        </w:rPr>
        <w:t>[ ]</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but not after 11:59 p.m., New York time, on the Expiration Date (as defined below), </w:t>
      </w:r>
      <w:r>
        <w:rPr>
          <w:rFonts w:ascii="Arial" w:cs="Arial" w:eastAsia="Arial" w:hAnsi="Arial"/>
          <w:sz w:val="18"/>
          <w:szCs w:val="18"/>
          <w:b w:val="1"/>
          <w:bCs w:val="1"/>
          <w:color w:val="auto"/>
        </w:rPr>
        <w:t>[ ]</w:t>
      </w:r>
      <w:r>
        <w:rPr>
          <w:rFonts w:ascii="Arial" w:cs="Arial" w:eastAsia="Arial" w:hAnsi="Arial"/>
          <w:sz w:val="18"/>
          <w:szCs w:val="18"/>
          <w:color w:val="auto"/>
        </w:rPr>
        <w:t xml:space="preserve">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191"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7" w:lineRule="auto"/>
        <w:tabs>
          <w:tab w:leader="none" w:pos="701"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Mechanics of Exercise</w:t>
      </w:r>
      <w:r>
        <w:rPr>
          <w:rFonts w:ascii="Arial" w:cs="Arial" w:eastAsia="Arial" w:hAnsi="Arial"/>
          <w:sz w:val="17"/>
          <w:szCs w:val="17"/>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Exercise Notice</w:t>
      </w:r>
      <w:r>
        <w:rPr>
          <w:rFonts w:ascii="Arial" w:cs="Arial" w:eastAsia="Arial" w:hAnsi="Arial"/>
          <w:sz w:val="17"/>
          <w:szCs w:val="17"/>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7"/>
          <w:szCs w:val="17"/>
          <w:b w:val="1"/>
          <w:bCs w:val="1"/>
          <w:color w:val="auto"/>
        </w:rPr>
        <w:t>Aggregate Exercise Price</w:t>
      </w:r>
      <w:r>
        <w:rPr>
          <w:rFonts w:ascii="Arial" w:cs="Arial" w:eastAsia="Arial" w:hAnsi="Arial"/>
          <w:sz w:val="17"/>
          <w:szCs w:val="17"/>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to the Holder and the Company’s transfer agent (the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 On or before the third (3rd ) Trading Day following the date on which the Company has received such Exercise Notice, the Company shall (X)</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the Transfer Agent is participating in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3" w:name="page64"/>
    <w:bookmarkEnd w:id="63"/>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175" w:lineRule="exact"/>
        <w:rPr>
          <w:sz w:val="20"/>
          <w:szCs w:val="20"/>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$1.25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4" w:name="page65"/>
    <w:bookmarkEnd w:id="64"/>
    <w:p>
      <w:pPr>
        <w:ind w:left="-40" w:right="40" w:firstLine="464"/>
        <w:spacing w:after="0" w:line="279" w:lineRule="auto"/>
        <w:tabs>
          <w:tab w:leader="none" w:pos="671"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the foregoing formula: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420"/>
        <w:spacing w:after="0" w:line="271" w:lineRule="auto"/>
        <w:rPr>
          <w:sz w:val="20"/>
          <w:szCs w:val="20"/>
          <w:color w:val="auto"/>
        </w:rPr>
      </w:pPr>
      <w:r>
        <w:rPr>
          <w:rFonts w:ascii="Arial" w:cs="Arial" w:eastAsia="Arial" w:hAnsi="Arial"/>
          <w:sz w:val="17"/>
          <w:szCs w:val="17"/>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40" w:right="160" w:firstLine="464"/>
        <w:spacing w:after="0" w:line="312" w:lineRule="auto"/>
        <w:tabs>
          <w:tab w:leader="none" w:pos="66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40" w:right="40" w:firstLine="464"/>
        <w:spacing w:after="0" w:line="284" w:lineRule="auto"/>
        <w:tabs>
          <w:tab w:leader="none" w:pos="64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65" w:name="page66"/>
    <w:bookmarkEnd w:id="65"/>
    <w:p>
      <w:pPr>
        <w:ind w:left="-8" w:right="60" w:firstLine="464"/>
        <w:spacing w:after="0" w:line="286" w:lineRule="auto"/>
        <w:tabs>
          <w:tab w:leader="none" w:pos="70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71" w:lineRule="exact"/>
        <w:rPr>
          <w:rFonts w:ascii="Arial" w:cs="Arial" w:eastAsia="Arial" w:hAnsi="Arial"/>
          <w:sz w:val="16"/>
          <w:szCs w:val="16"/>
          <w:color w:val="auto"/>
        </w:rPr>
      </w:pPr>
    </w:p>
    <w:p>
      <w:pPr>
        <w:ind w:left="-8" w:right="140" w:firstLine="8"/>
        <w:spacing w:after="0" w:line="277" w:lineRule="auto"/>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66" w:name="page67"/>
    <w:bookmarkEnd w:id="66"/>
    <w:p>
      <w:pPr>
        <w:ind w:left="-8" w:right="120" w:firstLine="464"/>
        <w:spacing w:after="0" w:line="308" w:lineRule="auto"/>
        <w:tabs>
          <w:tab w:leader="none" w:pos="693"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20" w:firstLine="8"/>
        <w:spacing w:after="0" w:line="269" w:lineRule="auto"/>
        <w:tabs>
          <w:tab w:leader="none" w:pos="172"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72" w:hanging="172"/>
        <w:spacing w:after="0"/>
        <w:tabs>
          <w:tab w:leader="none" w:pos="17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69" w:lineRule="exact"/>
        <w:rPr>
          <w:rFonts w:ascii="Arial" w:cs="Arial" w:eastAsia="Arial" w:hAnsi="Arial"/>
          <w:sz w:val="16"/>
          <w:szCs w:val="16"/>
          <w:color w:val="auto"/>
        </w:rPr>
      </w:pPr>
    </w:p>
    <w:p>
      <w:pPr>
        <w:ind w:left="-8" w:right="40" w:firstLine="464"/>
        <w:spacing w:after="0" w:line="289" w:lineRule="auto"/>
        <w:tabs>
          <w:tab w:leader="none" w:pos="703"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67" w:name="page68"/>
    <w:bookmarkEnd w:id="6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0" w:lineRule="exact"/>
        <w:rPr>
          <w:sz w:val="20"/>
          <w:szCs w:val="20"/>
          <w:color w:val="auto"/>
        </w:rPr>
      </w:pPr>
    </w:p>
    <w:p>
      <w:pPr>
        <w:ind w:right="140" w:firstLine="464"/>
        <w:spacing w:after="0" w:line="257" w:lineRule="auto"/>
        <w:tabs>
          <w:tab w:leader="none" w:pos="701"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20" w:firstLine="8"/>
        <w:spacing w:after="0" w:line="287" w:lineRule="auto"/>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8" w:name="page69"/>
    <w:bookmarkEnd w:id="68"/>
    <w:p>
      <w:pPr>
        <w:ind w:left="-8" w:firstLine="8"/>
        <w:spacing w:after="0" w:line="269" w:lineRule="auto"/>
        <w:tabs>
          <w:tab w:leader="none" w:pos="17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72" w:hanging="172"/>
        <w:spacing w:after="0"/>
        <w:tabs>
          <w:tab w:leader="none" w:pos="17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464"/>
        <w:spacing w:after="0" w:line="255" w:lineRule="auto"/>
        <w:tabs>
          <w:tab w:leader="none" w:pos="693"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left="-8" w:right="140" w:firstLine="464"/>
        <w:spacing w:after="0" w:line="276" w:lineRule="auto"/>
        <w:tabs>
          <w:tab w:leader="none" w:pos="703"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left="-8" w:right="60" w:firstLine="464"/>
        <w:spacing w:after="0" w:line="279" w:lineRule="auto"/>
        <w:tabs>
          <w:tab w:leader="none" w:pos="693"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left="-8" w:right="100" w:firstLine="464"/>
        <w:spacing w:after="0" w:line="273" w:lineRule="auto"/>
        <w:tabs>
          <w:tab w:leader="none" w:pos="703"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left="-8" w:right="20" w:firstLine="8"/>
        <w:spacing w:after="0" w:line="257" w:lineRule="auto"/>
        <w:tabs>
          <w:tab w:leader="none" w:pos="17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69" w:name="page70"/>
    <w:bookmarkEnd w:id="6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92" w:lineRule="exact"/>
        <w:rPr>
          <w:sz w:val="20"/>
          <w:szCs w:val="20"/>
          <w:color w:val="auto"/>
        </w:rPr>
      </w:pPr>
    </w:p>
    <w:p>
      <w:pPr>
        <w:ind w:right="60" w:firstLine="8"/>
        <w:spacing w:after="0" w:line="257" w:lineRule="auto"/>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40" w:firstLine="8"/>
        <w:spacing w:after="0" w:line="271" w:lineRule="auto"/>
        <w:tabs>
          <w:tab w:leader="none" w:pos="27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8"/>
        <w:spacing w:after="0" w:line="283" w:lineRule="auto"/>
        <w:tabs>
          <w:tab w:leader="none" w:pos="263"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w:t>
      </w:r>
    </w:p>
    <w:p>
      <w:pPr>
        <w:spacing w:after="0" w:line="6"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REQUEST, A JURY TRIAL FOR THE ADJUDICATION OF ANY DISPUTE HEREUNDER OR IN CONNECTION WITH OR ARISING OUT OF THIS WARRANT OR ANY TRANSACTION CONTEMPLATED HEREBY.</w:t>
      </w:r>
    </w:p>
    <w:p>
      <w:pPr>
        <w:spacing w:after="0" w:line="183" w:lineRule="exact"/>
        <w:rPr>
          <w:rFonts w:ascii="Arial" w:cs="Arial" w:eastAsia="Arial" w:hAnsi="Arial"/>
          <w:sz w:val="16"/>
          <w:szCs w:val="16"/>
          <w:color w:val="auto"/>
        </w:rPr>
      </w:pPr>
    </w:p>
    <w:p>
      <w:pPr>
        <w:jc w:val="both"/>
        <w:ind w:right="180" w:firstLine="8"/>
        <w:spacing w:after="0" w:line="302" w:lineRule="auto"/>
        <w:tabs>
          <w:tab w:leader="none" w:pos="27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80" w:firstLine="8"/>
        <w:spacing w:after="0" w:line="264" w:lineRule="auto"/>
        <w:tabs>
          <w:tab w:leader="none" w:pos="27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70" w:name="page71"/>
    <w:bookmarkEnd w:id="7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75" w:lineRule="exact"/>
        <w:rPr>
          <w:sz w:val="20"/>
          <w:szCs w:val="20"/>
          <w:color w:val="auto"/>
        </w:rPr>
      </w:pPr>
    </w:p>
    <w:p>
      <w:pPr>
        <w:ind w:right="40" w:firstLine="8"/>
        <w:spacing w:after="0" w:line="268" w:lineRule="auto"/>
        <w:tabs>
          <w:tab w:leader="none" w:pos="27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40" w:firstLine="464"/>
        <w:spacing w:after="0" w:line="255" w:lineRule="auto"/>
        <w:tabs>
          <w:tab w:leader="none" w:pos="701"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Bid Price</w:t>
      </w:r>
      <w:r>
        <w:rPr>
          <w:rFonts w:ascii="Arial" w:cs="Arial" w:eastAsia="Arial" w:hAnsi="Arial"/>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8"/>
          <w:szCs w:val="18"/>
          <w:b w:val="1"/>
          <w:bCs w:val="1"/>
          <w:color w:val="auto"/>
        </w:rPr>
        <w:t>Pink Sheets</w:t>
      </w:r>
      <w:r>
        <w:rPr>
          <w:rFonts w:ascii="Arial" w:cs="Arial" w:eastAsia="Arial" w:hAnsi="Arial"/>
          <w:sz w:val="18"/>
          <w:szCs w:val="18"/>
          <w:color w:val="auto"/>
        </w:rPr>
        <w:t>”) as of such time of determination. If the Bid Price cannot be calculated for a security as of the particular time of determination on any of the foregoing bases,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71" w:name="page72"/>
    <w:bookmarkEnd w:id="71"/>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3" w:lineRule="exact"/>
        <w:rPr>
          <w:sz w:val="20"/>
          <w:szCs w:val="20"/>
          <w:color w:val="auto"/>
        </w:rPr>
      </w:pPr>
    </w:p>
    <w:p>
      <w:pPr>
        <w:ind w:left="720" w:hanging="256"/>
        <w:spacing w:after="0"/>
        <w:tabs>
          <w:tab w:leader="none" w:pos="7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right="620" w:firstLine="464"/>
        <w:spacing w:after="0" w:line="347" w:lineRule="auto"/>
        <w:tabs>
          <w:tab w:leader="none" w:pos="681"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right="420" w:firstLine="464"/>
        <w:spacing w:after="0" w:line="282" w:lineRule="auto"/>
        <w:tabs>
          <w:tab w:leader="none" w:pos="711"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right="40" w:firstLine="464"/>
        <w:spacing w:after="0" w:line="347" w:lineRule="auto"/>
        <w:tabs>
          <w:tab w:leader="none" w:pos="711"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fifth (5th) anniversary of the date of the initial exercise of the Series C Warrant or, if such date falls on a day other than a Business Day or on which trading does not take place on the Principal Market (a “Holiday”), the next date that is not a Holiday.</w:t>
      </w:r>
    </w:p>
    <w:p>
      <w:pPr>
        <w:spacing w:after="0" w:line="116" w:lineRule="exact"/>
        <w:rPr>
          <w:rFonts w:ascii="Arial" w:cs="Arial" w:eastAsia="Arial" w:hAnsi="Arial"/>
          <w:sz w:val="16"/>
          <w:szCs w:val="16"/>
          <w:color w:val="auto"/>
        </w:rPr>
      </w:pPr>
    </w:p>
    <w:p>
      <w:pPr>
        <w:ind w:left="680" w:hanging="216"/>
        <w:spacing w:after="0"/>
        <w:tabs>
          <w:tab w:leader="none" w:pos="6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right="100" w:firstLine="8"/>
        <w:spacing w:after="0" w:line="268" w:lineRule="auto"/>
        <w:tabs>
          <w:tab w:leader="none" w:pos="2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72" w:name="page73"/>
    <w:bookmarkEnd w:id="72"/>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20" w:lineRule="exact"/>
        <w:rPr>
          <w:sz w:val="20"/>
          <w:szCs w:val="20"/>
          <w:color w:val="auto"/>
        </w:rPr>
      </w:pPr>
    </w:p>
    <w:p>
      <w:pPr>
        <w:ind w:right="40" w:firstLine="464"/>
        <w:spacing w:after="0" w:line="266" w:lineRule="auto"/>
        <w:tabs>
          <w:tab w:leader="none" w:pos="6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Eligibility Number</w:t>
      </w:r>
      <w:r>
        <w:rPr>
          <w:rFonts w:ascii="Arial" w:cs="Arial" w:eastAsia="Arial" w:hAnsi="Arial"/>
          <w:sz w:val="18"/>
          <w:szCs w:val="18"/>
          <w:color w:val="auto"/>
        </w:rPr>
        <w:t>” means initially zero and shall be increased upon each exercise of the Series C Warrant held by the Holder by such aggregate number of shares of Common Stock equal to 100% of the number of shares of Common Stock issued upon any such exercise of such Series C Warrant (as adjusted for stock splits, stock distributions, recapitalizations and similar events).</w:t>
      </w:r>
    </w:p>
    <w:p>
      <w:pPr>
        <w:spacing w:after="0" w:line="176" w:lineRule="exact"/>
        <w:rPr>
          <w:rFonts w:ascii="Arial" w:cs="Arial" w:eastAsia="Arial" w:hAnsi="Arial"/>
          <w:sz w:val="18"/>
          <w:szCs w:val="18"/>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right="40" w:firstLine="464"/>
        <w:spacing w:after="0" w:line="266" w:lineRule="auto"/>
        <w:tabs>
          <w:tab w:leader="none" w:pos="6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firstLine="464"/>
        <w:spacing w:after="0" w:line="282" w:lineRule="auto"/>
        <w:tabs>
          <w:tab w:leader="none" w:pos="761"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Warrant</w:t>
      </w:r>
      <w:r>
        <w:rPr>
          <w:rFonts w:ascii="Arial" w:cs="Arial" w:eastAsia="Arial" w:hAnsi="Arial"/>
          <w:sz w:val="18"/>
          <w:szCs w:val="18"/>
          <w:color w:val="auto"/>
        </w:rPr>
        <w:t>” means the Series C Warrant to Purchase Common Stock issued pursuant to the Securities Purchase Agreement.</w:t>
      </w:r>
    </w:p>
    <w:p>
      <w:pPr>
        <w:spacing w:after="0" w:line="225" w:lineRule="exact"/>
        <w:rPr>
          <w:rFonts w:ascii="Arial" w:cs="Arial" w:eastAsia="Arial" w:hAnsi="Arial"/>
          <w:sz w:val="18"/>
          <w:szCs w:val="18"/>
          <w:color w:val="auto"/>
        </w:rPr>
      </w:pPr>
    </w:p>
    <w:p>
      <w:pPr>
        <w:ind w:right="240" w:firstLine="464"/>
        <w:spacing w:after="0" w:line="347" w:lineRule="auto"/>
        <w:tabs>
          <w:tab w:leader="none" w:pos="711"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right="140" w:firstLine="464"/>
        <w:spacing w:after="0" w:line="292" w:lineRule="auto"/>
        <w:tabs>
          <w:tab w:leader="none" w:pos="711"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right="100" w:firstLine="464"/>
        <w:spacing w:after="0" w:line="314" w:lineRule="auto"/>
        <w:tabs>
          <w:tab w:leader="none" w:pos="681"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73" w:name="page74"/>
    <w:bookmarkEnd w:id="7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270" w:right="619" w:bottom="1440" w:gutter="0" w:footer="0" w:header="0"/>
        </w:sectPr>
      </w:pPr>
    </w:p>
    <w:bookmarkStart w:id="74" w:name="page75"/>
    <w:bookmarkEnd w:id="7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320"/>
          </w:cols>
          <w:pgMar w:left="240" w:top="270" w:right="339" w:bottom="1440" w:gutter="0" w:footer="0" w:header="0"/>
        </w:sectPr>
      </w:pPr>
    </w:p>
    <w:p>
      <w:pPr>
        <w:spacing w:after="0" w:line="229"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The undersigned holder hereby exercises the right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E Warrant No.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140"/>
        <w:spacing w:after="0" w:line="313" w:lineRule="auto"/>
        <w:rPr>
          <w:sz w:val="20"/>
          <w:szCs w:val="20"/>
          <w:color w:val="auto"/>
        </w:rPr>
      </w:pPr>
      <w:r>
        <w:rPr>
          <w:rFonts w:ascii="Arial" w:cs="Arial" w:eastAsia="Arial" w:hAnsi="Arial"/>
          <w:sz w:val="17"/>
          <w:szCs w:val="17"/>
          <w:color w:val="auto"/>
        </w:rPr>
        <w:t>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TapImmune Inc., a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w:t>
      </w:r>
    </w:p>
    <w:p>
      <w:pPr>
        <w:spacing w:after="0" w:line="336" w:lineRule="exact"/>
        <w:rPr>
          <w:sz w:val="20"/>
          <w:szCs w:val="20"/>
          <w:color w:val="auto"/>
        </w:rPr>
      </w:pPr>
    </w:p>
    <w:p>
      <w:pPr>
        <w:sectPr>
          <w:pgSz w:w="11900" w:h="16838" w:orient="portrait"/>
          <w:cols w:equalWidth="0" w:num="2">
            <w:col w:w="5380" w:space="360"/>
            <w:col w:w="5580"/>
          </w:cols>
          <w:pgMar w:left="240" w:top="270" w:right="339" w:bottom="1440" w:gutter="0" w:footer="0" w:header="0"/>
          <w:type w:val="continuous"/>
        </w:sectPr>
      </w:pP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25" w:lineRule="exact"/>
        <w:rPr>
          <w:sz w:val="20"/>
          <w:szCs w:val="20"/>
          <w:color w:val="auto"/>
        </w:rPr>
      </w:pPr>
    </w:p>
    <w:p>
      <w:pPr>
        <w:ind w:left="1860"/>
        <w:spacing w:after="0"/>
        <w:tabs>
          <w:tab w:leader="none" w:pos="5080" w:val="left"/>
        </w:tabs>
        <w:rPr>
          <w:sz w:val="20"/>
          <w:szCs w:val="20"/>
          <w:color w:val="auto"/>
        </w:rPr>
      </w:pPr>
      <w:r>
        <w:rPr>
          <w:rFonts w:ascii="Arial" w:cs="Arial" w:eastAsia="Arial" w:hAnsi="Arial"/>
          <w:sz w:val="18"/>
          <w:szCs w:val="18"/>
          <w:color w:val="auto"/>
        </w:rPr>
        <w:t>a “Cash Exercise” with respect to</w:t>
      </w:r>
      <w:r>
        <w:rPr>
          <w:sz w:val="20"/>
          <w:szCs w:val="20"/>
          <w:color w:val="auto"/>
        </w:rPr>
        <w:tab/>
      </w:r>
      <w:r>
        <w:rPr>
          <w:rFonts w:ascii="Arial" w:cs="Arial" w:eastAsia="Arial" w:hAnsi="Arial"/>
          <w:sz w:val="15"/>
          <w:szCs w:val="15"/>
          <w:color w:val="auto"/>
        </w:rPr>
        <w:t>Warrant Shares; and/or</w:t>
      </w:r>
    </w:p>
    <w:p>
      <w:pPr>
        <w:spacing w:after="0" w:line="225" w:lineRule="exact"/>
        <w:rPr>
          <w:sz w:val="20"/>
          <w:szCs w:val="20"/>
          <w:color w:val="auto"/>
        </w:rPr>
      </w:pPr>
    </w:p>
    <w:p>
      <w:pPr>
        <w:ind w:left="1860"/>
        <w:spacing w:after="0"/>
        <w:tabs>
          <w:tab w:leader="none" w:pos="5340" w:val="left"/>
        </w:tabs>
        <w:rPr>
          <w:sz w:val="20"/>
          <w:szCs w:val="20"/>
          <w:color w:val="auto"/>
        </w:rPr>
      </w:pPr>
      <w:r>
        <w:rPr>
          <w:rFonts w:ascii="Arial" w:cs="Arial" w:eastAsia="Arial" w:hAnsi="Arial"/>
          <w:sz w:val="18"/>
          <w:szCs w:val="18"/>
          <w:color w:val="auto"/>
        </w:rPr>
        <w:t>a “Cashless Exercise” with respect to</w:t>
      </w:r>
      <w:r>
        <w:rPr>
          <w:sz w:val="20"/>
          <w:szCs w:val="20"/>
          <w:color w:val="auto"/>
        </w:rPr>
        <w:tab/>
      </w:r>
      <w:r>
        <w:rPr>
          <w:rFonts w:ascii="Arial" w:cs="Arial" w:eastAsia="Arial" w:hAnsi="Arial"/>
          <w:sz w:val="15"/>
          <w:szCs w:val="15"/>
          <w:color w:val="auto"/>
        </w:rPr>
        <w:t>Warrant Shares.</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firstLine="464"/>
        <w:spacing w:after="0" w:line="342" w:lineRule="auto"/>
        <w:tabs>
          <w:tab w:leader="none" w:pos="636"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165100</wp:posOffset>
            </wp:positionV>
            <wp:extent cx="21697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387985</wp:posOffset>
            </wp:positionV>
            <wp:extent cx="21697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610870</wp:posOffset>
            </wp:positionV>
            <wp:extent cx="21697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6073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6073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0" w:right="339" w:bottom="1440" w:gutter="0" w:footer="0" w:header="0"/>
          <w:type w:val="continuous"/>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A-1 WARRANT TO PURCHASE COMMON STOCK</w:t>
      </w:r>
    </w:p>
    <w:p>
      <w:pPr>
        <w:spacing w:after="0" w:line="22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Series A-1 Warrant No.: 3-9-15 – AR-[</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March 9,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hereby acknowledged, [ ], the registered holder hereof or its permitted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7"/>
          <w:szCs w:val="17"/>
          <w:b w:val="1"/>
          <w:bCs w:val="1"/>
          <w:color w:val="auto"/>
        </w:rPr>
        <w:t>Warrant</w:t>
      </w:r>
      <w:r>
        <w:rPr>
          <w:rFonts w:ascii="Arial" w:cs="Arial" w:eastAsia="Arial" w:hAnsi="Arial"/>
          <w:sz w:val="17"/>
          <w:szCs w:val="17"/>
          <w:color w:val="auto"/>
        </w:rPr>
        <w:t>”), at any time or times on or after November 28, 2015 but not after 11:59 p.m., New York time, on the Expiration Date (as defined below), 5,000,000 (subject to adjustment as provided herein) fully paid and non-assessable shares of Common Stock (as defined below)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7"/>
          <w:szCs w:val="17"/>
          <w:b w:val="1"/>
          <w:bCs w:val="1"/>
          <w:color w:val="auto"/>
        </w:rPr>
        <w:t>SPA Warrants</w:t>
      </w:r>
      <w:r>
        <w:rPr>
          <w:rFonts w:ascii="Arial" w:cs="Arial" w:eastAsia="Arial" w:hAnsi="Arial"/>
          <w:sz w:val="17"/>
          <w:szCs w:val="17"/>
          <w:color w:val="auto"/>
        </w:rPr>
        <w:t>”) issued pursuant to that certain Securities Purchase Agreement, dated as of March 9, 2015, by and among the Company and the investor(s) thereunder (the “</w:t>
      </w:r>
      <w:r>
        <w:rPr>
          <w:rFonts w:ascii="Arial" w:cs="Arial" w:eastAsia="Arial" w:hAnsi="Arial"/>
          <w:sz w:val="17"/>
          <w:szCs w:val="17"/>
          <w:b w:val="1"/>
          <w:bCs w:val="1"/>
          <w:color w:val="auto"/>
        </w:rPr>
        <w:t>Buyer</w:t>
      </w:r>
      <w:r>
        <w:rPr>
          <w:rFonts w:ascii="Arial" w:cs="Arial" w:eastAsia="Arial" w:hAnsi="Arial"/>
          <w:sz w:val="17"/>
          <w:szCs w:val="17"/>
          <w:color w:val="auto"/>
        </w:rPr>
        <w:t>” or “</w:t>
      </w:r>
      <w:r>
        <w:rPr>
          <w:rFonts w:ascii="Arial" w:cs="Arial" w:eastAsia="Arial" w:hAnsi="Arial"/>
          <w:sz w:val="17"/>
          <w:szCs w:val="17"/>
          <w:b w:val="1"/>
          <w:bCs w:val="1"/>
          <w:color w:val="auto"/>
        </w:rPr>
        <w:t>Buyers</w:t>
      </w:r>
      <w:r>
        <w:rPr>
          <w:rFonts w:ascii="Arial" w:cs="Arial" w:eastAsia="Arial" w:hAnsi="Arial"/>
          <w:sz w:val="17"/>
          <w:szCs w:val="17"/>
          <w:color w:val="auto"/>
        </w:rPr>
        <w:t>” as applicable) referred to therein (the “</w:t>
      </w:r>
      <w:r>
        <w:rPr>
          <w:rFonts w:ascii="Arial" w:cs="Arial" w:eastAsia="Arial" w:hAnsi="Arial"/>
          <w:sz w:val="17"/>
          <w:szCs w:val="17"/>
          <w:b w:val="1"/>
          <w:bCs w:val="1"/>
          <w:color w:val="auto"/>
        </w:rPr>
        <w:t>Securities Purchase Agreement</w:t>
      </w:r>
      <w:r>
        <w:rPr>
          <w:rFonts w:ascii="Arial" w:cs="Arial" w:eastAsia="Arial" w:hAnsi="Arial"/>
          <w:sz w:val="17"/>
          <w:szCs w:val="17"/>
          <w:color w:val="auto"/>
        </w:rPr>
        <w:t>”).</w:t>
      </w:r>
    </w:p>
    <w:p>
      <w:pPr>
        <w:spacing w:after="0" w:line="184"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7" w:lineRule="auto"/>
        <w:tabs>
          <w:tab w:leader="none" w:pos="701"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Mechanics of Exercise</w:t>
      </w:r>
      <w:r>
        <w:rPr>
          <w:rFonts w:ascii="Arial" w:cs="Arial" w:eastAsia="Arial" w:hAnsi="Arial"/>
          <w:sz w:val="17"/>
          <w:szCs w:val="17"/>
          <w:color w:val="auto"/>
        </w:rPr>
        <w:t xml:space="preserve">. Subject to the terms and conditions hereof (including, without limitation, the limitations set forth in Section 1(h)),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Exercise Notice</w:t>
      </w:r>
      <w:r>
        <w:rPr>
          <w:rFonts w:ascii="Arial" w:cs="Arial" w:eastAsia="Arial" w:hAnsi="Arial"/>
          <w:sz w:val="17"/>
          <w:szCs w:val="17"/>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7"/>
          <w:szCs w:val="17"/>
          <w:b w:val="1"/>
          <w:bCs w:val="1"/>
          <w:color w:val="auto"/>
        </w:rPr>
        <w:t>Aggregate Exercise Price</w:t>
      </w:r>
      <w:r>
        <w:rPr>
          <w:rFonts w:ascii="Arial" w:cs="Arial" w:eastAsia="Arial" w:hAnsi="Arial"/>
          <w:sz w:val="17"/>
          <w:szCs w:val="17"/>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to the Holder and the Company’s transfer agent (the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 On or before the third (3rd ) Trading Day following the date on which the Company has received such Exercise Notice, the Company shall (X)</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the Transfer Agent is participating in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77" w:name="page78"/>
    <w:bookmarkEnd w:id="7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74" w:lineRule="exact"/>
        <w:rPr>
          <w:sz w:val="20"/>
          <w:szCs w:val="20"/>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$0.10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8" w:name="page79"/>
    <w:bookmarkEnd w:id="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 foregoing formula:</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900"/>
        <w:spacing w:after="0" w:line="290"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20" w:right="180" w:firstLine="464"/>
        <w:spacing w:after="0" w:line="312" w:lineRule="auto"/>
        <w:tabs>
          <w:tab w:leader="none" w:pos="68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20" w:right="40" w:firstLine="464"/>
        <w:spacing w:after="0" w:line="270" w:lineRule="auto"/>
        <w:tabs>
          <w:tab w:leader="none" w:pos="661"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HSR Compliance</w:t>
      </w:r>
      <w:r>
        <w:rPr>
          <w:rFonts w:ascii="Arial" w:cs="Arial" w:eastAsia="Arial" w:hAnsi="Arial"/>
          <w:sz w:val="17"/>
          <w:szCs w:val="17"/>
          <w:color w:val="auto"/>
        </w:rPr>
        <w:t>. The Company acknowledges that issuance of the Warrant and the Warrant Shares to Holder may subject Holder to the filing requirements of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As such, the issuance of the Warrant Shares may be subject to compliance by Holder with all applicable filing requirements and the expiration of all waiting periods under the HSR Act (the “</w:t>
      </w:r>
      <w:r>
        <w:rPr>
          <w:rFonts w:ascii="Arial" w:cs="Arial" w:eastAsia="Arial" w:hAnsi="Arial"/>
          <w:sz w:val="17"/>
          <w:szCs w:val="17"/>
          <w:b w:val="1"/>
          <w:bCs w:val="1"/>
          <w:color w:val="auto"/>
        </w:rPr>
        <w:t>HSR Act</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Restrictions</w:t>
      </w:r>
      <w:r>
        <w:rPr>
          <w:rFonts w:ascii="Arial" w:cs="Arial" w:eastAsia="Arial" w:hAnsi="Arial"/>
          <w:sz w:val="17"/>
          <w:szCs w:val="17"/>
          <w:color w:val="auto"/>
        </w:rPr>
        <w:t>”). If, on or before the expiration of any period of time for Holder to exercise any right or comply with any obligation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177" w:lineRule="exact"/>
        <w:rPr>
          <w:rFonts w:ascii="Arial" w:cs="Arial" w:eastAsia="Arial" w:hAnsi="Arial"/>
          <w:sz w:val="17"/>
          <w:szCs w:val="17"/>
          <w:color w:val="auto"/>
        </w:rPr>
      </w:pPr>
    </w:p>
    <w:p>
      <w:pPr>
        <w:ind w:left="-20" w:right="40" w:firstLine="464"/>
        <w:spacing w:after="0" w:line="288" w:lineRule="auto"/>
        <w:tabs>
          <w:tab w:leader="none" w:pos="6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79" w:name="page80"/>
    <w:bookmarkEnd w:id="79"/>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88" w:lineRule="exact"/>
        <w:rPr>
          <w:sz w:val="20"/>
          <w:szCs w:val="20"/>
          <w:color w:val="auto"/>
        </w:rPr>
      </w:pPr>
    </w:p>
    <w:p>
      <w:pPr>
        <w:ind w:right="100" w:firstLine="464"/>
        <w:spacing w:after="0" w:line="283" w:lineRule="auto"/>
        <w:tabs>
          <w:tab w:leader="none" w:pos="711"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Limitation on Exercise</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w:t>
      </w:r>
    </w:p>
    <w:p>
      <w:pPr>
        <w:spacing w:after="0" w:line="1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7"/>
          <w:szCs w:val="17"/>
          <w:b w:val="1"/>
          <w:bCs w:val="1"/>
          <w:color w:val="auto"/>
        </w:rPr>
        <w:t>Excess Shares</w:t>
      </w:r>
      <w:r>
        <w:rPr>
          <w:rFonts w:ascii="Arial" w:cs="Arial" w:eastAsia="Arial" w:hAnsi="Arial"/>
          <w:sz w:val="17"/>
          <w:szCs w:val="17"/>
          <w:color w:val="auto"/>
        </w:rPr>
        <w:t>”)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70" w:lineRule="exact"/>
        <w:rPr>
          <w:sz w:val="20"/>
          <w:szCs w:val="20"/>
          <w:color w:val="auto"/>
        </w:rPr>
      </w:pPr>
    </w:p>
    <w:p>
      <w:pPr>
        <w:ind w:right="400" w:firstLine="8"/>
        <w:spacing w:after="0" w:line="277" w:lineRule="auto"/>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right="120" w:firstLine="464"/>
        <w:spacing w:after="0" w:line="264" w:lineRule="auto"/>
        <w:tabs>
          <w:tab w:leader="none" w:pos="701"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w:t>
      </w:r>
      <w:r>
        <w:rPr>
          <w:rFonts w:ascii="Arial" w:cs="Arial" w:eastAsia="Arial" w:hAnsi="Arial"/>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0" w:name="page81"/>
    <w:bookmarkEnd w:id="8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3" w:lineRule="exact"/>
        <w:rPr>
          <w:sz w:val="20"/>
          <w:szCs w:val="20"/>
          <w:color w:val="auto"/>
        </w:rPr>
      </w:pPr>
    </w:p>
    <w:p>
      <w:pPr>
        <w:ind w:right="40" w:firstLine="464"/>
        <w:spacing w:after="0" w:line="271" w:lineRule="auto"/>
        <w:tabs>
          <w:tab w:leader="none" w:pos="711"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78" w:lineRule="exact"/>
        <w:rPr>
          <w:rFonts w:ascii="Arial" w:cs="Arial" w:eastAsia="Arial" w:hAnsi="Arial"/>
          <w:sz w:val="17"/>
          <w:szCs w:val="17"/>
          <w:color w:val="auto"/>
        </w:rPr>
      </w:pPr>
    </w:p>
    <w:p>
      <w:pPr>
        <w:ind w:right="100" w:firstLine="464"/>
        <w:spacing w:after="0" w:line="308" w:lineRule="auto"/>
        <w:tabs>
          <w:tab w:leader="none" w:pos="701"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right="280" w:firstLine="464"/>
        <w:spacing w:after="0" w:line="264" w:lineRule="auto"/>
        <w:tabs>
          <w:tab w:leader="none" w:pos="711"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firstLine="8"/>
        <w:spacing w:after="0" w:line="287" w:lineRule="auto"/>
        <w:tabs>
          <w:tab w:leader="none" w:pos="18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1" w:name="page82"/>
    <w:bookmarkEnd w:id="81"/>
    <w:p>
      <w:pPr>
        <w:ind w:left="172" w:hanging="172"/>
        <w:spacing w:after="0"/>
        <w:tabs>
          <w:tab w:leader="none" w:pos="17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464"/>
        <w:spacing w:after="0" w:line="269" w:lineRule="auto"/>
        <w:tabs>
          <w:tab w:leader="none" w:pos="693"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ind w:left="-8" w:right="20" w:firstLine="464"/>
        <w:spacing w:after="0" w:line="284" w:lineRule="auto"/>
        <w:tabs>
          <w:tab w:leader="none" w:pos="703"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w:t>
      </w: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82" w:name="page83"/>
    <w:bookmarkEnd w:id="82"/>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1" w:lineRule="exact"/>
        <w:rPr>
          <w:sz w:val="20"/>
          <w:szCs w:val="20"/>
          <w:color w:val="auto"/>
        </w:rPr>
      </w:pPr>
    </w:p>
    <w:p>
      <w:pPr>
        <w:ind w:right="140" w:firstLine="464"/>
        <w:spacing w:after="0" w:line="257" w:lineRule="auto"/>
        <w:tabs>
          <w:tab w:leader="none" w:pos="701"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20" w:firstLine="8"/>
        <w:spacing w:after="0" w:line="287" w:lineRule="auto"/>
        <w:tabs>
          <w:tab w:leader="none" w:pos="18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72" w:lineRule="exact"/>
        <w:rPr>
          <w:rFonts w:ascii="Arial" w:cs="Arial" w:eastAsia="Arial" w:hAnsi="Arial"/>
          <w:sz w:val="16"/>
          <w:szCs w:val="16"/>
          <w:color w:val="auto"/>
        </w:rPr>
      </w:pPr>
    </w:p>
    <w:p>
      <w:pPr>
        <w:ind w:firstLine="8"/>
        <w:spacing w:after="0" w:line="269" w:lineRule="auto"/>
        <w:tabs>
          <w:tab w:leader="none" w:pos="18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64"/>
        <w:spacing w:after="0" w:line="255" w:lineRule="auto"/>
        <w:tabs>
          <w:tab w:leader="none" w:pos="701"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right="140" w:firstLine="464"/>
        <w:spacing w:after="0" w:line="277" w:lineRule="auto"/>
        <w:tabs>
          <w:tab w:leader="none" w:pos="711"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Warrant</w:t>
      </w:r>
      <w:r>
        <w:rPr>
          <w:rFonts w:ascii="Arial" w:cs="Arial" w:eastAsia="Arial" w:hAnsi="Arial"/>
          <w:sz w:val="18"/>
          <w:szCs w:val="18"/>
          <w:color w:val="auto"/>
        </w:rPr>
        <w:t>. Upon receipt by the Company of evidence reasonably satisfactory to the Company of the loss, theft, destruction or mutilation of this Warrant (as to which a written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3" w:name="page84"/>
    <w:bookmarkEnd w:id="83"/>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7" w:lineRule="exact"/>
        <w:rPr>
          <w:sz w:val="20"/>
          <w:szCs w:val="20"/>
          <w:color w:val="auto"/>
        </w:rPr>
      </w:pPr>
    </w:p>
    <w:p>
      <w:pPr>
        <w:ind w:right="40" w:firstLine="464"/>
        <w:spacing w:after="0" w:line="279" w:lineRule="auto"/>
        <w:tabs>
          <w:tab w:leader="none" w:pos="701"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80" w:firstLine="464"/>
        <w:spacing w:after="0" w:line="273" w:lineRule="auto"/>
        <w:tabs>
          <w:tab w:leader="none" w:pos="711"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firstLine="8"/>
        <w:spacing w:after="0" w:line="269" w:lineRule="auto"/>
        <w:tabs>
          <w:tab w:leader="none" w:pos="18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79" w:lineRule="exact"/>
        <w:rPr>
          <w:rFonts w:ascii="Arial" w:cs="Arial" w:eastAsia="Arial" w:hAnsi="Arial"/>
          <w:sz w:val="17"/>
          <w:szCs w:val="17"/>
          <w:color w:val="auto"/>
        </w:rPr>
      </w:pPr>
    </w:p>
    <w:p>
      <w:pPr>
        <w:ind w:right="40" w:firstLine="8"/>
        <w:spacing w:after="0" w:line="257" w:lineRule="auto"/>
        <w:tabs>
          <w:tab w:leader="none" w:pos="1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(other than Section 1(h)), the provisions of this Warrant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20" w:firstLine="8"/>
        <w:spacing w:after="0" w:line="271" w:lineRule="auto"/>
        <w:tabs>
          <w:tab w:leader="none" w:pos="27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4" w:name="page85"/>
    <w:bookmarkEnd w:id="84"/>
    <w:p>
      <w:pPr>
        <w:ind w:left="-8" w:firstLine="8"/>
        <w:spacing w:after="0" w:line="257"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ARBITRATION</w:t>
      </w:r>
      <w:r>
        <w:rPr>
          <w:rFonts w:ascii="Arial" w:cs="Arial" w:eastAsia="Arial" w:hAnsi="Arial"/>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188" w:lineRule="exact"/>
        <w:rPr>
          <w:rFonts w:ascii="Arial" w:cs="Arial" w:eastAsia="Arial" w:hAnsi="Arial"/>
          <w:sz w:val="18"/>
          <w:szCs w:val="18"/>
          <w:color w:val="auto"/>
        </w:rPr>
      </w:pPr>
    </w:p>
    <w:p>
      <w:pPr>
        <w:jc w:val="both"/>
        <w:ind w:left="-8" w:right="160" w:firstLine="8"/>
        <w:spacing w:after="0" w:line="302" w:lineRule="auto"/>
        <w:tabs>
          <w:tab w:leader="none" w:pos="26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left="-8" w:right="60" w:firstLine="8"/>
        <w:spacing w:after="0" w:line="268" w:lineRule="auto"/>
        <w:tabs>
          <w:tab w:leader="none" w:pos="262"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rFonts w:ascii="Arial" w:cs="Arial" w:eastAsia="Arial" w:hAnsi="Arial"/>
          <w:sz w:val="17"/>
          <w:szCs w:val="17"/>
          <w:color w:val="auto"/>
        </w:rPr>
      </w:pPr>
    </w:p>
    <w:p>
      <w:pPr>
        <w:ind w:left="-8" w:right="40" w:firstLine="8"/>
        <w:spacing w:after="0" w:line="268" w:lineRule="auto"/>
        <w:tabs>
          <w:tab w:leader="none" w:pos="262"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85" w:name="page86"/>
    <w:bookmarkEnd w:id="85"/>
    <w:p>
      <w:pPr>
        <w:jc w:val="both"/>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24"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60" w:firstLine="464"/>
        <w:spacing w:after="0" w:line="270" w:lineRule="auto"/>
        <w:tabs>
          <w:tab w:leader="none" w:pos="701" w:val="left"/>
        </w:tabs>
        <w:numPr>
          <w:ilvl w:val="1"/>
          <w:numId w:val="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7"/>
          <w:szCs w:val="17"/>
          <w:b w:val="1"/>
          <w:bCs w:val="1"/>
          <w:color w:val="auto"/>
        </w:rPr>
        <w:t>Pink Sheets</w:t>
      </w:r>
      <w:r>
        <w:rPr>
          <w:rFonts w:ascii="Arial" w:cs="Arial" w:eastAsia="Arial" w:hAnsi="Arial"/>
          <w:sz w:val="17"/>
          <w:szCs w:val="17"/>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ind w:left="720" w:hanging="256"/>
        <w:spacing w:after="0"/>
        <w:tabs>
          <w:tab w:leader="none" w:pos="7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right="620" w:firstLine="464"/>
        <w:spacing w:after="0" w:line="347" w:lineRule="auto"/>
        <w:tabs>
          <w:tab w:leader="none" w:pos="681" w:val="left"/>
        </w:tabs>
        <w:numPr>
          <w:ilvl w:val="1"/>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86" w:name="page87"/>
    <w:bookmarkEnd w:id="86"/>
    <w:p>
      <w:pPr>
        <w:ind w:left="-8" w:right="360" w:firstLine="464"/>
        <w:spacing w:after="0" w:line="282" w:lineRule="auto"/>
        <w:tabs>
          <w:tab w:leader="none" w:pos="703"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left="-8" w:firstLine="464"/>
        <w:spacing w:after="0" w:line="282" w:lineRule="auto"/>
        <w:tabs>
          <w:tab w:leader="none" w:pos="703"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61" w:lineRule="exact"/>
        <w:rPr>
          <w:rFonts w:ascii="Arial" w:cs="Arial" w:eastAsia="Arial" w:hAnsi="Arial"/>
          <w:sz w:val="18"/>
          <w:szCs w:val="18"/>
          <w:color w:val="auto"/>
        </w:rPr>
      </w:pPr>
    </w:p>
    <w:p>
      <w:pPr>
        <w:ind w:left="672" w:hanging="216"/>
        <w:spacing w:after="0"/>
        <w:tabs>
          <w:tab w:leader="none" w:pos="672" w:val="left"/>
        </w:tabs>
        <w:numPr>
          <w:ilvl w:val="1"/>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left="-8" w:right="40" w:firstLine="8"/>
        <w:spacing w:after="0" w:line="267" w:lineRule="auto"/>
        <w:tabs>
          <w:tab w:leader="none" w:pos="24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1" w:lineRule="exact"/>
        <w:rPr>
          <w:rFonts w:ascii="Arial" w:cs="Arial" w:eastAsia="Arial" w:hAnsi="Arial"/>
          <w:sz w:val="17"/>
          <w:szCs w:val="17"/>
          <w:color w:val="auto"/>
        </w:rPr>
      </w:pPr>
    </w:p>
    <w:p>
      <w:pPr>
        <w:ind w:left="672" w:hanging="216"/>
        <w:spacing w:after="0"/>
        <w:tabs>
          <w:tab w:leader="none" w:pos="67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8" w:firstLine="464"/>
        <w:spacing w:after="0" w:line="266" w:lineRule="auto"/>
        <w:tabs>
          <w:tab w:leader="none" w:pos="70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8" w:right="60" w:firstLine="464"/>
        <w:spacing w:after="0" w:line="282" w:lineRule="auto"/>
        <w:tabs>
          <w:tab w:leader="none" w:pos="66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52" w:hanging="296"/>
        <w:spacing w:after="0"/>
        <w:tabs>
          <w:tab w:leader="none" w:pos="75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8" w:right="200" w:firstLine="464"/>
        <w:spacing w:after="0" w:line="347" w:lineRule="auto"/>
        <w:tabs>
          <w:tab w:leader="none" w:pos="70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left="-8" w:right="100" w:firstLine="464"/>
        <w:spacing w:after="0" w:line="292" w:lineRule="auto"/>
        <w:tabs>
          <w:tab w:leader="none" w:pos="70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52"/>
          </w:cols>
          <w:pgMar w:left="248" w:top="270" w:right="299" w:bottom="1440" w:gutter="0" w:footer="0" w:header="0"/>
        </w:sectPr>
      </w:pPr>
    </w:p>
    <w:bookmarkStart w:id="87" w:name="page88"/>
    <w:bookmarkEnd w:id="87"/>
    <w:p>
      <w:pPr>
        <w:ind w:left="-100" w:firstLine="464"/>
        <w:spacing w:after="0" w:line="314" w:lineRule="auto"/>
        <w:tabs>
          <w:tab w:leader="none" w:pos="611" w:val="left"/>
        </w:tabs>
        <w:numPr>
          <w:ilvl w:val="0"/>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40" w:top="270" w:right="339" w:bottom="1440" w:gutter="0" w:footer="0" w:header="0"/>
        </w:sectPr>
      </w:pPr>
    </w:p>
    <w:bookmarkStart w:id="88" w:name="page89"/>
    <w:bookmarkEnd w:id="8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Glynn Wilson, Chief Executive Officer</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270" w:right="619" w:bottom="1440" w:gutter="0" w:footer="0" w:header="0"/>
        </w:sectPr>
      </w:pPr>
    </w:p>
    <w:bookmarkStart w:id="89" w:name="page90"/>
    <w:bookmarkEnd w:id="8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320"/>
          </w:cols>
          <w:pgMar w:left="240" w:top="270" w:right="339" w:bottom="1440" w:gutter="0" w:footer="0" w:header="0"/>
        </w:sectPr>
      </w:pPr>
    </w:p>
    <w:p>
      <w:pPr>
        <w:spacing w:after="0" w:line="229"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undersigned holder hereby exercises the right to purchase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Series A-1 Warrant No. 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hanging="803"/>
        <w:spacing w:after="0" w:line="347" w:lineRule="auto"/>
        <w:rPr>
          <w:sz w:val="20"/>
          <w:szCs w:val="20"/>
          <w:color w:val="auto"/>
        </w:rPr>
      </w:pPr>
      <w:r>
        <w:rPr>
          <w:rFonts w:ascii="Arial" w:cs="Arial" w:eastAsia="Arial" w:hAnsi="Arial"/>
          <w:sz w:val="16"/>
          <w:szCs w:val="16"/>
          <w:color w:val="auto"/>
        </w:rPr>
        <w:t>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w:t>
      </w:r>
    </w:p>
    <w:p>
      <w:pPr>
        <w:spacing w:after="0" w:line="336" w:lineRule="exact"/>
        <w:rPr>
          <w:sz w:val="20"/>
          <w:szCs w:val="20"/>
          <w:color w:val="auto"/>
        </w:rPr>
      </w:pPr>
    </w:p>
    <w:p>
      <w:pPr>
        <w:sectPr>
          <w:pgSz w:w="11900" w:h="16838" w:orient="portrait"/>
          <w:cols w:equalWidth="0" w:num="2">
            <w:col w:w="5820" w:space="720"/>
            <w:col w:w="4780"/>
          </w:cols>
          <w:pgMar w:left="240" w:top="270" w:right="3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25" w:lineRule="exact"/>
        <w:rPr>
          <w:sz w:val="20"/>
          <w:szCs w:val="20"/>
          <w:color w:val="auto"/>
        </w:rPr>
      </w:pPr>
    </w:p>
    <w:p>
      <w:pPr>
        <w:ind w:left="1860"/>
        <w:spacing w:after="0"/>
        <w:tabs>
          <w:tab w:leader="none" w:pos="5080" w:val="left"/>
        </w:tabs>
        <w:rPr>
          <w:sz w:val="20"/>
          <w:szCs w:val="20"/>
          <w:color w:val="auto"/>
        </w:rPr>
      </w:pPr>
      <w:r>
        <w:rPr>
          <w:rFonts w:ascii="Arial" w:cs="Arial" w:eastAsia="Arial" w:hAnsi="Arial"/>
          <w:sz w:val="18"/>
          <w:szCs w:val="18"/>
          <w:color w:val="auto"/>
        </w:rPr>
        <w:t>a “Cash Exercise” with respect to</w:t>
      </w:r>
      <w:r>
        <w:rPr>
          <w:sz w:val="20"/>
          <w:szCs w:val="20"/>
          <w:color w:val="auto"/>
        </w:rPr>
        <w:tab/>
      </w:r>
      <w:r>
        <w:rPr>
          <w:rFonts w:ascii="Arial" w:cs="Arial" w:eastAsia="Arial" w:hAnsi="Arial"/>
          <w:sz w:val="15"/>
          <w:szCs w:val="15"/>
          <w:color w:val="auto"/>
        </w:rPr>
        <w:t>Warrant Shares; and/or</w:t>
      </w:r>
    </w:p>
    <w:p>
      <w:pPr>
        <w:spacing w:after="0" w:line="225" w:lineRule="exact"/>
        <w:rPr>
          <w:sz w:val="20"/>
          <w:szCs w:val="20"/>
          <w:color w:val="auto"/>
        </w:rPr>
      </w:pPr>
    </w:p>
    <w:p>
      <w:pPr>
        <w:ind w:left="1860"/>
        <w:spacing w:after="0"/>
        <w:tabs>
          <w:tab w:leader="none" w:pos="5340" w:val="left"/>
        </w:tabs>
        <w:rPr>
          <w:sz w:val="20"/>
          <w:szCs w:val="20"/>
          <w:color w:val="auto"/>
        </w:rPr>
      </w:pPr>
      <w:r>
        <w:rPr>
          <w:rFonts w:ascii="Arial" w:cs="Arial" w:eastAsia="Arial" w:hAnsi="Arial"/>
          <w:sz w:val="18"/>
          <w:szCs w:val="18"/>
          <w:color w:val="auto"/>
        </w:rPr>
        <w:t>a “Cashless Exercise” with respect to</w:t>
      </w:r>
      <w:r>
        <w:rPr>
          <w:sz w:val="20"/>
          <w:szCs w:val="20"/>
          <w:color w:val="auto"/>
        </w:rPr>
        <w:tab/>
      </w:r>
      <w:r>
        <w:rPr>
          <w:rFonts w:ascii="Arial" w:cs="Arial" w:eastAsia="Arial" w:hAnsi="Arial"/>
          <w:sz w:val="15"/>
          <w:szCs w:val="15"/>
          <w:color w:val="auto"/>
        </w:rPr>
        <w:t>Warrant Shares.</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firstLine="464"/>
        <w:spacing w:after="0" w:line="342" w:lineRule="auto"/>
        <w:tabs>
          <w:tab w:leader="none" w:pos="636"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165100</wp:posOffset>
            </wp:positionV>
            <wp:extent cx="21697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387985</wp:posOffset>
            </wp:positionV>
            <wp:extent cx="21697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610870</wp:posOffset>
            </wp:positionV>
            <wp:extent cx="21697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0" w:right="339" w:bottom="1440" w:gutter="0" w:footer="0" w:header="0"/>
          <w:type w:val="continuous"/>
        </w:sectPr>
      </w:pPr>
    </w:p>
    <w:bookmarkStart w:id="90" w:name="page91"/>
    <w:bookmarkEnd w:id="9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240" w:top="270" w:right="5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D-1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D-1 WARRANT TO PURCHASE COMMON STOCK</w:t>
      </w:r>
    </w:p>
    <w:p>
      <w:pPr>
        <w:spacing w:after="0" w:line="22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Series D-1 Warrant No.: 3-9-15 – AR-[</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March 9,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 but not after 11:59 p.m., New York time, on the Expiration Date (as defined below), Five Million (5,000,000) (subject to adjustment as provided herein) fully paid and non-assessable shares of Common Stock (as defined below)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that certain Securities Purchase Agreement, dated as of March 9, 2015, by and among the Company and the investor(s) thereunder (the “</w:t>
      </w:r>
      <w:r>
        <w:rPr>
          <w:rFonts w:ascii="Arial" w:cs="Arial" w:eastAsia="Arial" w:hAnsi="Arial"/>
          <w:sz w:val="16"/>
          <w:szCs w:val="16"/>
          <w:b w:val="1"/>
          <w:bCs w:val="1"/>
          <w:color w:val="auto"/>
        </w:rPr>
        <w:t>Buyer</w:t>
      </w:r>
      <w:r>
        <w:rPr>
          <w:rFonts w:ascii="Arial" w:cs="Arial" w:eastAsia="Arial" w:hAnsi="Arial"/>
          <w:sz w:val="16"/>
          <w:szCs w:val="16"/>
          <w:color w:val="auto"/>
        </w:rPr>
        <w:t>” or “</w:t>
      </w:r>
      <w:r>
        <w:rPr>
          <w:rFonts w:ascii="Arial" w:cs="Arial" w:eastAsia="Arial" w:hAnsi="Arial"/>
          <w:sz w:val="16"/>
          <w:szCs w:val="16"/>
          <w:b w:val="1"/>
          <w:bCs w:val="1"/>
          <w:color w:val="auto"/>
        </w:rPr>
        <w:t>Buyers</w:t>
      </w:r>
      <w:r>
        <w:rPr>
          <w:rFonts w:ascii="Arial" w:cs="Arial" w:eastAsia="Arial" w:hAnsi="Arial"/>
          <w:sz w:val="16"/>
          <w:szCs w:val="16"/>
          <w:color w:val="auto"/>
        </w:rPr>
        <w:t>” as applicable) referred to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w:t>
      </w:r>
    </w:p>
    <w:p>
      <w:pPr>
        <w:spacing w:after="0" w:line="170"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5" w:lineRule="auto"/>
        <w:tabs>
          <w:tab w:leader="none" w:pos="701"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1(h)),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On or before the third (3rd ) Trading Day following the date on which the Company has received such Exercise Notice, the Company shall (X)</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2" w:name="page93"/>
    <w:bookmarkEnd w:id="9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171" w:lineRule="exact"/>
        <w:rPr>
          <w:sz w:val="20"/>
          <w:szCs w:val="20"/>
          <w:color w:val="auto"/>
        </w:rPr>
      </w:pPr>
    </w:p>
    <w:p>
      <w:pPr>
        <w:ind w:left="720" w:hanging="256"/>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$0.75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without restrictive legend to the Holder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3" w:name="page94"/>
    <w:bookmarkEnd w:id="93"/>
    <w:p>
      <w:pPr>
        <w:ind w:left="-20" w:right="60" w:firstLine="464"/>
        <w:spacing w:after="0" w:line="279" w:lineRule="auto"/>
        <w:tabs>
          <w:tab w:leader="none" w:pos="691"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Net Number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foregoing formula:</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900"/>
        <w:spacing w:after="0" w:line="290"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20" w:right="180" w:firstLine="464"/>
        <w:spacing w:after="0" w:line="312" w:lineRule="auto"/>
        <w:tabs>
          <w:tab w:leader="none" w:pos="68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20" w:right="40" w:firstLine="464"/>
        <w:spacing w:after="0" w:line="270" w:lineRule="auto"/>
        <w:tabs>
          <w:tab w:leader="none" w:pos="661"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HSR Compliance</w:t>
      </w:r>
      <w:r>
        <w:rPr>
          <w:rFonts w:ascii="Arial" w:cs="Arial" w:eastAsia="Arial" w:hAnsi="Arial"/>
          <w:sz w:val="17"/>
          <w:szCs w:val="17"/>
          <w:color w:val="auto"/>
        </w:rPr>
        <w:t>. The Company acknowledges that issuance of the Warrant and the Warrant Shares to Holder may subject Holder to the filing requirements of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As such, the issuance of the Warrant Shares may be subject to compliance by Holder with all applicable filing requirements and the expiration of all waiting periods under the HSR Act (the “</w:t>
      </w:r>
      <w:r>
        <w:rPr>
          <w:rFonts w:ascii="Arial" w:cs="Arial" w:eastAsia="Arial" w:hAnsi="Arial"/>
          <w:sz w:val="17"/>
          <w:szCs w:val="17"/>
          <w:b w:val="1"/>
          <w:bCs w:val="1"/>
          <w:color w:val="auto"/>
        </w:rPr>
        <w:t>HSR Act</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Restrictions</w:t>
      </w:r>
      <w:r>
        <w:rPr>
          <w:rFonts w:ascii="Arial" w:cs="Arial" w:eastAsia="Arial" w:hAnsi="Arial"/>
          <w:sz w:val="17"/>
          <w:szCs w:val="17"/>
          <w:color w:val="auto"/>
        </w:rPr>
        <w:t>”). If, on or before the expiration of any period of time for Holder to exercise any right or comply with any obligation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177" w:lineRule="exact"/>
        <w:rPr>
          <w:rFonts w:ascii="Arial" w:cs="Arial" w:eastAsia="Arial" w:hAnsi="Arial"/>
          <w:sz w:val="17"/>
          <w:szCs w:val="17"/>
          <w:color w:val="auto"/>
        </w:rPr>
      </w:pPr>
    </w:p>
    <w:p>
      <w:pPr>
        <w:ind w:left="-20" w:right="40" w:firstLine="464"/>
        <w:spacing w:after="0" w:line="259" w:lineRule="auto"/>
        <w:tabs>
          <w:tab w:leader="none" w:pos="69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Insufficient Authorized Shares</w:t>
      </w:r>
      <w:r>
        <w:rPr>
          <w:rFonts w:ascii="Arial" w:cs="Arial" w:eastAsia="Arial" w:hAnsi="Arial"/>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94" w:name="page95"/>
    <w:bookmarkEnd w:id="9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69" w:lineRule="exact"/>
        <w:rPr>
          <w:sz w:val="20"/>
          <w:szCs w:val="20"/>
          <w:color w:val="auto"/>
        </w:rPr>
      </w:pPr>
    </w:p>
    <w:p>
      <w:pPr>
        <w:ind w:right="100" w:firstLine="464"/>
        <w:spacing w:after="0" w:line="283" w:lineRule="auto"/>
        <w:tabs>
          <w:tab w:leader="none" w:pos="71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Limitation on Exercise</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w:t>
      </w:r>
    </w:p>
    <w:p>
      <w:pPr>
        <w:spacing w:after="0" w:line="1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7"/>
          <w:szCs w:val="17"/>
          <w:b w:val="1"/>
          <w:bCs w:val="1"/>
          <w:color w:val="auto"/>
        </w:rPr>
        <w:t>Excess Shares</w:t>
      </w:r>
      <w:r>
        <w:rPr>
          <w:rFonts w:ascii="Arial" w:cs="Arial" w:eastAsia="Arial" w:hAnsi="Arial"/>
          <w:sz w:val="17"/>
          <w:szCs w:val="17"/>
          <w:color w:val="auto"/>
        </w:rPr>
        <w:t>”)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5" w:name="page96"/>
    <w:bookmarkEnd w:id="95"/>
    <w:p>
      <w:pPr>
        <w:ind w:left="-8" w:right="400" w:firstLine="8"/>
        <w:spacing w:after="0" w:line="277" w:lineRule="auto"/>
        <w:tabs>
          <w:tab w:leader="none" w:pos="17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78" w:lineRule="exact"/>
        <w:rPr>
          <w:rFonts w:ascii="Arial" w:cs="Arial" w:eastAsia="Arial" w:hAnsi="Arial"/>
          <w:sz w:val="17"/>
          <w:szCs w:val="17"/>
          <w:color w:val="auto"/>
        </w:rPr>
      </w:pPr>
    </w:p>
    <w:p>
      <w:pPr>
        <w:ind w:left="-8" w:right="140" w:firstLine="464"/>
        <w:spacing w:after="0" w:line="308" w:lineRule="auto"/>
        <w:tabs>
          <w:tab w:leader="none" w:pos="693"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80" w:firstLine="8"/>
        <w:spacing w:after="0" w:line="253" w:lineRule="auto"/>
        <w:tabs>
          <w:tab w:leader="none" w:pos="17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RIGHTS UPON DISTRIBUTION OF ASSETS</w:t>
      </w:r>
      <w:r>
        <w:rPr>
          <w:rFonts w:ascii="Arial" w:cs="Arial" w:eastAsia="Arial" w:hAnsi="Arial"/>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b w:val="1"/>
          <w:bCs w:val="1"/>
          <w:color w:val="auto"/>
        </w:rPr>
        <w:t>Distribution</w:t>
      </w:r>
      <w:r>
        <w:rPr>
          <w:rFonts w:ascii="Arial" w:cs="Arial" w:eastAsia="Arial" w:hAnsi="Arial"/>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96" w:name="page97"/>
    <w:bookmarkEnd w:id="96"/>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p>
    <w:p>
      <w:pPr>
        <w:spacing w:after="0" w:line="154" w:lineRule="exact"/>
        <w:rPr>
          <w:sz w:val="20"/>
          <w:szCs w:val="20"/>
          <w:color w:val="auto"/>
        </w:rPr>
      </w:pPr>
    </w:p>
    <w:p>
      <w:pPr>
        <w:ind w:left="180" w:hanging="172"/>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9" w:lineRule="auto"/>
        <w:tabs>
          <w:tab w:leader="none" w:pos="701"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ind w:right="20" w:firstLine="464"/>
        <w:spacing w:after="0" w:line="284" w:lineRule="auto"/>
        <w:tabs>
          <w:tab w:leader="none" w:pos="711"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7" w:name="page98"/>
    <w:bookmarkEnd w:id="97"/>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64" w:lineRule="exact"/>
        <w:rPr>
          <w:sz w:val="20"/>
          <w:szCs w:val="20"/>
          <w:color w:val="auto"/>
        </w:rPr>
      </w:pPr>
    </w:p>
    <w:p>
      <w:pPr>
        <w:ind w:right="140" w:firstLine="464"/>
        <w:spacing w:after="0" w:line="257" w:lineRule="auto"/>
        <w:tabs>
          <w:tab w:leader="none" w:pos="701"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20" w:firstLine="8"/>
        <w:spacing w:after="0" w:line="287" w:lineRule="auto"/>
        <w:tabs>
          <w:tab w:leader="none" w:pos="18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72" w:lineRule="exact"/>
        <w:rPr>
          <w:rFonts w:ascii="Arial" w:cs="Arial" w:eastAsia="Arial" w:hAnsi="Arial"/>
          <w:sz w:val="16"/>
          <w:szCs w:val="16"/>
          <w:color w:val="auto"/>
        </w:rPr>
      </w:pPr>
    </w:p>
    <w:p>
      <w:pPr>
        <w:ind w:firstLine="8"/>
        <w:spacing w:after="0" w:line="269" w:lineRule="auto"/>
        <w:tabs>
          <w:tab w:leader="none" w:pos="18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80" w:hanging="172"/>
        <w:spacing w:after="0"/>
        <w:tabs>
          <w:tab w:leader="none" w:pos="1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80" w:firstLine="464"/>
        <w:spacing w:after="0" w:line="277" w:lineRule="auto"/>
        <w:tabs>
          <w:tab w:leader="none" w:pos="701"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98" w:name="page99"/>
    <w:bookmarkEnd w:id="98"/>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71" w:lineRule="exact"/>
        <w:rPr>
          <w:sz w:val="20"/>
          <w:szCs w:val="20"/>
          <w:color w:val="auto"/>
        </w:rPr>
      </w:pPr>
    </w:p>
    <w:p>
      <w:pPr>
        <w:ind w:right="120" w:firstLine="464"/>
        <w:spacing w:after="0" w:line="276" w:lineRule="auto"/>
        <w:tabs>
          <w:tab w:leader="none" w:pos="711"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right="40" w:firstLine="464"/>
        <w:spacing w:after="0" w:line="279" w:lineRule="auto"/>
        <w:tabs>
          <w:tab w:leader="none" w:pos="701"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80" w:firstLine="464"/>
        <w:spacing w:after="0" w:line="273" w:lineRule="auto"/>
        <w:tabs>
          <w:tab w:leader="none" w:pos="711"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firstLine="8"/>
        <w:spacing w:after="0" w:line="269" w:lineRule="auto"/>
        <w:tabs>
          <w:tab w:leader="none" w:pos="18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79" w:lineRule="exact"/>
        <w:rPr>
          <w:rFonts w:ascii="Arial" w:cs="Arial" w:eastAsia="Arial" w:hAnsi="Arial"/>
          <w:sz w:val="17"/>
          <w:szCs w:val="17"/>
          <w:color w:val="auto"/>
        </w:rPr>
      </w:pPr>
    </w:p>
    <w:p>
      <w:pPr>
        <w:ind w:right="40" w:firstLine="8"/>
        <w:spacing w:after="0" w:line="257" w:lineRule="auto"/>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1(h))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240" w:firstLine="8"/>
        <w:spacing w:after="0" w:line="277" w:lineRule="auto"/>
        <w:tabs>
          <w:tab w:leader="none" w:pos="27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Warrant is prohibited by law or otherwise determined to be invalid or unenforceable by a court of competent jurisdiction, the provision that would otherwise be prohibited,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99" w:name="page100"/>
    <w:bookmarkEnd w:id="9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9" w:lineRule="exact"/>
        <w:rPr>
          <w:sz w:val="20"/>
          <w:szCs w:val="20"/>
          <w:color w:val="auto"/>
        </w:rPr>
      </w:pPr>
    </w:p>
    <w:p>
      <w:pPr>
        <w:ind w:right="20" w:firstLine="8"/>
        <w:spacing w:after="0" w:line="257" w:lineRule="auto"/>
        <w:tabs>
          <w:tab w:leader="none" w:pos="26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188" w:lineRule="exact"/>
        <w:rPr>
          <w:rFonts w:ascii="Arial" w:cs="Arial" w:eastAsia="Arial" w:hAnsi="Arial"/>
          <w:sz w:val="18"/>
          <w:szCs w:val="18"/>
          <w:color w:val="auto"/>
        </w:rPr>
      </w:pPr>
    </w:p>
    <w:p>
      <w:pPr>
        <w:jc w:val="both"/>
        <w:ind w:right="180" w:firstLine="8"/>
        <w:spacing w:after="0" w:line="302" w:lineRule="auto"/>
        <w:tabs>
          <w:tab w:leader="none" w:pos="27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80" w:firstLine="8"/>
        <w:spacing w:after="0" w:line="268" w:lineRule="auto"/>
        <w:tabs>
          <w:tab w:leader="none" w:pos="27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rFonts w:ascii="Arial" w:cs="Arial" w:eastAsia="Arial" w:hAnsi="Arial"/>
          <w:sz w:val="17"/>
          <w:szCs w:val="17"/>
          <w:color w:val="auto"/>
        </w:rPr>
      </w:pPr>
    </w:p>
    <w:p>
      <w:pPr>
        <w:ind w:right="60" w:firstLine="8"/>
        <w:spacing w:after="0" w:line="254" w:lineRule="auto"/>
        <w:tabs>
          <w:tab w:leader="none" w:pos="27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REMEDIES, CHARACTERIZATION, OTHER OBLIGATIONS, BREACHES AND INJUNCTIVE RELIEF</w:t>
      </w:r>
      <w:r>
        <w:rPr>
          <w:rFonts w:ascii="Arial" w:cs="Arial" w:eastAsia="Arial" w:hAnsi="Arial"/>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0" w:name="page101"/>
    <w:bookmarkEnd w:id="100"/>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2" w:lineRule="exact"/>
        <w:rPr>
          <w:sz w:val="20"/>
          <w:szCs w:val="20"/>
          <w:color w:val="auto"/>
        </w:rPr>
      </w:pPr>
    </w:p>
    <w:p>
      <w:pPr>
        <w:ind w:left="280" w:hanging="272"/>
        <w:spacing w:after="0"/>
        <w:tabs>
          <w:tab w:leader="none" w:pos="2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20" w:firstLine="464"/>
        <w:spacing w:after="0" w:line="270" w:lineRule="auto"/>
        <w:tabs>
          <w:tab w:leader="none" w:pos="701" w:val="left"/>
        </w:tabs>
        <w:numPr>
          <w:ilvl w:val="1"/>
          <w:numId w:val="1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7"/>
          <w:szCs w:val="17"/>
          <w:b w:val="1"/>
          <w:bCs w:val="1"/>
          <w:color w:val="auto"/>
        </w:rPr>
        <w:t>Pink Sheets</w:t>
      </w:r>
      <w:r>
        <w:rPr>
          <w:rFonts w:ascii="Arial" w:cs="Arial" w:eastAsia="Arial" w:hAnsi="Arial"/>
          <w:sz w:val="17"/>
          <w:szCs w:val="17"/>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ind w:left="720" w:hanging="256"/>
        <w:spacing w:after="0"/>
        <w:tabs>
          <w:tab w:leader="none" w:pos="7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20" w:firstLine="464"/>
        <w:spacing w:after="0" w:line="282" w:lineRule="auto"/>
        <w:tabs>
          <w:tab w:leader="none" w:pos="70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firstLine="464"/>
        <w:spacing w:after="0" w:line="288" w:lineRule="auto"/>
        <w:tabs>
          <w:tab w:leader="none" w:pos="711" w:val="left"/>
        </w:tabs>
        <w:numPr>
          <w:ilvl w:val="1"/>
          <w:numId w:val="1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01" w:name="page102"/>
    <w:bookmarkEnd w:id="101"/>
    <w:p>
      <w:pPr>
        <w:ind w:left="-8" w:firstLine="464"/>
        <w:spacing w:after="0" w:line="282" w:lineRule="auto"/>
        <w:tabs>
          <w:tab w:leader="none" w:pos="693" w:val="left"/>
        </w:tabs>
        <w:numPr>
          <w:ilvl w:val="1"/>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left="-8" w:right="620" w:firstLine="464"/>
        <w:spacing w:after="0" w:line="347" w:lineRule="auto"/>
        <w:tabs>
          <w:tab w:leader="none" w:pos="67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left="-8" w:right="420" w:firstLine="464"/>
        <w:spacing w:after="0" w:line="282" w:lineRule="auto"/>
        <w:tabs>
          <w:tab w:leader="none" w:pos="70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left="-8" w:right="40" w:firstLine="464"/>
        <w:spacing w:after="0" w:line="347" w:lineRule="auto"/>
        <w:tabs>
          <w:tab w:leader="none" w:pos="70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fifth (5th) anniversary of the date of the initial exercise of the Series B Warrant or, if such date falls on a day other than a Business Day or on which trading does not take place on the Principal Market (a “Holiday”), the next date that is not a Holiday.</w:t>
      </w:r>
    </w:p>
    <w:p>
      <w:pPr>
        <w:spacing w:after="0" w:line="116" w:lineRule="exact"/>
        <w:rPr>
          <w:rFonts w:ascii="Arial" w:cs="Arial" w:eastAsia="Arial" w:hAnsi="Arial"/>
          <w:sz w:val="16"/>
          <w:szCs w:val="16"/>
          <w:color w:val="auto"/>
        </w:rPr>
      </w:pPr>
    </w:p>
    <w:p>
      <w:pPr>
        <w:ind w:left="672" w:hanging="216"/>
        <w:spacing w:after="0"/>
        <w:tabs>
          <w:tab w:leader="none" w:pos="67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left="-8" w:right="100" w:firstLine="8"/>
        <w:spacing w:after="0" w:line="267" w:lineRule="auto"/>
        <w:tabs>
          <w:tab w:leader="none" w:pos="24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1" w:lineRule="exact"/>
        <w:rPr>
          <w:rFonts w:ascii="Arial" w:cs="Arial" w:eastAsia="Arial" w:hAnsi="Arial"/>
          <w:sz w:val="17"/>
          <w:szCs w:val="17"/>
          <w:color w:val="auto"/>
        </w:rPr>
      </w:pPr>
    </w:p>
    <w:p>
      <w:pPr>
        <w:ind w:left="-8" w:right="60" w:firstLine="464"/>
        <w:spacing w:after="0" w:line="266" w:lineRule="auto"/>
        <w:tabs>
          <w:tab w:leader="none" w:pos="66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Eligibility Number</w:t>
      </w:r>
      <w:r>
        <w:rPr>
          <w:rFonts w:ascii="Arial" w:cs="Arial" w:eastAsia="Arial" w:hAnsi="Arial"/>
          <w:sz w:val="18"/>
          <w:szCs w:val="18"/>
          <w:color w:val="auto"/>
        </w:rPr>
        <w:t>” means initially zero and shall be increased upon each exercise of the Series B Warrant held by the Holder by such aggregate number of shares of Common Stock equal to 100% of the number of shares of Common Stock issued upon any such exercise of such Series B Warrant (as adjusted for stock splits, stock distributions, recapitalizations and similar events).</w:t>
      </w:r>
    </w:p>
    <w:p>
      <w:pPr>
        <w:spacing w:after="0" w:line="176" w:lineRule="exact"/>
        <w:rPr>
          <w:rFonts w:ascii="Arial" w:cs="Arial" w:eastAsia="Arial" w:hAnsi="Arial"/>
          <w:sz w:val="18"/>
          <w:szCs w:val="18"/>
          <w:color w:val="auto"/>
        </w:rPr>
      </w:pPr>
    </w:p>
    <w:p>
      <w:pPr>
        <w:ind w:left="712" w:hanging="256"/>
        <w:spacing w:after="0"/>
        <w:tabs>
          <w:tab w:leader="none" w:pos="71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8" w:right="60" w:firstLine="464"/>
        <w:spacing w:after="0" w:line="266" w:lineRule="auto"/>
        <w:tabs>
          <w:tab w:leader="none" w:pos="66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8" w:right="20" w:firstLine="464"/>
        <w:spacing w:after="0" w:line="282" w:lineRule="auto"/>
        <w:tabs>
          <w:tab w:leader="none" w:pos="75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12" w:hanging="256"/>
        <w:spacing w:after="0"/>
        <w:tabs>
          <w:tab w:leader="none" w:pos="71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Warrant</w:t>
      </w:r>
      <w:r>
        <w:rPr>
          <w:rFonts w:ascii="Arial" w:cs="Arial" w:eastAsia="Arial" w:hAnsi="Arial"/>
          <w:sz w:val="18"/>
          <w:szCs w:val="18"/>
          <w:color w:val="auto"/>
        </w:rPr>
        <w:t>” means the Series B Warrant to Purchase Common Stock issued pursuant to the Securities Purchase Agreement.</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70" w:right="239" w:bottom="1440" w:gutter="0" w:footer="0" w:header="0"/>
        </w:sectPr>
      </w:pPr>
    </w:p>
    <w:bookmarkStart w:id="102" w:name="page103"/>
    <w:bookmarkEnd w:id="102"/>
    <w:p>
      <w:pPr>
        <w:ind w:left="-140" w:right="140" w:firstLine="464"/>
        <w:spacing w:after="0" w:line="347" w:lineRule="auto"/>
        <w:tabs>
          <w:tab w:leader="none" w:pos="571"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left="-140" w:right="40" w:firstLine="464"/>
        <w:spacing w:after="0" w:line="292" w:lineRule="auto"/>
        <w:tabs>
          <w:tab w:leader="none" w:pos="57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left="-140" w:firstLine="464"/>
        <w:spacing w:after="0" w:line="314" w:lineRule="auto"/>
        <w:tabs>
          <w:tab w:leader="none" w:pos="54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380" w:top="270" w:right="359" w:bottom="1440" w:gutter="0" w:footer="0" w:header="0"/>
        </w:sectPr>
      </w:pPr>
    </w:p>
    <w:bookmarkStart w:id="103" w:name="page104"/>
    <w:bookmarkEnd w:id="10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270" w:right="6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undersigned holder hereby exercises the right to purchase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Series D-1 Warrant No. 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20" w:hanging="893"/>
        <w:spacing w:after="0" w:line="347" w:lineRule="auto"/>
        <w:rPr>
          <w:sz w:val="20"/>
          <w:szCs w:val="20"/>
          <w:color w:val="auto"/>
        </w:rPr>
      </w:pPr>
      <w:r>
        <w:rPr>
          <w:rFonts w:ascii="Arial" w:cs="Arial" w:eastAsia="Arial" w:hAnsi="Arial"/>
          <w:sz w:val="16"/>
          <w:szCs w:val="16"/>
          <w:color w:val="auto"/>
        </w:rPr>
        <w:t>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w:t>
      </w:r>
    </w:p>
    <w:p>
      <w:pPr>
        <w:spacing w:after="0" w:line="336" w:lineRule="exact"/>
        <w:rPr>
          <w:sz w:val="20"/>
          <w:szCs w:val="20"/>
          <w:color w:val="auto"/>
        </w:rPr>
      </w:pPr>
    </w:p>
    <w:p>
      <w:pPr>
        <w:sectPr>
          <w:pgSz w:w="11900" w:h="16838" w:orient="portrait"/>
          <w:cols w:equalWidth="0" w:num="2">
            <w:col w:w="5820" w:space="720"/>
            <w:col w:w="4880"/>
          </w:cols>
          <w:pgMar w:left="240" w:top="27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25" w:lineRule="exact"/>
        <w:rPr>
          <w:sz w:val="20"/>
          <w:szCs w:val="20"/>
          <w:color w:val="auto"/>
        </w:rPr>
      </w:pPr>
    </w:p>
    <w:p>
      <w:pPr>
        <w:ind w:left="1860"/>
        <w:spacing w:after="0"/>
        <w:tabs>
          <w:tab w:leader="none" w:pos="5080" w:val="left"/>
        </w:tabs>
        <w:rPr>
          <w:sz w:val="20"/>
          <w:szCs w:val="20"/>
          <w:color w:val="auto"/>
        </w:rPr>
      </w:pPr>
      <w:r>
        <w:rPr>
          <w:rFonts w:ascii="Arial" w:cs="Arial" w:eastAsia="Arial" w:hAnsi="Arial"/>
          <w:sz w:val="18"/>
          <w:szCs w:val="18"/>
          <w:color w:val="auto"/>
        </w:rPr>
        <w:t>a “Cash Exercise” with respect to</w:t>
      </w:r>
      <w:r>
        <w:rPr>
          <w:sz w:val="20"/>
          <w:szCs w:val="20"/>
          <w:color w:val="auto"/>
        </w:rPr>
        <w:tab/>
      </w:r>
      <w:r>
        <w:rPr>
          <w:rFonts w:ascii="Arial" w:cs="Arial" w:eastAsia="Arial" w:hAnsi="Arial"/>
          <w:sz w:val="15"/>
          <w:szCs w:val="15"/>
          <w:color w:val="auto"/>
        </w:rPr>
        <w:t>Warrant Shares; and/or</w:t>
      </w:r>
    </w:p>
    <w:p>
      <w:pPr>
        <w:spacing w:after="0" w:line="225" w:lineRule="exact"/>
        <w:rPr>
          <w:sz w:val="20"/>
          <w:szCs w:val="20"/>
          <w:color w:val="auto"/>
        </w:rPr>
      </w:pPr>
    </w:p>
    <w:p>
      <w:pPr>
        <w:ind w:left="1860"/>
        <w:spacing w:after="0"/>
        <w:tabs>
          <w:tab w:leader="none" w:pos="5340" w:val="left"/>
        </w:tabs>
        <w:rPr>
          <w:sz w:val="20"/>
          <w:szCs w:val="20"/>
          <w:color w:val="auto"/>
        </w:rPr>
      </w:pPr>
      <w:r>
        <w:rPr>
          <w:rFonts w:ascii="Arial" w:cs="Arial" w:eastAsia="Arial" w:hAnsi="Arial"/>
          <w:sz w:val="18"/>
          <w:szCs w:val="18"/>
          <w:color w:val="auto"/>
        </w:rPr>
        <w:t>a “Cashless Exercise” with respect to</w:t>
      </w:r>
      <w:r>
        <w:rPr>
          <w:sz w:val="20"/>
          <w:szCs w:val="20"/>
          <w:color w:val="auto"/>
        </w:rPr>
        <w:tab/>
      </w:r>
      <w:r>
        <w:rPr>
          <w:rFonts w:ascii="Arial" w:cs="Arial" w:eastAsia="Arial" w:hAnsi="Arial"/>
          <w:sz w:val="15"/>
          <w:szCs w:val="15"/>
          <w:color w:val="auto"/>
        </w:rPr>
        <w:t>Warrant Shares.</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right="100" w:firstLine="464"/>
        <w:spacing w:after="0" w:line="342" w:lineRule="auto"/>
        <w:tabs>
          <w:tab w:leader="none" w:pos="636"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241935</wp:posOffset>
            </wp:positionV>
            <wp:extent cx="21697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464820</wp:posOffset>
            </wp:positionV>
            <wp:extent cx="21697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688340</wp:posOffset>
            </wp:positionV>
            <wp:extent cx="21697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type w:val="continuous"/>
        </w:sectPr>
      </w:pPr>
    </w:p>
    <w:bookmarkStart w:id="105" w:name="page106"/>
    <w:bookmarkEnd w:id="105"/>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E-1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E-1 WARRANT TO PURCHASE COMMON STOCK</w:t>
      </w:r>
    </w:p>
    <w:p>
      <w:pPr>
        <w:spacing w:after="0" w:line="229"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Series E-1 Warrant No.: 3-9-15 – AR-[</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March 9,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 but not after 11:59 p.m., New York time, on the Expiration Date (as defined below), Five Million (5,000,000</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adjustment as provided herein) fully paid and non-assessable shares of Common Stock (as defined below)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that certain Securities Purchase Agreement, dated as of March 9, 2015, by and among the Company and the investor(s) thereunder (the “</w:t>
      </w:r>
      <w:r>
        <w:rPr>
          <w:rFonts w:ascii="Arial" w:cs="Arial" w:eastAsia="Arial" w:hAnsi="Arial"/>
          <w:sz w:val="16"/>
          <w:szCs w:val="16"/>
          <w:b w:val="1"/>
          <w:bCs w:val="1"/>
          <w:color w:val="auto"/>
        </w:rPr>
        <w:t>Buyer</w:t>
      </w:r>
      <w:r>
        <w:rPr>
          <w:rFonts w:ascii="Arial" w:cs="Arial" w:eastAsia="Arial" w:hAnsi="Arial"/>
          <w:sz w:val="16"/>
          <w:szCs w:val="16"/>
          <w:color w:val="auto"/>
        </w:rPr>
        <w:t>” or “</w:t>
      </w:r>
      <w:r>
        <w:rPr>
          <w:rFonts w:ascii="Arial" w:cs="Arial" w:eastAsia="Arial" w:hAnsi="Arial"/>
          <w:sz w:val="16"/>
          <w:szCs w:val="16"/>
          <w:b w:val="1"/>
          <w:bCs w:val="1"/>
          <w:color w:val="auto"/>
        </w:rPr>
        <w:t>Buyers</w:t>
      </w:r>
      <w:r>
        <w:rPr>
          <w:rFonts w:ascii="Arial" w:cs="Arial" w:eastAsia="Arial" w:hAnsi="Arial"/>
          <w:sz w:val="16"/>
          <w:szCs w:val="16"/>
          <w:color w:val="auto"/>
        </w:rPr>
        <w:t>” as applicable) referred to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w:t>
      </w:r>
    </w:p>
    <w:p>
      <w:pPr>
        <w:spacing w:after="0" w:line="170" w:lineRule="exact"/>
        <w:rPr>
          <w:sz w:val="20"/>
          <w:szCs w:val="20"/>
          <w:color w:val="auto"/>
        </w:rPr>
      </w:pPr>
    </w:p>
    <w:p>
      <w:pPr>
        <w:ind w:left="180" w:hanging="172"/>
        <w:spacing w:after="0"/>
        <w:tabs>
          <w:tab w:leader="none" w:pos="1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5" w:lineRule="auto"/>
        <w:tabs>
          <w:tab w:leader="none" w:pos="701"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1(h)),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On or before the third (3rd ) Trading Day following the date on which the Company has received such Exercise Notice, the Company shall (X)</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7" w:name="page108"/>
    <w:bookmarkEnd w:id="107"/>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w:t>
      </w:r>
    </w:p>
    <w:p>
      <w:pPr>
        <w:spacing w:after="0" w:line="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Warrant. Notwithstanding any provision of this Warrant to the contrary, no more than the Maximum Eligibility Number of Warrant Shares shall be exercisable hereunder.</w:t>
      </w:r>
    </w:p>
    <w:p>
      <w:pPr>
        <w:spacing w:after="0" w:line="180" w:lineRule="exact"/>
        <w:rPr>
          <w:sz w:val="20"/>
          <w:szCs w:val="20"/>
          <w:color w:val="auto"/>
        </w:rPr>
      </w:pPr>
    </w:p>
    <w:p>
      <w:pPr>
        <w:ind w:left="720" w:hanging="25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$1.25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ind w:right="80" w:firstLine="464"/>
        <w:spacing w:after="0" w:line="277" w:lineRule="auto"/>
        <w:tabs>
          <w:tab w:leader="none" w:pos="711"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Notwithstanding anything contained herein to the contrary (other than Section 1(f) below), if at the time of exercise hereof there is no effective registration statement registering the issuance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8" w:name="page109"/>
    <w:bookmarkEnd w:id="108"/>
    <w:p>
      <w:pPr>
        <w:jc w:val="both"/>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8"/>
          <w:szCs w:val="18"/>
          <w:b w:val="1"/>
          <w:bCs w:val="1"/>
          <w:color w:val="auto"/>
        </w:rPr>
        <w:t>Cashless Exercise</w:t>
      </w:r>
      <w:r>
        <w:rPr>
          <w:rFonts w:ascii="Arial" w:cs="Arial" w:eastAsia="Arial" w:hAnsi="Arial"/>
          <w:sz w:val="18"/>
          <w:szCs w:val="18"/>
          <w:color w:val="auto"/>
        </w:rPr>
        <w: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Net Number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formula:</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right="180" w:firstLine="464"/>
        <w:spacing w:after="0" w:line="312" w:lineRule="auto"/>
        <w:tabs>
          <w:tab w:leader="none" w:pos="701"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right="40" w:firstLine="464"/>
        <w:spacing w:after="0" w:line="270" w:lineRule="auto"/>
        <w:tabs>
          <w:tab w:leader="none" w:pos="681"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HSR Compliance</w:t>
      </w:r>
      <w:r>
        <w:rPr>
          <w:rFonts w:ascii="Arial" w:cs="Arial" w:eastAsia="Arial" w:hAnsi="Arial"/>
          <w:sz w:val="17"/>
          <w:szCs w:val="17"/>
          <w:color w:val="auto"/>
        </w:rPr>
        <w:t>. The Company acknowledges that issuance of the Warrant and the Warrant Shares to Holder may subject Holder to the filing requirements of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As such, the issuance of the Warrant Shares may be subject to compliance by Holder with all applicable filing requirements and the expiration of all waiting periods under the HSR Act (the “</w:t>
      </w:r>
      <w:r>
        <w:rPr>
          <w:rFonts w:ascii="Arial" w:cs="Arial" w:eastAsia="Arial" w:hAnsi="Arial"/>
          <w:sz w:val="17"/>
          <w:szCs w:val="17"/>
          <w:b w:val="1"/>
          <w:bCs w:val="1"/>
          <w:color w:val="auto"/>
        </w:rPr>
        <w:t>HSR Act</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Restrictions</w:t>
      </w:r>
      <w:r>
        <w:rPr>
          <w:rFonts w:ascii="Arial" w:cs="Arial" w:eastAsia="Arial" w:hAnsi="Arial"/>
          <w:sz w:val="17"/>
          <w:szCs w:val="17"/>
          <w:color w:val="auto"/>
        </w:rPr>
        <w:t>”). If, on or before the expiration of any period of time for Holder to exercise any right or comply with any obligation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177" w:lineRule="exact"/>
        <w:rPr>
          <w:rFonts w:ascii="Arial" w:cs="Arial" w:eastAsia="Arial" w:hAnsi="Arial"/>
          <w:sz w:val="17"/>
          <w:szCs w:val="17"/>
          <w:color w:val="auto"/>
        </w:rPr>
      </w:pPr>
    </w:p>
    <w:p>
      <w:pPr>
        <w:ind w:right="40" w:firstLine="464"/>
        <w:spacing w:after="0" w:line="293" w:lineRule="auto"/>
        <w:tabs>
          <w:tab w:leader="none" w:pos="711"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9" w:name="page110"/>
    <w:bookmarkEnd w:id="10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64" w:lineRule="exact"/>
        <w:rPr>
          <w:sz w:val="20"/>
          <w:szCs w:val="20"/>
          <w:color w:val="auto"/>
        </w:rPr>
      </w:pPr>
    </w:p>
    <w:p>
      <w:pPr>
        <w:ind w:right="60" w:firstLine="8"/>
        <w:spacing w:after="0" w:line="285" w:lineRule="auto"/>
        <w:tabs>
          <w:tab w:leader="none" w:pos="255"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Limitation on Exercise</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w:t>
      </w:r>
    </w:p>
    <w:p>
      <w:pPr>
        <w:spacing w:after="0" w:line="3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10" w:name="page111"/>
    <w:bookmarkEnd w:id="110"/>
    <w:p>
      <w:pPr>
        <w:ind w:left="-8" w:right="400" w:firstLine="8"/>
        <w:spacing w:after="0" w:line="277" w:lineRule="auto"/>
        <w:tabs>
          <w:tab w:leader="none" w:pos="17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78" w:lineRule="exact"/>
        <w:rPr>
          <w:rFonts w:ascii="Arial" w:cs="Arial" w:eastAsia="Arial" w:hAnsi="Arial"/>
          <w:sz w:val="17"/>
          <w:szCs w:val="17"/>
          <w:color w:val="auto"/>
        </w:rPr>
      </w:pPr>
    </w:p>
    <w:p>
      <w:pPr>
        <w:ind w:left="-8" w:right="140" w:firstLine="464"/>
        <w:spacing w:after="0" w:line="308" w:lineRule="auto"/>
        <w:tabs>
          <w:tab w:leader="none" w:pos="693"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80" w:firstLine="8"/>
        <w:spacing w:after="0" w:line="289" w:lineRule="auto"/>
        <w:tabs>
          <w:tab w:leader="none" w:pos="172"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11" w:name="page112"/>
    <w:bookmarkEnd w:id="11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p>
    <w:p>
      <w:pPr>
        <w:spacing w:after="0" w:line="187" w:lineRule="exact"/>
        <w:rPr>
          <w:sz w:val="20"/>
          <w:szCs w:val="20"/>
          <w:color w:val="auto"/>
        </w:rPr>
      </w:pPr>
    </w:p>
    <w:p>
      <w:pPr>
        <w:ind w:left="180" w:hanging="172"/>
        <w:spacing w:after="0"/>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9" w:lineRule="auto"/>
        <w:tabs>
          <w:tab w:leader="none" w:pos="701" w:val="left"/>
        </w:tabs>
        <w:numPr>
          <w:ilvl w:val="1"/>
          <w:numId w:val="125"/>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ind w:right="20" w:firstLine="464"/>
        <w:spacing w:after="0" w:line="284" w:lineRule="auto"/>
        <w:tabs>
          <w:tab w:leader="none" w:pos="711"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2" w:name="page113"/>
    <w:bookmarkEnd w:id="11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Corporate Event</w:t>
      </w:r>
      <w:r>
        <w:rPr>
          <w:rFonts w:ascii="Arial" w:cs="Arial" w:eastAsia="Arial" w:hAnsi="Arial"/>
          <w:sz w:val="18"/>
          <w:szCs w:val="18"/>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9" w:lineRule="exact"/>
        <w:rPr>
          <w:sz w:val="20"/>
          <w:szCs w:val="20"/>
          <w:color w:val="auto"/>
        </w:rPr>
      </w:pPr>
    </w:p>
    <w:p>
      <w:pPr>
        <w:ind w:right="140" w:firstLine="464"/>
        <w:spacing w:after="0" w:line="257" w:lineRule="auto"/>
        <w:tabs>
          <w:tab w:leader="none" w:pos="701"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20" w:firstLine="8"/>
        <w:spacing w:after="0" w:line="287" w:lineRule="auto"/>
        <w:tabs>
          <w:tab w:leader="none" w:pos="18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72" w:lineRule="exact"/>
        <w:rPr>
          <w:rFonts w:ascii="Arial" w:cs="Arial" w:eastAsia="Arial" w:hAnsi="Arial"/>
          <w:sz w:val="16"/>
          <w:szCs w:val="16"/>
          <w:color w:val="auto"/>
        </w:rPr>
      </w:pPr>
    </w:p>
    <w:p>
      <w:pPr>
        <w:ind w:firstLine="8"/>
        <w:spacing w:after="0" w:line="269" w:lineRule="auto"/>
        <w:tabs>
          <w:tab w:leader="none" w:pos="18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80" w:hanging="172"/>
        <w:spacing w:after="0"/>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64"/>
        <w:spacing w:after="0" w:line="264" w:lineRule="auto"/>
        <w:tabs>
          <w:tab w:leader="none" w:pos="701"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13" w:name="page114"/>
    <w:bookmarkEnd w:id="113"/>
    <w:p>
      <w:pPr>
        <w:ind w:right="4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47" w:lineRule="exact"/>
        <w:rPr>
          <w:sz w:val="20"/>
          <w:szCs w:val="20"/>
          <w:color w:val="auto"/>
        </w:rPr>
      </w:pPr>
    </w:p>
    <w:p>
      <w:pPr>
        <w:ind w:right="120" w:firstLine="464"/>
        <w:spacing w:after="0" w:line="276" w:lineRule="auto"/>
        <w:tabs>
          <w:tab w:leader="none" w:pos="711"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right="40" w:firstLine="464"/>
        <w:spacing w:after="0" w:line="279" w:lineRule="auto"/>
        <w:tabs>
          <w:tab w:leader="none" w:pos="701"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80" w:firstLine="464"/>
        <w:spacing w:after="0" w:line="273" w:lineRule="auto"/>
        <w:tabs>
          <w:tab w:leader="none" w:pos="711"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firstLine="8"/>
        <w:spacing w:after="0" w:line="269" w:lineRule="auto"/>
        <w:tabs>
          <w:tab w:leader="none" w:pos="18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79" w:lineRule="exact"/>
        <w:rPr>
          <w:rFonts w:ascii="Arial" w:cs="Arial" w:eastAsia="Arial" w:hAnsi="Arial"/>
          <w:sz w:val="17"/>
          <w:szCs w:val="17"/>
          <w:color w:val="auto"/>
        </w:rPr>
      </w:pPr>
    </w:p>
    <w:p>
      <w:pPr>
        <w:ind w:right="40" w:firstLine="8"/>
        <w:spacing w:after="0" w:line="257" w:lineRule="auto"/>
        <w:tabs>
          <w:tab w:leader="none" w:pos="1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1(h))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60" w:firstLine="8"/>
        <w:spacing w:after="0" w:line="264" w:lineRule="auto"/>
        <w:tabs>
          <w:tab w:leader="none" w:pos="27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4" w:name="page115"/>
    <w:bookmarkEnd w:id="11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3" w:lineRule="exact"/>
        <w:rPr>
          <w:sz w:val="20"/>
          <w:szCs w:val="20"/>
          <w:color w:val="auto"/>
        </w:rPr>
      </w:pPr>
    </w:p>
    <w:p>
      <w:pPr>
        <w:ind w:firstLine="8"/>
        <w:spacing w:after="0" w:line="257" w:lineRule="auto"/>
        <w:tabs>
          <w:tab w:leader="none" w:pos="26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188" w:lineRule="exact"/>
        <w:rPr>
          <w:rFonts w:ascii="Arial" w:cs="Arial" w:eastAsia="Arial" w:hAnsi="Arial"/>
          <w:sz w:val="18"/>
          <w:szCs w:val="18"/>
          <w:color w:val="auto"/>
        </w:rPr>
      </w:pPr>
    </w:p>
    <w:p>
      <w:pPr>
        <w:jc w:val="both"/>
        <w:ind w:right="160" w:firstLine="8"/>
        <w:spacing w:after="0" w:line="302" w:lineRule="auto"/>
        <w:tabs>
          <w:tab w:leader="none" w:pos="27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60" w:firstLine="8"/>
        <w:spacing w:after="0" w:line="268" w:lineRule="auto"/>
        <w:tabs>
          <w:tab w:leader="none" w:pos="270"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rFonts w:ascii="Arial" w:cs="Arial" w:eastAsia="Arial" w:hAnsi="Arial"/>
          <w:sz w:val="17"/>
          <w:szCs w:val="17"/>
          <w:color w:val="auto"/>
        </w:rPr>
      </w:pPr>
    </w:p>
    <w:p>
      <w:pPr>
        <w:ind w:right="40" w:firstLine="8"/>
        <w:spacing w:after="0" w:line="290" w:lineRule="auto"/>
        <w:tabs>
          <w:tab w:leader="none" w:pos="27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15" w:name="page116"/>
    <w:bookmarkEnd w:id="115"/>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78" w:lineRule="exact"/>
        <w:rPr>
          <w:sz w:val="20"/>
          <w:szCs w:val="20"/>
          <w:color w:val="auto"/>
        </w:rPr>
      </w:pPr>
    </w:p>
    <w:p>
      <w:pPr>
        <w:ind w:left="280" w:hanging="272"/>
        <w:spacing w:after="0"/>
        <w:tabs>
          <w:tab w:leader="none" w:pos="2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60" w:firstLine="464"/>
        <w:spacing w:after="0" w:line="270" w:lineRule="auto"/>
        <w:tabs>
          <w:tab w:leader="none" w:pos="70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7"/>
          <w:szCs w:val="17"/>
          <w:b w:val="1"/>
          <w:bCs w:val="1"/>
          <w:color w:val="auto"/>
        </w:rPr>
        <w:t>Pink Sheets</w:t>
      </w:r>
      <w:r>
        <w:rPr>
          <w:rFonts w:ascii="Arial" w:cs="Arial" w:eastAsia="Arial" w:hAnsi="Arial"/>
          <w:sz w:val="17"/>
          <w:szCs w:val="17"/>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ind w:left="720" w:hanging="256"/>
        <w:spacing w:after="0"/>
        <w:tabs>
          <w:tab w:leader="none" w:pos="7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6" w:name="page117"/>
    <w:bookmarkEnd w:id="116"/>
    <w:p>
      <w:pPr>
        <w:ind w:left="-8" w:right="600" w:firstLine="464"/>
        <w:spacing w:after="0" w:line="347" w:lineRule="auto"/>
        <w:tabs>
          <w:tab w:leader="none" w:pos="673" w:val="left"/>
        </w:tabs>
        <w:numPr>
          <w:ilvl w:val="1"/>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left="-8" w:right="400" w:firstLine="464"/>
        <w:spacing w:after="0" w:line="282" w:lineRule="auto"/>
        <w:tabs>
          <w:tab w:leader="none" w:pos="70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left="-8" w:right="20" w:firstLine="464"/>
        <w:spacing w:after="0" w:line="347" w:lineRule="auto"/>
        <w:tabs>
          <w:tab w:leader="none" w:pos="70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fifth (5th) anniversary of the date of the initial exercise of the Series C Warrant or, if such date falls on a day other than a Business Day or on which trading does not take place on the Principal Market (a “Holiday”), the next date that is not a Holiday.</w:t>
      </w:r>
    </w:p>
    <w:p>
      <w:pPr>
        <w:spacing w:after="0" w:line="116" w:lineRule="exact"/>
        <w:rPr>
          <w:rFonts w:ascii="Arial" w:cs="Arial" w:eastAsia="Arial" w:hAnsi="Arial"/>
          <w:sz w:val="16"/>
          <w:szCs w:val="16"/>
          <w:color w:val="auto"/>
        </w:rPr>
      </w:pPr>
    </w:p>
    <w:p>
      <w:pPr>
        <w:ind w:left="672" w:hanging="216"/>
        <w:spacing w:after="0"/>
        <w:tabs>
          <w:tab w:leader="none" w:pos="67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left="-8" w:right="80" w:firstLine="8"/>
        <w:spacing w:after="0" w:line="267" w:lineRule="auto"/>
        <w:tabs>
          <w:tab w:leader="none" w:pos="24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1" w:lineRule="exact"/>
        <w:rPr>
          <w:rFonts w:ascii="Arial" w:cs="Arial" w:eastAsia="Arial" w:hAnsi="Arial"/>
          <w:sz w:val="17"/>
          <w:szCs w:val="17"/>
          <w:color w:val="auto"/>
        </w:rPr>
      </w:pPr>
    </w:p>
    <w:p>
      <w:pPr>
        <w:ind w:left="-8" w:right="40" w:firstLine="464"/>
        <w:spacing w:after="0" w:line="266" w:lineRule="auto"/>
        <w:tabs>
          <w:tab w:leader="none" w:pos="66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Eligibility Number</w:t>
      </w:r>
      <w:r>
        <w:rPr>
          <w:rFonts w:ascii="Arial" w:cs="Arial" w:eastAsia="Arial" w:hAnsi="Arial"/>
          <w:sz w:val="18"/>
          <w:szCs w:val="18"/>
          <w:color w:val="auto"/>
        </w:rPr>
        <w:t>” means initially zero and shall be increased upon each exercise of the Series C Warrant held by the Holder by such aggregate number of shares of Common Stock equal to 100% of the number of shares of Common Stock issued upon any such exercise of such Series C Warrant (as adjusted for stock splits, stock distributions, recapitalizations and similar events).</w:t>
      </w:r>
    </w:p>
    <w:p>
      <w:pPr>
        <w:spacing w:after="0" w:line="176" w:lineRule="exact"/>
        <w:rPr>
          <w:rFonts w:ascii="Arial" w:cs="Arial" w:eastAsia="Arial" w:hAnsi="Arial"/>
          <w:sz w:val="18"/>
          <w:szCs w:val="18"/>
          <w:color w:val="auto"/>
        </w:rPr>
      </w:pPr>
    </w:p>
    <w:p>
      <w:pPr>
        <w:ind w:left="712" w:hanging="256"/>
        <w:spacing w:after="0"/>
        <w:tabs>
          <w:tab w:leader="none" w:pos="71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8" w:right="40" w:firstLine="464"/>
        <w:spacing w:after="0" w:line="266" w:lineRule="auto"/>
        <w:tabs>
          <w:tab w:leader="none" w:pos="66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8" w:firstLine="464"/>
        <w:spacing w:after="0" w:line="282" w:lineRule="auto"/>
        <w:tabs>
          <w:tab w:leader="none" w:pos="75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12" w:hanging="256"/>
        <w:spacing w:after="0"/>
        <w:tabs>
          <w:tab w:leader="none" w:pos="71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Warrant</w:t>
      </w:r>
      <w:r>
        <w:rPr>
          <w:rFonts w:ascii="Arial" w:cs="Arial" w:eastAsia="Arial" w:hAnsi="Arial"/>
          <w:sz w:val="18"/>
          <w:szCs w:val="18"/>
          <w:color w:val="auto"/>
        </w:rPr>
        <w:t>” means the Series C Warrant to Purchase Common Stock issued pursuant to the Securities Purchase Agreement.</w:t>
      </w:r>
    </w:p>
    <w:p>
      <w:pPr>
        <w:spacing w:after="0" w:line="225" w:lineRule="exact"/>
        <w:rPr>
          <w:rFonts w:ascii="Arial" w:cs="Arial" w:eastAsia="Arial" w:hAnsi="Arial"/>
          <w:sz w:val="18"/>
          <w:szCs w:val="18"/>
          <w:color w:val="auto"/>
        </w:rPr>
      </w:pPr>
    </w:p>
    <w:p>
      <w:pPr>
        <w:ind w:left="-8" w:right="240" w:firstLine="464"/>
        <w:spacing w:after="0" w:line="347" w:lineRule="auto"/>
        <w:tabs>
          <w:tab w:leader="none" w:pos="70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5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0" w:right="259" w:bottom="1440" w:gutter="0" w:footer="0" w:header="0"/>
        </w:sectPr>
      </w:pPr>
    </w:p>
    <w:bookmarkStart w:id="117" w:name="page118"/>
    <w:bookmarkEnd w:id="117"/>
    <w:p>
      <w:pPr>
        <w:ind w:left="-140" w:right="40" w:firstLine="464"/>
        <w:spacing w:after="0" w:line="292" w:lineRule="auto"/>
        <w:tabs>
          <w:tab w:leader="none" w:pos="571"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left="-140" w:firstLine="464"/>
        <w:spacing w:after="0" w:line="314" w:lineRule="auto"/>
        <w:tabs>
          <w:tab w:leader="none" w:pos="54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380" w:top="270" w:right="359" w:bottom="1440" w:gutter="0" w:footer="0" w:header="0"/>
        </w:sectPr>
      </w:pPr>
    </w:p>
    <w:bookmarkStart w:id="118" w:name="page119"/>
    <w:bookmarkEnd w:id="11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4"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270" w:right="619" w:bottom="1440" w:gutter="0" w:footer="0" w:header="0"/>
        </w:sectPr>
      </w:pPr>
    </w:p>
    <w:bookmarkStart w:id="119" w:name="page120"/>
    <w:bookmarkEnd w:id="11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320"/>
          </w:cols>
          <w:pgMar w:left="240" w:top="270" w:right="339" w:bottom="1440" w:gutter="0" w:footer="0" w:header="0"/>
        </w:sectPr>
      </w:pPr>
    </w:p>
    <w:p>
      <w:pPr>
        <w:spacing w:after="0" w:line="229"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undersigned holder hereby exercises the right to purchase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Series E-1 Warrant No. 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hanging="783"/>
        <w:spacing w:after="0" w:line="347" w:lineRule="auto"/>
        <w:rPr>
          <w:sz w:val="20"/>
          <w:szCs w:val="20"/>
          <w:color w:val="auto"/>
        </w:rPr>
      </w:pPr>
      <w:r>
        <w:rPr>
          <w:rFonts w:ascii="Arial" w:cs="Arial" w:eastAsia="Arial" w:hAnsi="Arial"/>
          <w:sz w:val="16"/>
          <w:szCs w:val="16"/>
          <w:color w:val="auto"/>
        </w:rPr>
        <w:t>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w:t>
      </w:r>
    </w:p>
    <w:p>
      <w:pPr>
        <w:spacing w:after="0" w:line="336" w:lineRule="exact"/>
        <w:rPr>
          <w:sz w:val="20"/>
          <w:szCs w:val="20"/>
          <w:color w:val="auto"/>
        </w:rPr>
      </w:pPr>
    </w:p>
    <w:p>
      <w:pPr>
        <w:sectPr>
          <w:pgSz w:w="11900" w:h="16838" w:orient="portrait"/>
          <w:cols w:equalWidth="0" w:num="2">
            <w:col w:w="5800" w:space="720"/>
            <w:col w:w="4800"/>
          </w:cols>
          <w:pgMar w:left="240" w:top="270" w:right="3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Arial" w:cs="Arial" w:eastAsia="Arial" w:hAnsi="Arial"/>
                <w:sz w:val="18"/>
                <w:szCs w:val="18"/>
                <w:color w:val="auto"/>
              </w:rPr>
              <w:t>a “Cash Exercise” with respect to</w:t>
            </w:r>
          </w:p>
        </w:tc>
        <w:tc>
          <w:tcPr>
            <w:tcW w:w="1920" w:type="dxa"/>
            <w:vAlign w:val="bottom"/>
          </w:tcPr>
          <w:p>
            <w:pPr>
              <w:jc w:val="center"/>
              <w:ind w:left="170"/>
              <w:spacing w:after="0"/>
              <w:rPr>
                <w:sz w:val="20"/>
                <w:szCs w:val="20"/>
                <w:color w:val="auto"/>
              </w:rPr>
            </w:pPr>
            <w:r>
              <w:rPr>
                <w:rFonts w:ascii="Arial" w:cs="Arial" w:eastAsia="Arial" w:hAnsi="Arial"/>
                <w:sz w:val="18"/>
                <w:szCs w:val="18"/>
                <w:color w:val="auto"/>
                <w:w w:val="88"/>
              </w:rPr>
              <w:t>Warrant Shares; and/or</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960" w:type="dxa"/>
            <w:vAlign w:val="bottom"/>
            <w:gridSpan w:val="4"/>
          </w:tcPr>
          <w:p>
            <w:pPr>
              <w:spacing w:after="0"/>
              <w:rPr>
                <w:sz w:val="20"/>
                <w:szCs w:val="20"/>
                <w:color w:val="auto"/>
              </w:rPr>
            </w:pPr>
            <w:r>
              <w:rPr>
                <w:rFonts w:ascii="Arial" w:cs="Arial" w:eastAsia="Arial" w:hAnsi="Arial"/>
                <w:sz w:val="18"/>
                <w:szCs w:val="18"/>
                <w:color w:val="auto"/>
                <w:w w:val="99"/>
              </w:rPr>
              <w:t>a “Cashless Exercise” with respect to</w:t>
            </w:r>
          </w:p>
        </w:tc>
        <w:tc>
          <w:tcPr>
            <w:tcW w:w="1920" w:type="dxa"/>
            <w:vAlign w:val="bottom"/>
          </w:tcPr>
          <w:p>
            <w:pPr>
              <w:jc w:val="center"/>
              <w:ind w:left="210"/>
              <w:spacing w:after="0"/>
              <w:rPr>
                <w:sz w:val="20"/>
                <w:szCs w:val="20"/>
                <w:color w:val="auto"/>
              </w:rPr>
            </w:pPr>
            <w:r>
              <w:rPr>
                <w:rFonts w:ascii="Arial" w:cs="Arial" w:eastAsia="Arial" w:hAnsi="Arial"/>
                <w:sz w:val="18"/>
                <w:szCs w:val="18"/>
                <w:color w:val="auto"/>
                <w:w w:val="86"/>
              </w:rPr>
              <w:t>Warrant Shares.</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firstLine="464"/>
        <w:spacing w:after="0" w:line="342" w:lineRule="auto"/>
        <w:tabs>
          <w:tab w:leader="none" w:pos="636"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241935</wp:posOffset>
            </wp:positionV>
            <wp:extent cx="21697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464820</wp:posOffset>
            </wp:positionV>
            <wp:extent cx="21697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688340</wp:posOffset>
            </wp:positionV>
            <wp:extent cx="21697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0" w:right="339" w:bottom="1440" w:gutter="0" w:footer="0" w:header="0"/>
          <w:type w:val="continuous"/>
        </w:sectPr>
      </w:pPr>
    </w:p>
    <w:bookmarkStart w:id="120" w:name="page121"/>
    <w:bookmarkEnd w:id="12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240" w:top="270" w:right="5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F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SERIES F WARRANT TO PURCHASE COMMON STOCK</w:t>
      </w: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Series F Warrant No.: 8-</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-16 – #</w:t>
      </w:r>
    </w:p>
    <w:p>
      <w:pPr>
        <w:spacing w:after="0" w:line="200" w:lineRule="exact"/>
        <w:rPr>
          <w:sz w:val="20"/>
          <w:szCs w:val="20"/>
          <w:color w:val="auto"/>
        </w:rPr>
      </w:pPr>
    </w:p>
    <w:p>
      <w:pPr>
        <w:sectPr>
          <w:pgSz w:w="11900" w:h="16838" w:orient="portrait"/>
          <w:cols w:equalWidth="0" w:num="2">
            <w:col w:w="1760" w:space="280"/>
            <w:col w:w="938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of Issuance: August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 2016 (“</w:t>
      </w:r>
      <w:r>
        <w:rPr>
          <w:rFonts w:ascii="Arial" w:cs="Arial" w:eastAsia="Arial" w:hAnsi="Arial"/>
          <w:sz w:val="16"/>
          <w:szCs w:val="16"/>
          <w:b w:val="1"/>
          <w:bCs w:val="1"/>
          <w:color w:val="auto"/>
        </w:rPr>
        <w:t>Issuance Date</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1820" w:space="220"/>
            <w:col w:w="9380"/>
          </w:cols>
          <w:pgMar w:left="240" w:top="121"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August [ ], 2016</w:t>
      </w:r>
    </w:p>
    <w:p>
      <w:pPr>
        <w:spacing w:after="0" w:line="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but not after 11:59 p.m., New York time, on the Expiration Date (as defined below), [ ]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w:t>
      </w:r>
    </w:p>
    <w:p>
      <w:pPr>
        <w:spacing w:after="0" w:line="190" w:lineRule="exact"/>
        <w:rPr>
          <w:sz w:val="20"/>
          <w:szCs w:val="20"/>
          <w:color w:val="auto"/>
        </w:rPr>
      </w:pPr>
    </w:p>
    <w:p>
      <w:pPr>
        <w:ind w:left="180" w:hanging="172"/>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4" w:lineRule="auto"/>
        <w:tabs>
          <w:tab w:leader="none" w:pos="701"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On or before the third (3rd ) Trading Day following the date on which the Company has received such Exercise Notice, the Company shall (X)</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w:t>
      </w:r>
    </w:p>
    <w:p>
      <w:pPr>
        <w:sectPr>
          <w:pgSz w:w="11900" w:h="16838" w:orient="portrait"/>
          <w:cols w:equalWidth="0" w:num="1">
            <w:col w:w="11420"/>
          </w:cols>
          <w:pgMar w:left="240" w:top="121" w:right="239" w:bottom="1440" w:gutter="0" w:footer="0" w:header="0"/>
          <w:type w:val="continuous"/>
        </w:sectPr>
      </w:pPr>
    </w:p>
    <w:bookmarkStart w:id="122" w:name="page123"/>
    <w:bookmarkEnd w:id="122"/>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74" w:lineRule="exact"/>
        <w:rPr>
          <w:sz w:val="20"/>
          <w:szCs w:val="20"/>
          <w:color w:val="auto"/>
        </w:rPr>
      </w:pPr>
    </w:p>
    <w:p>
      <w:pPr>
        <w:ind w:left="720" w:hanging="256"/>
        <w:spacing w:after="0"/>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$0.60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jc w:val="both"/>
        <w:ind w:right="80" w:firstLine="464"/>
        <w:spacing w:after="0" w:line="279" w:lineRule="auto"/>
        <w:tabs>
          <w:tab w:leader="none" w:pos="711"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or resale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700"/>
        <w:spacing w:after="0"/>
        <w:tabs>
          <w:tab w:leader="none" w:pos="1980" w:val="left"/>
        </w:tabs>
        <w:rPr>
          <w:sz w:val="20"/>
          <w:szCs w:val="20"/>
          <w:color w:val="auto"/>
        </w:rPr>
      </w:pPr>
      <w:r>
        <w:rPr>
          <w:rFonts w:ascii="Arial" w:cs="Arial" w:eastAsia="Arial" w:hAnsi="Arial"/>
          <w:sz w:val="18"/>
          <w:szCs w:val="18"/>
          <w:b w:val="1"/>
          <w:bCs w:val="1"/>
          <w:color w:val="auto"/>
        </w:rPr>
        <w:t>Net Number =</w:t>
      </w:r>
      <w:r>
        <w:rPr>
          <w:sz w:val="20"/>
          <w:szCs w:val="20"/>
          <w:color w:val="auto"/>
        </w:rPr>
        <w:tab/>
      </w:r>
      <w:r>
        <w:rPr>
          <w:rFonts w:ascii="Arial" w:cs="Arial" w:eastAsia="Arial" w:hAnsi="Arial"/>
          <w:sz w:val="17"/>
          <w:szCs w:val="17"/>
          <w:u w:val="single" w:color="auto"/>
          <w:color w:val="auto"/>
        </w:rPr>
        <w:t>(A x B) - (A x C)</w:t>
      </w:r>
    </w:p>
    <w:p>
      <w:pPr>
        <w:spacing w:after="0" w:line="2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3" w:name="page124"/>
    <w:bookmarkEnd w:id="12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 foregoing formula: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440" w:right="40"/>
        <w:spacing w:after="0" w:line="271" w:lineRule="auto"/>
        <w:rPr>
          <w:sz w:val="20"/>
          <w:szCs w:val="20"/>
          <w:color w:val="auto"/>
        </w:rPr>
      </w:pPr>
      <w:r>
        <w:rPr>
          <w:rFonts w:ascii="Arial" w:cs="Arial" w:eastAsia="Arial" w:hAnsi="Arial"/>
          <w:sz w:val="17"/>
          <w:szCs w:val="17"/>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20" w:right="200" w:firstLine="464"/>
        <w:spacing w:after="0" w:line="312" w:lineRule="auto"/>
        <w:tabs>
          <w:tab w:leader="none" w:pos="681"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20" w:firstLine="464"/>
        <w:spacing w:after="0" w:line="284" w:lineRule="auto"/>
        <w:tabs>
          <w:tab w:leader="none" w:pos="661"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Securities and Exchange Act of 1934 Act, as amended, and the rules and regulations promulgated thereunder. The provisions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124" w:name="page125"/>
    <w:bookmarkEnd w:id="124"/>
    <w:p>
      <w:pPr>
        <w:ind w:left="-8" w:right="40" w:firstLine="464"/>
        <w:spacing w:after="0" w:line="286" w:lineRule="auto"/>
        <w:tabs>
          <w:tab w:leader="none" w:pos="703"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Series F Warrants remain outstanding the Company does not have a sufficient number of authorized and unreserved shares of Common Stock to satisfy its obligation to reserve for issuance upon exercise of the Series F Warrants at least a number of shares of Common Stock equal to the number of shares of Common Stock as shall from time to time be necessary to effect the exercise of all of the Series F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Series F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71" w:lineRule="exact"/>
        <w:rPr>
          <w:rFonts w:ascii="Arial" w:cs="Arial" w:eastAsia="Arial" w:hAnsi="Arial"/>
          <w:sz w:val="16"/>
          <w:szCs w:val="16"/>
          <w:color w:val="auto"/>
        </w:rPr>
      </w:pPr>
    </w:p>
    <w:p>
      <w:pPr>
        <w:ind w:left="-8" w:right="120" w:firstLine="8"/>
        <w:spacing w:after="0" w:line="277" w:lineRule="auto"/>
        <w:tabs>
          <w:tab w:leader="none" w:pos="17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Issuance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140" w:firstLine="464"/>
        <w:spacing w:after="0" w:line="271" w:lineRule="auto"/>
        <w:tabs>
          <w:tab w:leader="none" w:pos="703"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of its subsidiaries)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125" w:name="page126"/>
    <w:bookmarkEnd w:id="125"/>
    <w:p>
      <w:pPr>
        <w:ind w:left="-8" w:right="120" w:firstLine="464"/>
        <w:spacing w:after="0" w:line="308" w:lineRule="auto"/>
        <w:tabs>
          <w:tab w:leader="none" w:pos="693"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20" w:firstLine="8"/>
        <w:spacing w:after="0" w:line="269" w:lineRule="auto"/>
        <w:tabs>
          <w:tab w:leader="none" w:pos="172"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72" w:hanging="172"/>
        <w:spacing w:after="0"/>
        <w:tabs>
          <w:tab w:leader="none" w:pos="17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p>
    <w:p>
      <w:pPr>
        <w:spacing w:after="0" w:line="225"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69" w:lineRule="exact"/>
        <w:rPr>
          <w:rFonts w:ascii="Arial" w:cs="Arial" w:eastAsia="Arial" w:hAnsi="Arial"/>
          <w:sz w:val="16"/>
          <w:szCs w:val="16"/>
          <w:color w:val="auto"/>
        </w:rPr>
      </w:pPr>
    </w:p>
    <w:p>
      <w:pPr>
        <w:ind w:left="-8" w:firstLine="464"/>
        <w:spacing w:after="0" w:line="270" w:lineRule="auto"/>
        <w:tabs>
          <w:tab w:leader="none" w:pos="703"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Fundamental Transactions</w:t>
      </w:r>
      <w:r>
        <w:rPr>
          <w:rFonts w:ascii="Arial" w:cs="Arial" w:eastAsia="Arial" w:hAnsi="Arial"/>
          <w:sz w:val="17"/>
          <w:szCs w:val="17"/>
          <w:color w:val="auto"/>
        </w:rPr>
        <w:t>. The Company shall not enter into or be party to a Fundamental Transaction unless (i) the Successor Entity assumes in writing all of the obligations of the Company under this Warrant and the other transaction documents executed in connection therewith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26" w:name="page127"/>
    <w:bookmarkEnd w:id="12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2" w:lineRule="exact"/>
        <w:rPr>
          <w:sz w:val="20"/>
          <w:szCs w:val="20"/>
          <w:color w:val="auto"/>
        </w:rPr>
      </w:pPr>
    </w:p>
    <w:p>
      <w:pPr>
        <w:ind w:right="120" w:firstLine="464"/>
        <w:spacing w:after="0" w:line="257" w:lineRule="auto"/>
        <w:tabs>
          <w:tab w:leader="none" w:pos="701"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firstLine="8"/>
        <w:spacing w:after="0" w:line="269" w:lineRule="auto"/>
        <w:tabs>
          <w:tab w:leader="none" w:pos="180"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Articles of Incorporation, Bylaws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Series F Warrants are outstanding, take all action necessary to reserve and keep available out of its authorized and unissued shares of Common Stock, solely for the purpose of effecting the exercise of the Series F Warrants, the maximum number of shares of Common Stock as shall from time to time be necessary to effect the exercise of the Series F Warrants then outstanding (without regard to any limitations on exercise).</w:t>
      </w:r>
    </w:p>
    <w:p>
      <w:pPr>
        <w:spacing w:after="0" w:line="182" w:lineRule="exact"/>
        <w:rPr>
          <w:rFonts w:ascii="Arial" w:cs="Arial" w:eastAsia="Arial" w:hAnsi="Arial"/>
          <w:sz w:val="17"/>
          <w:szCs w:val="17"/>
          <w:color w:val="auto"/>
        </w:rPr>
      </w:pPr>
    </w:p>
    <w:p>
      <w:pPr>
        <w:ind w:right="240" w:firstLine="8"/>
        <w:spacing w:after="0" w:line="264" w:lineRule="auto"/>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WARRANT HOLDER NOT DEEMED A SHAREHOLDER</w:t>
      </w:r>
      <w:r>
        <w:rPr>
          <w:rFonts w:ascii="Arial" w:cs="Arial" w:eastAsia="Arial" w:hAnsi="Arial"/>
          <w:sz w:val="18"/>
          <w:szCs w:val="18"/>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7" w:name="page128"/>
    <w:bookmarkEnd w:id="127"/>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obligated to provide such information if it is filed with the SEC through EDGAR and available to the public through the EDGAR system.</w:t>
      </w:r>
    </w:p>
    <w:p>
      <w:pPr>
        <w:spacing w:after="0" w:line="197" w:lineRule="exact"/>
        <w:rPr>
          <w:sz w:val="20"/>
          <w:szCs w:val="20"/>
          <w:color w:val="auto"/>
        </w:rPr>
      </w:pPr>
    </w:p>
    <w:p>
      <w:pPr>
        <w:ind w:left="180" w:hanging="172"/>
        <w:spacing w:after="0"/>
        <w:tabs>
          <w:tab w:leader="none" w:pos="1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64"/>
        <w:spacing w:after="0" w:line="255" w:lineRule="auto"/>
        <w:tabs>
          <w:tab w:leader="none" w:pos="701"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right="140" w:firstLine="464"/>
        <w:spacing w:after="0" w:line="276" w:lineRule="auto"/>
        <w:tabs>
          <w:tab w:leader="none" w:pos="711"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right="60" w:firstLine="464"/>
        <w:spacing w:after="0" w:line="279" w:lineRule="auto"/>
        <w:tabs>
          <w:tab w:leader="none" w:pos="701"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100" w:firstLine="464"/>
        <w:spacing w:after="0" w:line="273" w:lineRule="auto"/>
        <w:tabs>
          <w:tab w:leader="none" w:pos="711"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firstLine="8"/>
        <w:spacing w:after="0" w:line="272" w:lineRule="auto"/>
        <w:tabs>
          <w:tab w:leader="none" w:pos="18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to the Company at its principal business office, and to the Holder at its address appearing in the Company’s warrant register, or such other address as the Holder shall have provided to the Company in writing.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8" w:name="page129"/>
    <w:bookmarkEnd w:id="128"/>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65" w:lineRule="exact"/>
        <w:rPr>
          <w:sz w:val="20"/>
          <w:szCs w:val="20"/>
          <w:color w:val="auto"/>
        </w:rPr>
      </w:pPr>
    </w:p>
    <w:p>
      <w:pPr>
        <w:ind w:right="80" w:firstLine="8"/>
        <w:spacing w:after="0" w:line="257" w:lineRule="auto"/>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that certain Warrant Amendment Agreement, dated as of August 10, 2016,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40" w:firstLine="8"/>
        <w:spacing w:after="0" w:line="271" w:lineRule="auto"/>
        <w:tabs>
          <w:tab w:leader="none" w:pos="27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8"/>
        <w:spacing w:after="0" w:line="283" w:lineRule="auto"/>
        <w:tabs>
          <w:tab w:leader="none" w:pos="263"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w:t>
      </w:r>
    </w:p>
    <w:p>
      <w:pPr>
        <w:spacing w:after="0" w:line="6" w:lineRule="exact"/>
        <w:rPr>
          <w:rFonts w:ascii="Arial" w:cs="Arial" w:eastAsia="Arial" w:hAnsi="Arial"/>
          <w:sz w:val="16"/>
          <w:szCs w:val="16"/>
          <w:color w:val="auto"/>
        </w:rPr>
      </w:pPr>
    </w:p>
    <w:p>
      <w:pPr>
        <w:ind w:right="36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REQUEST, A JURY TRIAL FOR THE ADJUDICATION OF ANY DISPUTE HEREUNDER OR IN CONNECTION WITH OR ARISING OUT OF THIS WARRANT OR ANY TRANSACTION CONTEMPLATED HEREBY.</w:t>
      </w:r>
    </w:p>
    <w:p>
      <w:pPr>
        <w:spacing w:after="0" w:line="183" w:lineRule="exact"/>
        <w:rPr>
          <w:rFonts w:ascii="Arial" w:cs="Arial" w:eastAsia="Arial" w:hAnsi="Arial"/>
          <w:sz w:val="16"/>
          <w:szCs w:val="16"/>
          <w:color w:val="auto"/>
        </w:rPr>
      </w:pPr>
    </w:p>
    <w:p>
      <w:pPr>
        <w:jc w:val="both"/>
        <w:ind w:right="180" w:firstLine="8"/>
        <w:spacing w:after="0" w:line="279" w:lineRule="auto"/>
        <w:tabs>
          <w:tab w:leader="none" w:pos="27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CONSTRUCTION; HEADINGS</w:t>
      </w:r>
      <w:r>
        <w:rPr>
          <w:rFonts w:ascii="Arial" w:cs="Arial" w:eastAsia="Arial" w:hAnsi="Arial"/>
          <w:sz w:val="17"/>
          <w:szCs w:val="17"/>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Issuance Date in such other Transaction Documents unless otherwise consented to in writing by the Holder.</w:t>
      </w:r>
    </w:p>
    <w:p>
      <w:pPr>
        <w:spacing w:after="0" w:line="171" w:lineRule="exact"/>
        <w:rPr>
          <w:rFonts w:ascii="Arial" w:cs="Arial" w:eastAsia="Arial" w:hAnsi="Arial"/>
          <w:sz w:val="17"/>
          <w:szCs w:val="17"/>
          <w:color w:val="auto"/>
        </w:rPr>
      </w:pPr>
    </w:p>
    <w:p>
      <w:pPr>
        <w:ind w:right="80" w:firstLine="8"/>
        <w:spacing w:after="0" w:line="259" w:lineRule="auto"/>
        <w:tabs>
          <w:tab w:leader="none" w:pos="27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9" w:name="page130"/>
    <w:bookmarkEnd w:id="12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sz w:val="20"/>
          <w:szCs w:val="20"/>
          <w:color w:val="auto"/>
        </w:rPr>
      </w:pPr>
    </w:p>
    <w:p>
      <w:pPr>
        <w:ind w:right="40" w:firstLine="8"/>
        <w:spacing w:after="0" w:line="267" w:lineRule="auto"/>
        <w:tabs>
          <w:tab w:leader="none" w:pos="27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w:t>
      </w:r>
    </w:p>
    <w:p>
      <w:pPr>
        <w:spacing w:after="0" w:line="3" w:lineRule="exact"/>
        <w:rPr>
          <w:rFonts w:ascii="Arial" w:cs="Arial" w:eastAsia="Arial" w:hAnsi="Arial"/>
          <w:sz w:val="17"/>
          <w:szCs w:val="17"/>
          <w:color w:val="auto"/>
        </w:rPr>
      </w:pPr>
    </w:p>
    <w:p>
      <w:pPr>
        <w:spacing w:after="0" w:line="288" w:lineRule="auto"/>
        <w:rPr>
          <w:rFonts w:ascii="Arial" w:cs="Arial" w:eastAsia="Arial" w:hAnsi="Arial"/>
          <w:sz w:val="17"/>
          <w:szCs w:val="17"/>
          <w:color w:val="auto"/>
        </w:rPr>
      </w:pPr>
      <w:r>
        <w:rPr>
          <w:rFonts w:ascii="Arial" w:cs="Arial" w:eastAsia="Arial" w:hAnsi="Arial"/>
          <w:sz w:val="16"/>
          <w:szCs w:val="16"/>
          <w:color w:val="auto"/>
        </w:rPr>
        <w:t>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68" w:lineRule="exact"/>
        <w:rPr>
          <w:rFonts w:ascii="Arial" w:cs="Arial" w:eastAsia="Arial" w:hAnsi="Arial"/>
          <w:sz w:val="17"/>
          <w:szCs w:val="17"/>
          <w:color w:val="auto"/>
        </w:rPr>
      </w:pPr>
    </w:p>
    <w:p>
      <w:pPr>
        <w:ind w:left="280" w:hanging="272"/>
        <w:spacing w:after="0"/>
        <w:tabs>
          <w:tab w:leader="none" w:pos="2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40" w:firstLine="464"/>
        <w:spacing w:after="0" w:line="290" w:lineRule="auto"/>
        <w:tabs>
          <w:tab w:leader="none" w:pos="701" w:val="left"/>
        </w:tabs>
        <w:numPr>
          <w:ilvl w:val="1"/>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0" w:name="page131"/>
    <w:bookmarkEnd w:id="130"/>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6" w:lineRule="exact"/>
        <w:rPr>
          <w:sz w:val="20"/>
          <w:szCs w:val="20"/>
          <w:color w:val="auto"/>
        </w:rPr>
      </w:pPr>
    </w:p>
    <w:p>
      <w:pPr>
        <w:ind w:left="720" w:hanging="256"/>
        <w:spacing w:after="0"/>
        <w:tabs>
          <w:tab w:leader="none" w:pos="7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right="620" w:firstLine="464"/>
        <w:spacing w:after="0" w:line="347" w:lineRule="auto"/>
        <w:tabs>
          <w:tab w:leader="none" w:pos="681" w:val="left"/>
        </w:tabs>
        <w:numPr>
          <w:ilvl w:val="1"/>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right="420" w:firstLine="464"/>
        <w:spacing w:after="0" w:line="282" w:lineRule="auto"/>
        <w:tabs>
          <w:tab w:leader="none" w:pos="71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right="60" w:firstLine="464"/>
        <w:spacing w:after="0" w:line="282" w:lineRule="auto"/>
        <w:tabs>
          <w:tab w:leader="none" w:pos="71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61" w:lineRule="exact"/>
        <w:rPr>
          <w:rFonts w:ascii="Arial" w:cs="Arial" w:eastAsia="Arial" w:hAnsi="Arial"/>
          <w:sz w:val="18"/>
          <w:szCs w:val="18"/>
          <w:color w:val="auto"/>
        </w:rPr>
      </w:pPr>
    </w:p>
    <w:p>
      <w:pPr>
        <w:ind w:left="680" w:hanging="216"/>
        <w:spacing w:after="0"/>
        <w:tabs>
          <w:tab w:leader="none" w:pos="6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right="100" w:firstLine="8"/>
        <w:spacing w:after="0" w:line="267" w:lineRule="auto"/>
        <w:tabs>
          <w:tab w:leader="none" w:pos="2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1" w:name="page132"/>
    <w:bookmarkEnd w:id="131"/>
    <w:p>
      <w:pPr>
        <w:ind w:left="620" w:hanging="216"/>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60" w:firstLine="464"/>
        <w:spacing w:after="0" w:line="266" w:lineRule="auto"/>
        <w:tabs>
          <w:tab w:leader="none" w:pos="70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60" w:right="20" w:firstLine="464"/>
        <w:spacing w:after="0" w:line="282" w:lineRule="auto"/>
        <w:tabs>
          <w:tab w:leader="none" w:pos="65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660" w:hanging="256"/>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60" w:right="200" w:firstLine="464"/>
        <w:spacing w:after="0" w:line="347" w:lineRule="auto"/>
        <w:tabs>
          <w:tab w:leader="none" w:pos="65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left="-60" w:right="100" w:firstLine="464"/>
        <w:spacing w:after="0" w:line="292" w:lineRule="auto"/>
        <w:tabs>
          <w:tab w:leader="none" w:pos="65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left="-60" w:right="60" w:firstLine="464"/>
        <w:spacing w:after="0" w:line="314" w:lineRule="auto"/>
        <w:tabs>
          <w:tab w:leader="none" w:pos="62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300" w:top="270" w:right="299" w:bottom="1440" w:gutter="0" w:footer="0" w:header="0"/>
        </w:sectPr>
      </w:pPr>
    </w:p>
    <w:bookmarkStart w:id="132" w:name="page133"/>
    <w:bookmarkEnd w:id="132"/>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Glynn Wilson, Chief Executive Officer</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270" w:right="6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The undersigned holder hereby exercises the right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F Warrant No.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240"/>
        <w:spacing w:after="0" w:line="313" w:lineRule="auto"/>
        <w:rPr>
          <w:sz w:val="20"/>
          <w:szCs w:val="20"/>
          <w:color w:val="auto"/>
        </w:rPr>
      </w:pPr>
      <w:r>
        <w:rPr>
          <w:rFonts w:ascii="Arial" w:cs="Arial" w:eastAsia="Arial" w:hAnsi="Arial"/>
          <w:sz w:val="17"/>
          <w:szCs w:val="17"/>
          <w:color w:val="auto"/>
        </w:rPr>
        <w:t>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TapImmune Inc., a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w:t>
      </w:r>
    </w:p>
    <w:p>
      <w:pPr>
        <w:spacing w:after="0" w:line="336" w:lineRule="exact"/>
        <w:rPr>
          <w:sz w:val="20"/>
          <w:szCs w:val="20"/>
          <w:color w:val="auto"/>
        </w:rPr>
      </w:pPr>
    </w:p>
    <w:p>
      <w:pPr>
        <w:sectPr>
          <w:pgSz w:w="11900" w:h="16838" w:orient="portrait"/>
          <w:cols w:equalWidth="0" w:num="2">
            <w:col w:w="5380" w:space="360"/>
            <w:col w:w="5680"/>
          </w:cols>
          <w:pgMar w:left="240" w:top="270" w:right="239" w:bottom="1440" w:gutter="0" w:footer="0" w:header="0"/>
          <w:type w:val="continuous"/>
        </w:sectPr>
      </w:pPr>
    </w:p>
    <w:p>
      <w:pPr>
        <w:spacing w:after="0" w:line="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520" w:type="dxa"/>
            <w:vAlign w:val="bottom"/>
            <w:gridSpan w:val="5"/>
          </w:tcPr>
          <w:p>
            <w:pPr>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tc>
        <w:tc>
          <w:tcPr>
            <w:tcW w:w="1680" w:type="dxa"/>
            <w:vAlign w:val="bottom"/>
          </w:tcPr>
          <w:p>
            <w:pPr>
              <w:spacing w:after="0"/>
              <w:rPr>
                <w:sz w:val="17"/>
                <w:szCs w:val="17"/>
                <w:color w:val="auto"/>
              </w:rPr>
            </w:pPr>
          </w:p>
        </w:tc>
      </w:tr>
      <w:tr>
        <w:trPr>
          <w:trHeight w:val="439"/>
        </w:trPr>
        <w:tc>
          <w:tcPr>
            <w:tcW w:w="18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6680" w:type="dxa"/>
            <w:vAlign w:val="bottom"/>
            <w:gridSpan w:val="3"/>
          </w:tcPr>
          <w:p>
            <w:pPr>
              <w:ind w:left="3720"/>
              <w:spacing w:after="0"/>
              <w:rPr>
                <w:sz w:val="20"/>
                <w:szCs w:val="20"/>
                <w:color w:val="auto"/>
              </w:rPr>
            </w:pPr>
            <w:r>
              <w:rPr>
                <w:rFonts w:ascii="Arial" w:cs="Arial" w:eastAsia="Arial" w:hAnsi="Arial"/>
                <w:sz w:val="18"/>
                <w:szCs w:val="18"/>
                <w:color w:val="auto"/>
              </w:rPr>
              <w:t>a “Cash Exercise” with respect to</w:t>
            </w:r>
          </w:p>
        </w:tc>
        <w:tc>
          <w:tcPr>
            <w:tcW w:w="1680" w:type="dxa"/>
            <w:vAlign w:val="bottom"/>
          </w:tcPr>
          <w:p>
            <w:pPr>
              <w:ind w:left="260"/>
              <w:spacing w:after="0"/>
              <w:rPr>
                <w:sz w:val="20"/>
                <w:szCs w:val="20"/>
                <w:color w:val="auto"/>
              </w:rPr>
            </w:pPr>
            <w:r>
              <w:rPr>
                <w:rFonts w:ascii="Arial" w:cs="Arial" w:eastAsia="Arial" w:hAnsi="Arial"/>
                <w:sz w:val="18"/>
                <w:szCs w:val="18"/>
                <w:color w:val="auto"/>
              </w:rPr>
              <w:t>Warrant Shares;</w:t>
            </w:r>
          </w:p>
        </w:tc>
      </w:tr>
      <w:tr>
        <w:trPr>
          <w:trHeight w:val="20"/>
        </w:trPr>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80" w:type="dxa"/>
            <w:vAlign w:val="bottom"/>
            <w:gridSpan w:val="3"/>
          </w:tcPr>
          <w:p>
            <w:pPr>
              <w:ind w:left="3720"/>
              <w:spacing w:after="0"/>
              <w:rPr>
                <w:sz w:val="20"/>
                <w:szCs w:val="20"/>
                <w:color w:val="auto"/>
              </w:rPr>
            </w:pPr>
            <w:r>
              <w:rPr>
                <w:rFonts w:ascii="Arial" w:cs="Arial" w:eastAsia="Arial" w:hAnsi="Arial"/>
                <w:sz w:val="18"/>
                <w:szCs w:val="18"/>
                <w:color w:val="auto"/>
              </w:rPr>
              <w:t>and/or</w:t>
            </w:r>
          </w:p>
        </w:tc>
        <w:tc>
          <w:tcPr>
            <w:tcW w:w="1680" w:type="dxa"/>
            <w:vAlign w:val="bottom"/>
          </w:tcPr>
          <w:p>
            <w:pPr>
              <w:spacing w:after="0"/>
              <w:rPr>
                <w:sz w:val="20"/>
                <w:szCs w:val="20"/>
                <w:color w:val="auto"/>
              </w:rPr>
            </w:pPr>
          </w:p>
        </w:tc>
      </w:tr>
      <w:tr>
        <w:trPr>
          <w:trHeight w:val="324"/>
        </w:trPr>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80" w:type="dxa"/>
            <w:vAlign w:val="bottom"/>
            <w:gridSpan w:val="3"/>
          </w:tcPr>
          <w:p>
            <w:pPr>
              <w:ind w:left="3720"/>
              <w:spacing w:after="0"/>
              <w:rPr>
                <w:sz w:val="20"/>
                <w:szCs w:val="20"/>
                <w:color w:val="auto"/>
              </w:rPr>
            </w:pPr>
            <w:r>
              <w:rPr>
                <w:rFonts w:ascii="Arial" w:cs="Arial" w:eastAsia="Arial" w:hAnsi="Arial"/>
                <w:sz w:val="18"/>
                <w:szCs w:val="18"/>
                <w:color w:val="auto"/>
                <w:w w:val="99"/>
              </w:rPr>
              <w:t>a “Cashless Exercise” with respect to</w:t>
            </w:r>
          </w:p>
        </w:tc>
        <w:tc>
          <w:tcPr>
            <w:tcW w:w="1680" w:type="dxa"/>
            <w:vAlign w:val="bottom"/>
          </w:tcPr>
          <w:p>
            <w:pPr>
              <w:ind w:left="540"/>
              <w:spacing w:after="0"/>
              <w:rPr>
                <w:sz w:val="20"/>
                <w:szCs w:val="20"/>
                <w:color w:val="auto"/>
              </w:rPr>
            </w:pPr>
            <w:r>
              <w:rPr>
                <w:rFonts w:ascii="Arial" w:cs="Arial" w:eastAsia="Arial" w:hAnsi="Arial"/>
                <w:sz w:val="18"/>
                <w:szCs w:val="18"/>
                <w:color w:val="auto"/>
                <w:w w:val="85"/>
              </w:rPr>
              <w:t>Warrant Shares.</w:t>
            </w:r>
          </w:p>
        </w:tc>
      </w:tr>
    </w:tbl>
    <w:p>
      <w:pPr>
        <w:spacing w:after="0" w:line="202"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right="100" w:firstLine="464"/>
        <w:spacing w:after="0" w:line="342" w:lineRule="auto"/>
        <w:tabs>
          <w:tab w:leader="none" w:pos="636"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21697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21697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21697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24955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type w:val="continuous"/>
        </w:sectPr>
      </w:pPr>
    </w:p>
    <w:bookmarkStart w:id="134" w:name="page135"/>
    <w:bookmarkEnd w:id="134"/>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4.10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F-1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F-1 WARRANT TO PURCHASE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Series F-1 Warrant No.: 8- -16 – [-]</w:t>
      </w:r>
    </w:p>
    <w:p>
      <w:pPr>
        <w:spacing w:after="0" w:line="221"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Date of Issuance: August</w:t>
      </w:r>
      <w:r>
        <w:rPr>
          <w:sz w:val="20"/>
          <w:szCs w:val="20"/>
          <w:color w:val="auto"/>
        </w:rPr>
        <w:tab/>
      </w:r>
      <w:r>
        <w:rPr>
          <w:rFonts w:ascii="Arial" w:cs="Arial" w:eastAsia="Arial" w:hAnsi="Arial"/>
          <w:sz w:val="16"/>
          <w:szCs w:val="16"/>
          <w:color w:val="auto"/>
        </w:rPr>
        <w:t>, 2016 (“</w:t>
      </w:r>
      <w:r>
        <w:rPr>
          <w:rFonts w:ascii="Arial" w:cs="Arial" w:eastAsia="Arial" w:hAnsi="Arial"/>
          <w:sz w:val="16"/>
          <w:szCs w:val="16"/>
          <w:b w:val="1"/>
          <w:bCs w:val="1"/>
          <w:color w:val="auto"/>
        </w:rPr>
        <w:t>Issuance Date</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hereby acknowledged, [ ], the registered holder hereof or its permitted assigns (the “</w:t>
      </w:r>
      <w:r>
        <w:rPr>
          <w:rFonts w:ascii="Arial" w:cs="Arial" w:eastAsia="Arial" w:hAnsi="Arial"/>
          <w:sz w:val="18"/>
          <w:szCs w:val="18"/>
          <w:b w:val="1"/>
          <w:bCs w:val="1"/>
          <w:color w:val="auto"/>
        </w:rPr>
        <w:t>Holder</w:t>
      </w:r>
      <w:r>
        <w:rPr>
          <w:rFonts w:ascii="Arial" w:cs="Arial" w:eastAsia="Arial" w:hAnsi="Arial"/>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8"/>
          <w:szCs w:val="18"/>
          <w:b w:val="1"/>
          <w:bCs w:val="1"/>
          <w:color w:val="auto"/>
        </w:rPr>
        <w:t>Warrant</w:t>
      </w:r>
      <w:r>
        <w:rPr>
          <w:rFonts w:ascii="Arial" w:cs="Arial" w:eastAsia="Arial" w:hAnsi="Arial"/>
          <w:sz w:val="18"/>
          <w:szCs w:val="18"/>
          <w:color w:val="auto"/>
        </w:rPr>
        <w:t>”), at any time or times on or after August [ ], 2016 but not after 11:59 p.m., New York time, on the Expiration Date (as defined below), 5,000,000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w:t>
      </w:r>
    </w:p>
    <w:p>
      <w:pPr>
        <w:spacing w:after="0" w:line="194"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4" w:lineRule="auto"/>
        <w:tabs>
          <w:tab w:leader="none" w:pos="701"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1(h)),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On or before the third (3rd ) Trading Day following the date on which the Company has received such Exercise Notice, the Company shall (X)</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36" w:name="page137"/>
    <w:bookmarkEnd w:id="136"/>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74" w:lineRule="exact"/>
        <w:rPr>
          <w:sz w:val="20"/>
          <w:szCs w:val="20"/>
          <w:color w:val="auto"/>
        </w:rPr>
      </w:pPr>
    </w:p>
    <w:p>
      <w:pPr>
        <w:ind w:left="720" w:hanging="256"/>
        <w:spacing w:after="0"/>
        <w:tabs>
          <w:tab w:leader="none" w:pos="7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$0.60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jc w:val="both"/>
        <w:ind w:right="80" w:firstLine="464"/>
        <w:spacing w:after="0" w:line="279" w:lineRule="auto"/>
        <w:tabs>
          <w:tab w:leader="none" w:pos="711"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or resale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360"/>
        <w:spacing w:after="0"/>
        <w:tabs>
          <w:tab w:leader="none" w:pos="1740" w:val="left"/>
        </w:tabs>
        <w:rPr>
          <w:sz w:val="20"/>
          <w:szCs w:val="20"/>
          <w:color w:val="auto"/>
        </w:rPr>
      </w:pPr>
      <w:r>
        <w:rPr>
          <w:rFonts w:ascii="Arial" w:cs="Arial" w:eastAsia="Arial" w:hAnsi="Arial"/>
          <w:sz w:val="18"/>
          <w:szCs w:val="18"/>
          <w:b w:val="1"/>
          <w:bCs w:val="1"/>
          <w:color w:val="auto"/>
        </w:rPr>
        <w:t xml:space="preserve">Net Number </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(A x B) - (A x C)</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37" w:name="page138"/>
    <w:bookmarkEnd w:id="1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 foregoing formula:</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900"/>
        <w:spacing w:after="0" w:line="290"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20" w:right="180" w:firstLine="464"/>
        <w:spacing w:after="0" w:line="312" w:lineRule="auto"/>
        <w:tabs>
          <w:tab w:leader="none" w:pos="681"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20" w:right="60" w:firstLine="464"/>
        <w:spacing w:after="0" w:line="253" w:lineRule="auto"/>
        <w:tabs>
          <w:tab w:leader="none" w:pos="661"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HSR Compliance</w:t>
      </w:r>
      <w:r>
        <w:rPr>
          <w:rFonts w:ascii="Arial" w:cs="Arial" w:eastAsia="Arial" w:hAnsi="Arial"/>
          <w:sz w:val="18"/>
          <w:szCs w:val="18"/>
          <w:color w:val="auto"/>
        </w:rPr>
        <w:t>. The Company acknowledges that issuance of the Warrant and the Warrant Shares to Holder may subject Holder to the filing requirements of the Hart-Scott-Rodino Antitrust Improvements Act of 1976, as amended (the “</w:t>
      </w:r>
      <w:r>
        <w:rPr>
          <w:rFonts w:ascii="Arial" w:cs="Arial" w:eastAsia="Arial" w:hAnsi="Arial"/>
          <w:sz w:val="18"/>
          <w:szCs w:val="18"/>
          <w:b w:val="1"/>
          <w:bCs w:val="1"/>
          <w:color w:val="auto"/>
        </w:rPr>
        <w:t>HSR Act</w:t>
      </w:r>
      <w:r>
        <w:rPr>
          <w:rFonts w:ascii="Arial" w:cs="Arial" w:eastAsia="Arial" w:hAnsi="Arial"/>
          <w:sz w:val="18"/>
          <w:szCs w:val="18"/>
          <w:color w:val="auto"/>
        </w:rPr>
        <w:t>”). As such, the issuance of the Warrant Shares may be subject to compliance by Holder with all applicable filing requirements and the expiration of all waiting periods under the HSR Act (the “</w:t>
      </w:r>
      <w:r>
        <w:rPr>
          <w:rFonts w:ascii="Arial" w:cs="Arial" w:eastAsia="Arial" w:hAnsi="Arial"/>
          <w:sz w:val="18"/>
          <w:szCs w:val="18"/>
          <w:b w:val="1"/>
          <w:bCs w:val="1"/>
          <w:color w:val="auto"/>
        </w:rPr>
        <w:t>HSR Act</w:t>
      </w:r>
      <w:r>
        <w:rPr>
          <w:rFonts w:ascii="Arial" w:cs="Arial" w:eastAsia="Arial" w:hAnsi="Arial"/>
          <w:sz w:val="18"/>
          <w:szCs w:val="18"/>
          <w:color w:val="auto"/>
        </w:rPr>
        <w:t xml:space="preserve"> </w:t>
      </w:r>
      <w:r>
        <w:rPr>
          <w:rFonts w:ascii="Arial" w:cs="Arial" w:eastAsia="Arial" w:hAnsi="Arial"/>
          <w:sz w:val="18"/>
          <w:szCs w:val="18"/>
          <w:b w:val="1"/>
          <w:bCs w:val="1"/>
          <w:color w:val="auto"/>
        </w:rPr>
        <w:t>Restrictions</w:t>
      </w:r>
      <w:r>
        <w:rPr>
          <w:rFonts w:ascii="Arial" w:cs="Arial" w:eastAsia="Arial" w:hAnsi="Arial"/>
          <w:sz w:val="18"/>
          <w:szCs w:val="18"/>
          <w:color w:val="auto"/>
        </w:rPr>
        <w:t>”). If, on or before the expiration of any period of time for Holder to exercise any right or comply with any obligation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or the Warrant Shares under the Warrant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194" w:lineRule="exact"/>
        <w:rPr>
          <w:rFonts w:ascii="Arial" w:cs="Arial" w:eastAsia="Arial" w:hAnsi="Arial"/>
          <w:sz w:val="18"/>
          <w:szCs w:val="18"/>
          <w:color w:val="auto"/>
        </w:rPr>
      </w:pPr>
    </w:p>
    <w:p>
      <w:pPr>
        <w:ind w:left="-20" w:right="20" w:firstLine="464"/>
        <w:spacing w:after="0" w:line="287" w:lineRule="auto"/>
        <w:tabs>
          <w:tab w:leader="none" w:pos="691"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Series F-1 Warrants remain outstanding the Company does not have a sufficient number of authorized and unreserved shares of Common Stock to satisfy its obligation to reserve for issuance upon exercise of the Series F-1 Warrants at least a number of shares of Common Stock equal to the number of shares of Common Stock as shall from time to time be necessary to effect the exercise of all of the Series F-1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Series F-1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138" w:name="page139"/>
    <w:bookmarkEnd w:id="138"/>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81" w:lineRule="exact"/>
        <w:rPr>
          <w:sz w:val="20"/>
          <w:szCs w:val="20"/>
          <w:color w:val="auto"/>
        </w:rPr>
      </w:pPr>
    </w:p>
    <w:p>
      <w:pPr>
        <w:ind w:right="80" w:firstLine="464"/>
        <w:spacing w:after="0" w:line="285" w:lineRule="auto"/>
        <w:tabs>
          <w:tab w:leader="none" w:pos="711"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Limitation on Exercise</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Securities and Exchange Act of 1934 Act, as amended,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7"/>
          <w:szCs w:val="17"/>
          <w:b w:val="1"/>
          <w:bCs w:val="1"/>
          <w:color w:val="auto"/>
        </w:rPr>
        <w:t>Excess Shares</w:t>
      </w:r>
      <w:r>
        <w:rPr>
          <w:rFonts w:ascii="Arial" w:cs="Arial" w:eastAsia="Arial" w:hAnsi="Arial"/>
          <w:sz w:val="17"/>
          <w:szCs w:val="17"/>
          <w:color w:val="auto"/>
        </w:rPr>
        <w:t>”)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70" w:lineRule="exact"/>
        <w:rPr>
          <w:sz w:val="20"/>
          <w:szCs w:val="20"/>
          <w:color w:val="auto"/>
        </w:rPr>
      </w:pPr>
    </w:p>
    <w:p>
      <w:pPr>
        <w:ind w:right="400" w:firstLine="8"/>
        <w:spacing w:after="0" w:line="277" w:lineRule="auto"/>
        <w:tabs>
          <w:tab w:leader="none" w:pos="1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firstLine="464"/>
        <w:spacing w:after="0" w:line="257" w:lineRule="auto"/>
        <w:tabs>
          <w:tab w:leader="none" w:pos="701"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w:t>
      </w:r>
      <w:r>
        <w:rPr>
          <w:rFonts w:ascii="Arial" w:cs="Arial" w:eastAsia="Arial" w:hAnsi="Arial"/>
          <w:sz w:val="18"/>
          <w:szCs w:val="18"/>
          <w:color w:val="auto"/>
        </w:rPr>
        <w:t>. If the Company, at any time on or after the date of the Issuance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9" w:name="page140"/>
    <w:bookmarkEnd w:id="13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82" w:lineRule="exact"/>
        <w:rPr>
          <w:sz w:val="20"/>
          <w:szCs w:val="20"/>
          <w:color w:val="auto"/>
        </w:rPr>
      </w:pPr>
    </w:p>
    <w:p>
      <w:pPr>
        <w:ind w:right="140" w:firstLine="464"/>
        <w:spacing w:after="0" w:line="271" w:lineRule="auto"/>
        <w:tabs>
          <w:tab w:leader="none" w:pos="711"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of its subsidiaries)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78" w:lineRule="exact"/>
        <w:rPr>
          <w:rFonts w:ascii="Arial" w:cs="Arial" w:eastAsia="Arial" w:hAnsi="Arial"/>
          <w:sz w:val="17"/>
          <w:szCs w:val="17"/>
          <w:color w:val="auto"/>
        </w:rPr>
      </w:pPr>
    </w:p>
    <w:p>
      <w:pPr>
        <w:ind w:right="100" w:firstLine="464"/>
        <w:spacing w:after="0" w:line="308" w:lineRule="auto"/>
        <w:tabs>
          <w:tab w:leader="none" w:pos="701"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right="280" w:firstLine="464"/>
        <w:spacing w:after="0" w:line="264" w:lineRule="auto"/>
        <w:tabs>
          <w:tab w:leader="none" w:pos="711"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firstLine="8"/>
        <w:spacing w:after="0" w:line="287" w:lineRule="auto"/>
        <w:tabs>
          <w:tab w:leader="none" w:pos="18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p>
    <w:p>
      <w:pPr>
        <w:spacing w:after="0" w:line="168" w:lineRule="exact"/>
        <w:rPr>
          <w:rFonts w:ascii="Arial" w:cs="Arial" w:eastAsia="Arial" w:hAnsi="Arial"/>
          <w:sz w:val="16"/>
          <w:szCs w:val="16"/>
          <w:color w:val="auto"/>
        </w:rPr>
      </w:pPr>
    </w:p>
    <w:p>
      <w:pPr>
        <w:ind w:left="180" w:hanging="172"/>
        <w:spacing w:after="0"/>
        <w:tabs>
          <w:tab w:leader="none" w:pos="1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20" w:firstLine="464"/>
        <w:spacing w:after="0" w:line="277" w:lineRule="auto"/>
        <w:tabs>
          <w:tab w:leader="none" w:pos="701"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Purchase Rights</w:t>
      </w:r>
      <w:r>
        <w:rPr>
          <w:rFonts w:ascii="Arial" w:cs="Arial" w:eastAsia="Arial" w:hAnsi="Arial"/>
          <w:sz w:val="18"/>
          <w:szCs w:val="18"/>
          <w:color w:val="auto"/>
        </w:rPr>
        <w:t>. In addition to any adjustments pursuant to Section 2 above, if at any time the Company grants, issues or sells any Options, Convertible Securities or rights to purchase stock, warrants,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40" w:name="page141"/>
    <w:bookmarkEnd w:id="140"/>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p>
    <w:p>
      <w:pPr>
        <w:spacing w:after="0" w:line="182" w:lineRule="exact"/>
        <w:rPr>
          <w:sz w:val="20"/>
          <w:szCs w:val="20"/>
          <w:color w:val="auto"/>
        </w:rPr>
      </w:pPr>
    </w:p>
    <w:p>
      <w:pPr>
        <w:ind w:firstLine="464"/>
        <w:spacing w:after="0" w:line="283" w:lineRule="auto"/>
        <w:tabs>
          <w:tab w:leader="none" w:pos="711"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executed in connection therewith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right="140" w:firstLine="464"/>
        <w:spacing w:after="0" w:line="257" w:lineRule="auto"/>
        <w:tabs>
          <w:tab w:leader="none" w:pos="70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41" w:name="page142"/>
    <w:bookmarkEnd w:id="141"/>
    <w:p>
      <w:pPr>
        <w:ind w:left="-8" w:right="40" w:firstLine="8"/>
        <w:spacing w:after="0" w:line="269" w:lineRule="auto"/>
        <w:tabs>
          <w:tab w:leader="none" w:pos="172"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NONCIRCUMVENTION</w:t>
      </w:r>
      <w:r>
        <w:rPr>
          <w:rFonts w:ascii="Arial" w:cs="Arial" w:eastAsia="Arial" w:hAnsi="Arial"/>
          <w:sz w:val="17"/>
          <w:szCs w:val="17"/>
          <w:color w:val="auto"/>
        </w:rPr>
        <w:t>. The Company hereby covenants and agrees that the Company will not, by amendment of its Articles of Incorporation, Bylaws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Series F-1 Warrants are outstanding, take all action necessary to reserve and keep available out of its authorized and unissued shares of Common Stock, solely for the purpose of effecting the exercise of the Series F-1 Warrants, the maximum number of shares of Common Stock as shall from time to time be necessary to effect the exercise of the Series F-1 Warrants then outstanding (without regard to any limitations on exercise).</w:t>
      </w:r>
    </w:p>
    <w:p>
      <w:pPr>
        <w:spacing w:after="0" w:line="182" w:lineRule="exact"/>
        <w:rPr>
          <w:rFonts w:ascii="Arial" w:cs="Arial" w:eastAsia="Arial" w:hAnsi="Arial"/>
          <w:sz w:val="17"/>
          <w:szCs w:val="17"/>
          <w:color w:val="auto"/>
        </w:rPr>
      </w:pPr>
    </w:p>
    <w:p>
      <w:pPr>
        <w:ind w:left="-8" w:firstLine="8"/>
        <w:spacing w:after="0" w:line="269" w:lineRule="auto"/>
        <w:tabs>
          <w:tab w:leader="none" w:pos="172"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72" w:hanging="172"/>
        <w:spacing w:after="0"/>
        <w:tabs>
          <w:tab w:leader="none" w:pos="17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464"/>
        <w:spacing w:after="0" w:line="255" w:lineRule="auto"/>
        <w:tabs>
          <w:tab w:leader="none" w:pos="693"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left="-8" w:right="140" w:firstLine="464"/>
        <w:spacing w:after="0" w:line="276" w:lineRule="auto"/>
        <w:tabs>
          <w:tab w:leader="none" w:pos="703"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42" w:name="page143"/>
    <w:bookmarkEnd w:id="142"/>
    <w:p>
      <w:pPr>
        <w:ind w:left="-8" w:right="60" w:firstLine="464"/>
        <w:spacing w:after="0" w:line="279" w:lineRule="auto"/>
        <w:tabs>
          <w:tab w:leader="none" w:pos="693" w:val="left"/>
        </w:tabs>
        <w:numPr>
          <w:ilvl w:val="1"/>
          <w:numId w:val="1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left="-8" w:right="100" w:firstLine="464"/>
        <w:spacing w:after="0" w:line="273" w:lineRule="auto"/>
        <w:tabs>
          <w:tab w:leader="none" w:pos="703" w:val="left"/>
        </w:tabs>
        <w:numPr>
          <w:ilvl w:val="1"/>
          <w:numId w:val="161"/>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left="-8" w:firstLine="8"/>
        <w:spacing w:after="0" w:line="268" w:lineRule="auto"/>
        <w:tabs>
          <w:tab w:leader="none" w:pos="172"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to the Company at its principal business office, and to the Holder at its address appearing in the Company’s warrant register, or such other address as the Holder shall have provided to the Company in writing.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87" w:lineRule="exact"/>
        <w:rPr>
          <w:rFonts w:ascii="Arial" w:cs="Arial" w:eastAsia="Arial" w:hAnsi="Arial"/>
          <w:sz w:val="17"/>
          <w:szCs w:val="17"/>
          <w:color w:val="auto"/>
        </w:rPr>
      </w:pPr>
    </w:p>
    <w:p>
      <w:pPr>
        <w:ind w:left="-8" w:right="80" w:firstLine="8"/>
        <w:spacing w:after="0" w:line="257" w:lineRule="auto"/>
        <w:tabs>
          <w:tab w:leader="none" w:pos="172"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(other than Section 1(h)), the provisions of this Warrant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that certain Warrant Amendment Agreement, dated as of August 10, 2016,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left="-8" w:right="40" w:firstLine="8"/>
        <w:spacing w:after="0" w:line="271" w:lineRule="auto"/>
        <w:tabs>
          <w:tab w:leader="none" w:pos="262"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74" w:right="239" w:bottom="1440" w:gutter="0" w:footer="0" w:header="0"/>
        </w:sectPr>
      </w:pPr>
    </w:p>
    <w:bookmarkStart w:id="143" w:name="page144"/>
    <w:bookmarkEnd w:id="143"/>
    <w:p>
      <w:pPr>
        <w:ind w:left="-8" w:firstLine="8"/>
        <w:spacing w:after="0" w:line="276" w:lineRule="auto"/>
        <w:tabs>
          <w:tab w:leader="none" w:pos="255"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ARBITRATION</w:t>
      </w:r>
      <w:r>
        <w:rPr>
          <w:rFonts w:ascii="Arial" w:cs="Arial" w:eastAsia="Arial" w:hAnsi="Arial"/>
          <w:sz w:val="17"/>
          <w:szCs w:val="17"/>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arbitration procedures set forth in Section 12 of that certain Warrant Amendment Agreement, dated as of August 10, 2016.</w:t>
      </w:r>
    </w:p>
    <w:p>
      <w:pPr>
        <w:spacing w:after="0" w:line="172" w:lineRule="exact"/>
        <w:rPr>
          <w:rFonts w:ascii="Arial" w:cs="Arial" w:eastAsia="Arial" w:hAnsi="Arial"/>
          <w:sz w:val="17"/>
          <w:szCs w:val="17"/>
          <w:color w:val="auto"/>
        </w:rPr>
      </w:pPr>
    </w:p>
    <w:p>
      <w:pPr>
        <w:jc w:val="both"/>
        <w:ind w:left="-8" w:right="160" w:firstLine="8"/>
        <w:spacing w:after="0" w:line="279" w:lineRule="auto"/>
        <w:tabs>
          <w:tab w:leader="none" w:pos="262"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CONSTRUCTION; HEADINGS</w:t>
      </w:r>
      <w:r>
        <w:rPr>
          <w:rFonts w:ascii="Arial" w:cs="Arial" w:eastAsia="Arial" w:hAnsi="Arial"/>
          <w:sz w:val="17"/>
          <w:szCs w:val="17"/>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Issuance Date in such other Transaction Documents unless otherwise consented to in writing by the Holder.</w:t>
      </w:r>
    </w:p>
    <w:p>
      <w:pPr>
        <w:spacing w:after="0" w:line="171" w:lineRule="exact"/>
        <w:rPr>
          <w:rFonts w:ascii="Arial" w:cs="Arial" w:eastAsia="Arial" w:hAnsi="Arial"/>
          <w:sz w:val="17"/>
          <w:szCs w:val="17"/>
          <w:color w:val="auto"/>
        </w:rPr>
      </w:pPr>
    </w:p>
    <w:p>
      <w:pPr>
        <w:ind w:left="-8" w:right="60" w:firstLine="8"/>
        <w:spacing w:after="0" w:line="268" w:lineRule="auto"/>
        <w:tabs>
          <w:tab w:leader="none" w:pos="262"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rFonts w:ascii="Arial" w:cs="Arial" w:eastAsia="Arial" w:hAnsi="Arial"/>
          <w:sz w:val="17"/>
          <w:szCs w:val="17"/>
          <w:color w:val="auto"/>
        </w:rPr>
      </w:pPr>
    </w:p>
    <w:p>
      <w:pPr>
        <w:ind w:left="-8" w:right="40" w:firstLine="8"/>
        <w:spacing w:after="0" w:line="268" w:lineRule="auto"/>
        <w:tabs>
          <w:tab w:leader="none" w:pos="262"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144" w:name="page145"/>
    <w:bookmarkEnd w:id="144"/>
    <w:p>
      <w:pPr>
        <w:ind w:left="272" w:hanging="272"/>
        <w:spacing w:after="0"/>
        <w:tabs>
          <w:tab w:leader="none" w:pos="27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8" w:right="60" w:firstLine="464"/>
        <w:spacing w:after="0" w:line="270" w:lineRule="auto"/>
        <w:tabs>
          <w:tab w:leader="none" w:pos="69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7"/>
          <w:szCs w:val="17"/>
          <w:b w:val="1"/>
          <w:bCs w:val="1"/>
          <w:color w:val="auto"/>
        </w:rPr>
        <w:t>Pink Sheets</w:t>
      </w:r>
      <w:r>
        <w:rPr>
          <w:rFonts w:ascii="Arial" w:cs="Arial" w:eastAsia="Arial" w:hAnsi="Arial"/>
          <w:sz w:val="17"/>
          <w:szCs w:val="17"/>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ind w:left="712" w:hanging="256"/>
        <w:spacing w:after="0"/>
        <w:tabs>
          <w:tab w:leader="none" w:pos="71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left="-8" w:right="260" w:firstLine="464"/>
        <w:spacing w:after="0" w:line="282" w:lineRule="auto"/>
        <w:tabs>
          <w:tab w:leader="none" w:pos="69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left="-8" w:right="40" w:firstLine="464"/>
        <w:spacing w:after="0" w:line="288" w:lineRule="auto"/>
        <w:tabs>
          <w:tab w:leader="none" w:pos="703" w:val="left"/>
        </w:tabs>
        <w:numPr>
          <w:ilvl w:val="1"/>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left="-8" w:firstLine="464"/>
        <w:spacing w:after="0" w:line="282" w:lineRule="auto"/>
        <w:tabs>
          <w:tab w:leader="none" w:pos="69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left="-8" w:right="620" w:firstLine="464"/>
        <w:spacing w:after="0" w:line="347" w:lineRule="auto"/>
        <w:tabs>
          <w:tab w:leader="none" w:pos="673" w:val="left"/>
        </w:tabs>
        <w:numPr>
          <w:ilvl w:val="1"/>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left="-8" w:right="420" w:firstLine="464"/>
        <w:spacing w:after="0" w:line="282" w:lineRule="auto"/>
        <w:tabs>
          <w:tab w:leader="none" w:pos="70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145" w:name="page146"/>
    <w:bookmarkEnd w:id="145"/>
    <w:p>
      <w:pPr>
        <w:ind w:left="-8" w:firstLine="464"/>
        <w:spacing w:after="0" w:line="282" w:lineRule="auto"/>
        <w:tabs>
          <w:tab w:leader="none" w:pos="703" w:val="left"/>
        </w:tabs>
        <w:numPr>
          <w:ilvl w:val="1"/>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61" w:lineRule="exact"/>
        <w:rPr>
          <w:rFonts w:ascii="Arial" w:cs="Arial" w:eastAsia="Arial" w:hAnsi="Arial"/>
          <w:sz w:val="18"/>
          <w:szCs w:val="18"/>
          <w:color w:val="auto"/>
        </w:rPr>
      </w:pPr>
    </w:p>
    <w:p>
      <w:pPr>
        <w:ind w:left="672" w:hanging="216"/>
        <w:spacing w:after="0"/>
        <w:tabs>
          <w:tab w:leader="none" w:pos="67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left="-8" w:right="40" w:firstLine="8"/>
        <w:spacing w:after="0" w:line="267" w:lineRule="auto"/>
        <w:tabs>
          <w:tab w:leader="none" w:pos="247"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1" w:lineRule="exact"/>
        <w:rPr>
          <w:rFonts w:ascii="Arial" w:cs="Arial" w:eastAsia="Arial" w:hAnsi="Arial"/>
          <w:sz w:val="17"/>
          <w:szCs w:val="17"/>
          <w:color w:val="auto"/>
        </w:rPr>
      </w:pPr>
    </w:p>
    <w:p>
      <w:pPr>
        <w:ind w:left="672" w:hanging="216"/>
        <w:spacing w:after="0"/>
        <w:tabs>
          <w:tab w:leader="none" w:pos="67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8" w:firstLine="464"/>
        <w:spacing w:after="0" w:line="266" w:lineRule="auto"/>
        <w:tabs>
          <w:tab w:leader="none" w:pos="70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8" w:right="60" w:firstLine="464"/>
        <w:spacing w:after="0" w:line="282" w:lineRule="auto"/>
        <w:tabs>
          <w:tab w:leader="none" w:pos="66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52" w:hanging="296"/>
        <w:spacing w:after="0"/>
        <w:tabs>
          <w:tab w:leader="none" w:pos="75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8" w:right="200" w:firstLine="464"/>
        <w:spacing w:after="0" w:line="347" w:lineRule="auto"/>
        <w:tabs>
          <w:tab w:leader="none" w:pos="703" w:val="left"/>
        </w:tabs>
        <w:numPr>
          <w:ilvl w:val="1"/>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left="-8" w:right="100" w:firstLine="464"/>
        <w:spacing w:after="0" w:line="292" w:lineRule="auto"/>
        <w:tabs>
          <w:tab w:leader="none" w:pos="703" w:val="left"/>
        </w:tabs>
        <w:numPr>
          <w:ilvl w:val="1"/>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left="-8" w:right="40" w:firstLine="464"/>
        <w:spacing w:after="0" w:line="314" w:lineRule="auto"/>
        <w:tabs>
          <w:tab w:leader="none" w:pos="703" w:val="left"/>
        </w:tabs>
        <w:numPr>
          <w:ilvl w:val="1"/>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52"/>
          </w:cols>
          <w:pgMar w:left="248" w:top="270" w:right="299" w:bottom="1440" w:gutter="0" w:footer="0" w:header="0"/>
        </w:sectPr>
      </w:pPr>
    </w:p>
    <w:bookmarkStart w:id="146" w:name="page147"/>
    <w:bookmarkEnd w:id="146"/>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Glynn Wilson, Chief Executive Officer</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270" w:right="619" w:bottom="1440" w:gutter="0" w:footer="0" w:header="0"/>
        </w:sectPr>
      </w:pPr>
    </w:p>
    <w:bookmarkStart w:id="147" w:name="page148"/>
    <w:bookmarkEnd w:id="14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320"/>
          </w:cols>
          <w:pgMar w:left="240" w:top="270" w:right="339" w:bottom="1440" w:gutter="0" w:footer="0" w:header="0"/>
        </w:sectPr>
      </w:pPr>
    </w:p>
    <w:p>
      <w:pPr>
        <w:spacing w:after="0" w:line="229"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The undersigned holder hereby exercises the right to purchase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Series F-1 Warrant No. 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80" w:hanging="728"/>
        <w:spacing w:after="0" w:line="347" w:lineRule="auto"/>
        <w:rPr>
          <w:sz w:val="20"/>
          <w:szCs w:val="20"/>
          <w:color w:val="auto"/>
        </w:rPr>
      </w:pPr>
      <w:r>
        <w:rPr>
          <w:rFonts w:ascii="Arial" w:cs="Arial" w:eastAsia="Arial" w:hAnsi="Arial"/>
          <w:sz w:val="16"/>
          <w:szCs w:val="16"/>
          <w:color w:val="auto"/>
        </w:rPr>
        <w:t>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w:t>
      </w:r>
    </w:p>
    <w:p>
      <w:pPr>
        <w:spacing w:after="0" w:line="336" w:lineRule="exact"/>
        <w:rPr>
          <w:sz w:val="20"/>
          <w:szCs w:val="20"/>
          <w:color w:val="auto"/>
        </w:rPr>
      </w:pPr>
    </w:p>
    <w:p>
      <w:pPr>
        <w:sectPr>
          <w:pgSz w:w="11900" w:h="16838" w:orient="portrait"/>
          <w:cols w:equalWidth="0" w:num="2">
            <w:col w:w="5760" w:space="720"/>
            <w:col w:w="4840"/>
          </w:cols>
          <w:pgMar w:left="240" w:top="270" w:right="3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25" w:lineRule="exact"/>
        <w:rPr>
          <w:sz w:val="20"/>
          <w:szCs w:val="20"/>
          <w:color w:val="auto"/>
        </w:rPr>
      </w:pPr>
    </w:p>
    <w:p>
      <w:pPr>
        <w:ind w:left="1860"/>
        <w:spacing w:after="0"/>
        <w:tabs>
          <w:tab w:leader="none" w:pos="5080" w:val="left"/>
        </w:tabs>
        <w:rPr>
          <w:sz w:val="20"/>
          <w:szCs w:val="20"/>
          <w:color w:val="auto"/>
        </w:rPr>
      </w:pPr>
      <w:r>
        <w:rPr>
          <w:rFonts w:ascii="Arial" w:cs="Arial" w:eastAsia="Arial" w:hAnsi="Arial"/>
          <w:sz w:val="18"/>
          <w:szCs w:val="18"/>
          <w:color w:val="auto"/>
        </w:rPr>
        <w:t>a “Cash Exercise” with respect to</w:t>
      </w:r>
      <w:r>
        <w:rPr>
          <w:sz w:val="20"/>
          <w:szCs w:val="20"/>
          <w:color w:val="auto"/>
        </w:rPr>
        <w:tab/>
      </w:r>
      <w:r>
        <w:rPr>
          <w:rFonts w:ascii="Arial" w:cs="Arial" w:eastAsia="Arial" w:hAnsi="Arial"/>
          <w:sz w:val="15"/>
          <w:szCs w:val="15"/>
          <w:color w:val="auto"/>
        </w:rPr>
        <w:t>Warrant Shares; and/or</w:t>
      </w:r>
    </w:p>
    <w:p>
      <w:pPr>
        <w:spacing w:after="0" w:line="225" w:lineRule="exact"/>
        <w:rPr>
          <w:sz w:val="20"/>
          <w:szCs w:val="20"/>
          <w:color w:val="auto"/>
        </w:rPr>
      </w:pPr>
    </w:p>
    <w:p>
      <w:pPr>
        <w:ind w:left="1860"/>
        <w:spacing w:after="0"/>
        <w:tabs>
          <w:tab w:leader="none" w:pos="5340" w:val="left"/>
        </w:tabs>
        <w:rPr>
          <w:sz w:val="20"/>
          <w:szCs w:val="20"/>
          <w:color w:val="auto"/>
        </w:rPr>
      </w:pPr>
      <w:r>
        <w:rPr>
          <w:rFonts w:ascii="Arial" w:cs="Arial" w:eastAsia="Arial" w:hAnsi="Arial"/>
          <w:sz w:val="18"/>
          <w:szCs w:val="18"/>
          <w:color w:val="auto"/>
        </w:rPr>
        <w:t>a “Cashless Exercise” with respect to</w:t>
      </w:r>
      <w:r>
        <w:rPr>
          <w:sz w:val="20"/>
          <w:szCs w:val="20"/>
          <w:color w:val="auto"/>
        </w:rPr>
        <w:tab/>
      </w:r>
      <w:r>
        <w:rPr>
          <w:rFonts w:ascii="Arial" w:cs="Arial" w:eastAsia="Arial" w:hAnsi="Arial"/>
          <w:sz w:val="15"/>
          <w:szCs w:val="15"/>
          <w:color w:val="auto"/>
        </w:rPr>
        <w:t>Warrant Shares.</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firstLine="464"/>
        <w:spacing w:after="0" w:line="342" w:lineRule="auto"/>
        <w:tabs>
          <w:tab w:leader="none" w:pos="636"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241935</wp:posOffset>
            </wp:positionV>
            <wp:extent cx="21697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464820</wp:posOffset>
            </wp:positionV>
            <wp:extent cx="21697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688340</wp:posOffset>
            </wp:positionV>
            <wp:extent cx="21697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0" w:right="339" w:bottom="1440" w:gutter="0" w:footer="0" w:header="0"/>
          <w:type w:val="continuous"/>
        </w:sectPr>
      </w:pPr>
    </w:p>
    <w:bookmarkStart w:id="148" w:name="page149"/>
    <w:bookmarkEnd w:id="148"/>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240" w:top="270" w:right="5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4.11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BROKER WARRANT</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WARRANT NO. [ ] DATE OF ISSUANCE: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NUMBER OF SHARES: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 hereunder)</w:t>
      </w:r>
    </w:p>
    <w:p>
      <w:pPr>
        <w:spacing w:after="0" w:line="9" w:lineRule="exact"/>
        <w:rPr>
          <w:sz w:val="20"/>
          <w:szCs w:val="20"/>
          <w:color w:val="auto"/>
        </w:rPr>
      </w:pPr>
    </w:p>
    <w:p>
      <w:pPr>
        <w:sectPr>
          <w:pgSz w:w="11900" w:h="16838" w:orient="portrait"/>
          <w:cols w:equalWidth="0" w:num="3">
            <w:col w:w="2000" w:space="720"/>
            <w:col w:w="5260" w:space="720"/>
            <w:col w:w="27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EXPIRATION 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900" w:space="720"/>
            <w:col w:w="8800"/>
          </w:cols>
          <w:pgMar w:left="240" w:top="121" w:right="2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COMMON STOCK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right="1060" w:firstLine="456"/>
        <w:spacing w:after="0" w:line="282" w:lineRule="auto"/>
        <w:rPr>
          <w:sz w:val="20"/>
          <w:szCs w:val="20"/>
          <w:color w:val="auto"/>
        </w:rPr>
      </w:pPr>
      <w:r>
        <w:rPr>
          <w:rFonts w:ascii="Arial" w:cs="Arial" w:eastAsia="Arial" w:hAnsi="Arial"/>
          <w:sz w:val="18"/>
          <w:szCs w:val="18"/>
          <w:color w:val="auto"/>
        </w:rPr>
        <w:t>This Warrant is issued to [ ], or its registered assigns (including any successors or assigns, the “</w:t>
      </w:r>
      <w:r>
        <w:rPr>
          <w:rFonts w:ascii="Arial" w:cs="Arial" w:eastAsia="Arial" w:hAnsi="Arial"/>
          <w:sz w:val="18"/>
          <w:szCs w:val="18"/>
          <w:b w:val="1"/>
          <w:bCs w:val="1"/>
          <w:color w:val="auto"/>
        </w:rPr>
        <w:t>Warrantholder</w:t>
      </w:r>
      <w:r>
        <w:rPr>
          <w:rFonts w:ascii="Arial" w:cs="Arial" w:eastAsia="Arial" w:hAnsi="Arial"/>
          <w:sz w:val="18"/>
          <w:szCs w:val="18"/>
          <w:color w:val="auto"/>
        </w:rPr>
        <w:t>”), which is hereby acknowledged by TapImmune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EXERCISE OF WARRANT.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Number and Exercise Price of Warrant Shares; Expiration Date</w:t>
      </w:r>
      <w:r>
        <w:rPr>
          <w:rFonts w:ascii="Arial" w:cs="Arial" w:eastAsia="Arial" w:hAnsi="Arial"/>
          <w:sz w:val="16"/>
          <w:szCs w:val="16"/>
          <w:color w:val="auto"/>
        </w:rPr>
        <w:t>. Subject to the terms and conditions set forth herein and set forth herein, the</w:t>
      </w:r>
    </w:p>
    <w:p>
      <w:pPr>
        <w:spacing w:after="0" w:line="46"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Warrantholder is entitled to purchase from the Company up to [</w:t>
      </w:r>
      <w:r>
        <w:rPr>
          <w:sz w:val="20"/>
          <w:szCs w:val="20"/>
          <w:color w:val="auto"/>
        </w:rPr>
        <w:tab/>
      </w:r>
      <w:r>
        <w:rPr>
          <w:rFonts w:ascii="Arial" w:cs="Arial" w:eastAsia="Arial" w:hAnsi="Arial"/>
          <w:sz w:val="16"/>
          <w:szCs w:val="16"/>
          <w:color w:val="auto"/>
        </w:rPr>
        <w:t>] shares of the Company’s Common Stock, $0.001 par value per share (the</w:t>
      </w:r>
    </w:p>
    <w:p>
      <w:pPr>
        <w:spacing w:after="0" w:line="9" w:lineRule="exact"/>
        <w:rPr>
          <w:sz w:val="20"/>
          <w:szCs w:val="20"/>
          <w:color w:val="auto"/>
        </w:rPr>
      </w:pPr>
    </w:p>
    <w:p>
      <w:pPr>
        <w:spacing w:after="0"/>
        <w:tabs>
          <w:tab w:leader="none" w:pos="109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(as adjusted from time to time pursuant to the provisions of this Warrant) (the “</w:t>
      </w:r>
      <w:r>
        <w:rPr>
          <w:rFonts w:ascii="Arial" w:cs="Arial" w:eastAsia="Arial" w:hAnsi="Arial"/>
          <w:sz w:val="18"/>
          <w:szCs w:val="18"/>
          <w:b w:val="1"/>
          <w:bCs w:val="1"/>
          <w:color w:val="auto"/>
        </w:rPr>
        <w:t>Warrant Shares</w:t>
      </w:r>
      <w:r>
        <w:rPr>
          <w:rFonts w:ascii="Arial" w:cs="Arial" w:eastAsia="Arial" w:hAnsi="Arial"/>
          <w:sz w:val="18"/>
          <w:szCs w:val="18"/>
          <w:color w:val="auto"/>
        </w:rPr>
        <w:t>”), at a purchase price of [</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1</w:t>
      </w:r>
      <w:r>
        <w:rPr>
          <w:rFonts w:ascii="Arial" w:cs="Arial" w:eastAsia="Arial" w:hAnsi="Arial"/>
          <w:sz w:val="17"/>
          <w:szCs w:val="17"/>
          <w:color w:val="auto"/>
        </w:rPr>
        <w:t xml:space="preserve"> per</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share (the “</w:t>
      </w:r>
      <w:r>
        <w:rPr>
          <w:rFonts w:ascii="Arial" w:cs="Arial" w:eastAsia="Arial" w:hAnsi="Arial"/>
          <w:sz w:val="18"/>
          <w:szCs w:val="18"/>
          <w:b w:val="1"/>
          <w:bCs w:val="1"/>
          <w:color w:val="auto"/>
        </w:rPr>
        <w:t>Exercise Price</w:t>
      </w:r>
      <w:r>
        <w:rPr>
          <w:rFonts w:ascii="Arial" w:cs="Arial" w:eastAsia="Arial" w:hAnsi="Arial"/>
          <w:sz w:val="18"/>
          <w:szCs w:val="18"/>
          <w:color w:val="auto"/>
        </w:rPr>
        <w:t>”), on or before 5:00 p.m. New York City time on the fifth anniversary of the Date of Issuance (the “</w:t>
      </w:r>
      <w:r>
        <w:rPr>
          <w:rFonts w:ascii="Arial" w:cs="Arial" w:eastAsia="Arial" w:hAnsi="Arial"/>
          <w:sz w:val="18"/>
          <w:szCs w:val="18"/>
          <w:b w:val="1"/>
          <w:bCs w:val="1"/>
          <w:color w:val="auto"/>
        </w:rPr>
        <w:t>Expiration Date</w:t>
      </w:r>
      <w:r>
        <w:rPr>
          <w:rFonts w:ascii="Arial" w:cs="Arial" w:eastAsia="Arial" w:hAnsi="Arial"/>
          <w:sz w:val="18"/>
          <w:szCs w:val="18"/>
          <w:color w:val="auto"/>
        </w:rPr>
        <w:t>”) (subject to earlier termination of this Warrant as set forth herein).</w:t>
      </w:r>
    </w:p>
    <w:p>
      <w:pPr>
        <w:spacing w:after="0" w:line="184" w:lineRule="exact"/>
        <w:rPr>
          <w:sz w:val="20"/>
          <w:szCs w:val="20"/>
          <w:color w:val="auto"/>
        </w:rPr>
      </w:pPr>
    </w:p>
    <w:p>
      <w:pPr>
        <w:ind w:right="180" w:firstLine="921"/>
        <w:spacing w:after="0" w:line="277" w:lineRule="auto"/>
        <w:tabs>
          <w:tab w:leader="none" w:pos="1168"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While this Warrant remains outstanding and exercisable in accordance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above, the Warrantholder may exercise this Warrant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herein, by either:</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wire transfer to the Company or cashier’s check drawn on a United States bank made payable to the order of the Company, or</w:t>
      </w:r>
    </w:p>
    <w:p>
      <w:pPr>
        <w:spacing w:after="0" w:line="236" w:lineRule="exact"/>
        <w:rPr>
          <w:rFonts w:ascii="Arial" w:cs="Arial" w:eastAsia="Arial" w:hAnsi="Arial"/>
          <w:sz w:val="17"/>
          <w:szCs w:val="17"/>
          <w:color w:val="auto"/>
        </w:rPr>
      </w:pPr>
    </w:p>
    <w:p>
      <w:pPr>
        <w:ind w:right="140" w:firstLine="1492"/>
        <w:spacing w:after="0" w:line="277" w:lineRule="auto"/>
        <w:tabs>
          <w:tab w:leader="none" w:pos="173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exercising of the right to credit the Exercise Price against the Fair Market Value of the Warrant Shares (as defined below) at the time of exercise (the “</w:t>
      </w:r>
      <w:r>
        <w:rPr>
          <w:rFonts w:ascii="Arial" w:cs="Arial" w:eastAsia="Arial" w:hAnsi="Arial"/>
          <w:sz w:val="18"/>
          <w:szCs w:val="18"/>
          <w:b w:val="1"/>
          <w:bCs w:val="1"/>
          <w:color w:val="auto"/>
        </w:rPr>
        <w:t>Net Exercise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hanging="212"/>
        <w:spacing w:after="0"/>
        <w:tabs>
          <w:tab w:leader="none" w:pos="220" w:val="left"/>
        </w:tabs>
        <w:numPr>
          <w:ilvl w:val="0"/>
          <w:numId w:val="169"/>
        </w:numPr>
        <w:rPr>
          <w:rFonts w:ascii="Arial" w:cs="Arial" w:eastAsia="Arial" w:hAnsi="Arial"/>
          <w:sz w:val="15"/>
          <w:szCs w:val="15"/>
          <w:color w:val="auto"/>
        </w:rPr>
      </w:pPr>
      <w:r>
        <w:rPr>
          <w:rFonts w:ascii="Arial" w:cs="Arial" w:eastAsia="Arial" w:hAnsi="Arial"/>
          <w:sz w:val="18"/>
          <w:szCs w:val="18"/>
          <w:color w:val="auto"/>
        </w:rPr>
        <w:t>To be inserted at the time of the issuance of the Broker Warrants. The purchase price is the price per share of the Securities.</w:t>
      </w:r>
    </w:p>
    <w:p>
      <w:pPr>
        <w:sectPr>
          <w:pgSz w:w="11900" w:h="16838" w:orient="portrait"/>
          <w:cols w:equalWidth="0" w:num="1">
            <w:col w:w="11420"/>
          </w:cols>
          <w:pgMar w:left="240" w:top="121" w:right="239" w:bottom="1440" w:gutter="0" w:footer="0" w:header="0"/>
          <w:type w:val="continuous"/>
        </w:sectPr>
      </w:pPr>
    </w:p>
    <w:bookmarkStart w:id="150" w:name="page151"/>
    <w:bookmarkEnd w:id="150"/>
    <w:p>
      <w:pPr>
        <w:jc w:val="both"/>
        <w:ind w:right="8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herein to the contrary, the Warrantholder shall not be required to physically surrender this Warrant to the Company until the Warrantholder has purchased all of the Warrant Shares available hereunder and the Warrant has been exercised in full, in which case, the Warrantholder shall surrender this Warrant to the Company for cancellation within three (3) trading days of the date the final Notice of Exercise is delivered to the Company.</w:t>
      </w:r>
    </w:p>
    <w:p>
      <w:pPr>
        <w:spacing w:after="0" w:line="302" w:lineRule="auto"/>
        <w:rPr>
          <w:sz w:val="20"/>
          <w:szCs w:val="20"/>
          <w:color w:val="auto"/>
        </w:rPr>
      </w:pPr>
      <w:r>
        <w:rPr>
          <w:rFonts w:ascii="Arial" w:cs="Arial" w:eastAsia="Arial" w:hAnsi="Arial"/>
          <w:sz w:val="16"/>
          <w:szCs w:val="16"/>
          <w:color w:val="auto"/>
        </w:rPr>
        <w:t>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Warrantholder and the Company shall maintain records showing the number of Warrant Shares purchased and the date of such purchases.</w:t>
      </w:r>
    </w:p>
    <w:p>
      <w:pPr>
        <w:spacing w:after="0" w:line="155" w:lineRule="exact"/>
        <w:rPr>
          <w:sz w:val="20"/>
          <w:szCs w:val="20"/>
          <w:color w:val="auto"/>
        </w:rPr>
      </w:pPr>
    </w:p>
    <w:p>
      <w:pPr>
        <w:ind w:right="40" w:firstLine="921"/>
        <w:spacing w:after="0" w:line="264" w:lineRule="auto"/>
        <w:tabs>
          <w:tab w:leader="none" w:pos="1157"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Net Exercise</w:t>
      </w:r>
      <w:r>
        <w:rPr>
          <w:rFonts w:ascii="Arial" w:cs="Arial" w:eastAsia="Arial" w:hAnsi="Arial"/>
          <w:sz w:val="18"/>
          <w:szCs w:val="18"/>
          <w:color w:val="auto"/>
        </w:rPr>
        <w:t>. If the Company shall receive written notice from the Warrantholder at the time of exercise of this Warrant that the holder elects to Net Exercise the Warrant, the Company shall deliver to such Warrantholder (without payment by the Warrantholder of any exercise price in cash) that number of Warrant Shares computed using the following formula:</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36"/>
          <w:szCs w:val="36"/>
          <w:color w:val="auto"/>
          <w:vertAlign w:val="subscript"/>
        </w:rPr>
        <w:t>X =</w:t>
      </w:r>
      <w:r>
        <w:rPr>
          <w:rFonts w:ascii="Arial" w:cs="Arial" w:eastAsia="Arial" w:hAnsi="Arial"/>
          <w:sz w:val="18"/>
          <w:szCs w:val="18"/>
          <w:color w:val="auto"/>
        </w:rPr>
        <w:t xml:space="preserve"> </w:t>
      </w:r>
      <w:r>
        <w:rPr>
          <w:rFonts w:ascii="Arial" w:cs="Arial" w:eastAsia="Arial" w:hAnsi="Arial"/>
          <w:sz w:val="18"/>
          <w:szCs w:val="18"/>
          <w:u w:val="single" w:color="auto"/>
          <w:color w:val="auto"/>
        </w:rPr>
        <w:t>Y (A - B)</w:t>
      </w:r>
    </w:p>
    <w:p>
      <w:pPr>
        <w:ind w:left="5220"/>
        <w:spacing w:after="0"/>
        <w:rPr>
          <w:sz w:val="20"/>
          <w:szCs w:val="20"/>
          <w:color w:val="auto"/>
        </w:rPr>
      </w:pPr>
      <w:r>
        <w:rPr>
          <w:rFonts w:ascii="Arial" w:cs="Arial" w:eastAsia="Arial" w:hAnsi="Arial"/>
          <w:sz w:val="18"/>
          <w:szCs w:val="18"/>
          <w:color w:val="auto"/>
        </w:rPr>
        <w:t>A</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Warrant Shares to be issued to the Warrantholder.</w:t>
      </w:r>
    </w:p>
    <w:p>
      <w:pPr>
        <w:spacing w:after="0" w:line="117" w:lineRule="exact"/>
        <w:rPr>
          <w:sz w:val="20"/>
          <w:szCs w:val="20"/>
          <w:color w:val="auto"/>
        </w:rPr>
      </w:pPr>
    </w:p>
    <w:p>
      <w:pPr>
        <w:ind w:left="1800" w:right="1180" w:hanging="647"/>
        <w:spacing w:after="0" w:line="277" w:lineRule="auto"/>
        <w:tabs>
          <w:tab w:leader="none" w:pos="17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Warrant Shares purchasable under this Warrant or, if only a portion of the Warrant is being exercised, the portion of the Warrant being cancelled (at the date of such calculation).</w:t>
      </w:r>
    </w:p>
    <w:p>
      <w:pPr>
        <w:spacing w:after="0" w:line="62" w:lineRule="exact"/>
        <w:rPr>
          <w:sz w:val="20"/>
          <w:szCs w:val="20"/>
          <w:color w:val="auto"/>
        </w:rPr>
      </w:pPr>
    </w:p>
    <w:p>
      <w:pPr>
        <w:ind w:left="1800" w:right="1480" w:hanging="647"/>
        <w:spacing w:after="0" w:line="277" w:lineRule="auto"/>
        <w:tabs>
          <w:tab w:leader="none" w:pos="17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8"/>
          <w:szCs w:val="18"/>
          <w:color w:val="auto"/>
        </w:rPr>
        <w:t>The Fair Market Value of one (1) share of Common Stock on the trading date immediately preceding the date on which Warrantholder elects to exercise this Warrant.</w:t>
      </w:r>
    </w:p>
    <w:p>
      <w:pPr>
        <w:spacing w:after="0" w:line="62"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The Exercise Price (as adjusted hereunder).</w:t>
      </w:r>
    </w:p>
    <w:p>
      <w:pPr>
        <w:spacing w:after="0" w:line="22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Fair Market Value</w:t>
      </w:r>
      <w:r>
        <w:rPr>
          <w:rFonts w:ascii="Arial" w:cs="Arial" w:eastAsia="Arial" w:hAnsi="Arial"/>
          <w:sz w:val="18"/>
          <w:szCs w:val="18"/>
          <w:color w:val="auto"/>
        </w:rPr>
        <w:t>” of one share of Common Stock shall mean (x) the last reported sale price and, if there are no sales, the last reported bid price, of the Common Stock on the business day prior to the date of exercise on the Trading Market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 (collectively, “</w:t>
      </w:r>
      <w:r>
        <w:rPr>
          <w:rFonts w:ascii="Arial" w:cs="Arial" w:eastAsia="Arial" w:hAnsi="Arial"/>
          <w:sz w:val="18"/>
          <w:szCs w:val="18"/>
          <w:b w:val="1"/>
          <w:bCs w:val="1"/>
          <w:color w:val="auto"/>
        </w:rPr>
        <w:t>Bloomberg</w:t>
      </w:r>
      <w:r>
        <w:rPr>
          <w:rFonts w:ascii="Arial" w:cs="Arial" w:eastAsia="Arial" w:hAnsi="Arial"/>
          <w:sz w:val="18"/>
          <w:szCs w:val="18"/>
          <w:color w:val="auto"/>
        </w:rPr>
        <w:t>”), (y) if the foregoing does not apply, the last sales price of the Common Stock in the over-the-counter market on the pink sheets or bulletin board for such security as reported by Bloomberg, and, if there are no sales, the last reported bid price of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51" w:name="page152"/>
    <w:bookmarkEnd w:id="151"/>
    <w:p>
      <w:pPr>
        <w:ind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as reported by Bloomberg or, (z) if fair market value cannot be calculated as of such date on either of the foregoing bases, the price determined in good faith by the Company’s Board of Directors.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OTC Markets</w:t>
      </w:r>
      <w:r>
        <w:rPr>
          <w:rFonts w:ascii="Arial" w:cs="Arial" w:eastAsia="Arial" w:hAnsi="Arial"/>
          <w:sz w:val="18"/>
          <w:szCs w:val="18"/>
          <w:color w:val="auto"/>
        </w:rPr>
        <w:t>” shall mean either OTC QX or OTC QB of the OTC Markets Group, Inc.</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80" w:lineRule="exact"/>
        <w:rPr>
          <w:sz w:val="20"/>
          <w:szCs w:val="20"/>
          <w:color w:val="auto"/>
        </w:rPr>
      </w:pPr>
    </w:p>
    <w:p>
      <w:pPr>
        <w:jc w:val="both"/>
        <w:ind w:right="120" w:firstLine="921"/>
        <w:spacing w:after="0" w:line="259" w:lineRule="auto"/>
        <w:tabs>
          <w:tab w:leader="none" w:pos="1168"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Deemed Exercise</w:t>
      </w:r>
      <w:r>
        <w:rPr>
          <w:rFonts w:ascii="Arial" w:cs="Arial" w:eastAsia="Arial" w:hAnsi="Arial"/>
          <w:sz w:val="18"/>
          <w:szCs w:val="18"/>
          <w:color w:val="auto"/>
        </w:rPr>
        <w:t xml:space="preserve">. In the event that immediately prior to the close of business on the Expiration Date, the Fair Market Value of one share of Common Stock (as determined in accordance with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is greater than the then applicable Exercise Price, this Warrant shall be deemed to be automatically exercised on a net exercise issue basis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the Company shall deliver the applicable number of Warrant Shares to the Warrantholder pursuant to the provisions of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1(d)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40" w:hanging="176"/>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CERTAIN ADJUSTMENTS.</w:t>
      </w:r>
    </w:p>
    <w:p>
      <w:pPr>
        <w:spacing w:after="0" w:line="225" w:lineRule="exact"/>
        <w:rPr>
          <w:rFonts w:ascii="Arial" w:cs="Arial" w:eastAsia="Arial" w:hAnsi="Arial"/>
          <w:sz w:val="18"/>
          <w:szCs w:val="18"/>
          <w:color w:val="auto"/>
        </w:rPr>
      </w:pPr>
    </w:p>
    <w:p>
      <w:pPr>
        <w:ind w:right="420" w:firstLine="921"/>
        <w:spacing w:after="0" w:line="277" w:lineRule="auto"/>
        <w:tabs>
          <w:tab w:leader="none" w:pos="1157"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Adjustment of Number of Warrant Shares and Exercise Price</w:t>
      </w:r>
      <w:r>
        <w:rPr>
          <w:rFonts w:ascii="Arial" w:cs="Arial" w:eastAsia="Arial" w:hAnsi="Arial"/>
          <w:sz w:val="18"/>
          <w:szCs w:val="18"/>
          <w:color w:val="auto"/>
        </w:rPr>
        <w:t>. The number and kind of Warrant Shares purchasable upon exercise of this Warrant and the Exercise Price shall be subject to adjustment from time to time as follows:</w:t>
      </w:r>
    </w:p>
    <w:p>
      <w:pPr>
        <w:spacing w:after="0" w:line="170" w:lineRule="exact"/>
        <w:rPr>
          <w:rFonts w:ascii="Arial" w:cs="Arial" w:eastAsia="Arial" w:hAnsi="Arial"/>
          <w:sz w:val="18"/>
          <w:szCs w:val="18"/>
          <w:color w:val="auto"/>
        </w:rPr>
      </w:pPr>
    </w:p>
    <w:p>
      <w:pPr>
        <w:ind w:firstLine="1492"/>
        <w:spacing w:after="0" w:line="271" w:lineRule="auto"/>
        <w:tabs>
          <w:tab w:leader="none" w:pos="1738" w:val="left"/>
        </w:tabs>
        <w:numPr>
          <w:ilvl w:val="2"/>
          <w:numId w:val="172"/>
        </w:numPr>
        <w:rPr>
          <w:rFonts w:ascii="Arial" w:cs="Arial" w:eastAsia="Arial" w:hAnsi="Arial"/>
          <w:sz w:val="17"/>
          <w:szCs w:val="17"/>
          <w:color w:val="auto"/>
        </w:rPr>
      </w:pPr>
      <w:r>
        <w:rPr>
          <w:rFonts w:ascii="Arial" w:cs="Arial" w:eastAsia="Arial" w:hAnsi="Arial"/>
          <w:sz w:val="17"/>
          <w:szCs w:val="17"/>
          <w:u w:val="single" w:color="auto"/>
          <w:color w:val="auto"/>
        </w:rPr>
        <w:t>Subdivisions, Combinations and Other Issuances</w:t>
      </w:r>
      <w:r>
        <w:rPr>
          <w:rFonts w:ascii="Arial" w:cs="Arial" w:eastAsia="Arial" w:hAnsi="Arial"/>
          <w:sz w:val="17"/>
          <w:szCs w:val="17"/>
          <w:color w:val="auto"/>
        </w:rPr>
        <w:t xml:space="preserve">. If the Company shall at any time after the Date of Issuance but prior to the Expiration Date subdivide its shares of capital stock of the same class as the Warrant Shares, by split-up or otherwise, or combine such shares of capital stock, or issue additional shares of capital stock as a dividend with respect to any shares of such capital stock, the number of Warrant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178" w:lineRule="exact"/>
        <w:rPr>
          <w:rFonts w:ascii="Arial" w:cs="Arial" w:eastAsia="Arial" w:hAnsi="Arial"/>
          <w:sz w:val="17"/>
          <w:szCs w:val="17"/>
          <w:color w:val="auto"/>
        </w:rPr>
      </w:pPr>
    </w:p>
    <w:p>
      <w:pPr>
        <w:ind w:right="80" w:firstLine="1492"/>
        <w:spacing w:after="0" w:line="273" w:lineRule="auto"/>
        <w:tabs>
          <w:tab w:leader="none" w:pos="1738" w:val="left"/>
        </w:tabs>
        <w:numPr>
          <w:ilvl w:val="2"/>
          <w:numId w:val="172"/>
        </w:numPr>
        <w:rPr>
          <w:rFonts w:ascii="Arial" w:cs="Arial" w:eastAsia="Arial" w:hAnsi="Arial"/>
          <w:sz w:val="17"/>
          <w:szCs w:val="17"/>
          <w:color w:val="auto"/>
        </w:rPr>
      </w:pPr>
      <w:r>
        <w:rPr>
          <w:rFonts w:ascii="Arial" w:cs="Arial" w:eastAsia="Arial" w:hAnsi="Arial"/>
          <w:sz w:val="17"/>
          <w:szCs w:val="17"/>
          <w:u w:val="single" w:color="auto"/>
          <w:color w:val="auto"/>
        </w:rPr>
        <w:t>Reclassification, Reorganizations and Consolidation</w:t>
      </w:r>
      <w:r>
        <w:rPr>
          <w:rFonts w:ascii="Arial" w:cs="Arial" w:eastAsia="Arial" w:hAnsi="Arial"/>
          <w:sz w:val="17"/>
          <w:szCs w:val="17"/>
          <w:color w:val="auto"/>
        </w:rPr>
        <w:t xml:space="preserve">. In case of any reclassification, capital reorganization or change in the capital stock of the Company (other than as a result of a subdivision, combination or stock dividend provided for in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Warrantholder, so that the Warrantholder shall thereafter have the right at any time prior to the expiration of this Warrant to purchase, at a total price equal to that payable upon the exercise of this Warrant, the kind and amount of shares of stock and/or other securities or property (including, if applicable, cash)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2" w:name="page153"/>
    <w:bookmarkEnd w:id="152"/>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receivable in connection with such reclassification, reorganization or change by a holder of the same number and type of securities as were purchasable as Warrant Shares by the Warrantholders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provided the aggregate Exercise Price shall remain the same (and, for the avoidance of doubt, this Warrant shall be exclusively exercisable for such shares of stock and/or other securities or property from and after the consummation of such reclassification or other change in the capital stock of the Company).</w:t>
      </w:r>
      <w:r>
        <w:rPr>
          <w:rFonts w:ascii="Arial" w:cs="Arial" w:eastAsia="Arial" w:hAnsi="Arial"/>
          <w:sz w:val="13"/>
          <w:szCs w:val="13"/>
          <w:color w:val="auto"/>
        </w:rPr>
        <w:t>2</w:t>
      </w:r>
    </w:p>
    <w:p>
      <w:pPr>
        <w:spacing w:after="0" w:line="165" w:lineRule="exact"/>
        <w:rPr>
          <w:sz w:val="20"/>
          <w:szCs w:val="20"/>
          <w:color w:val="auto"/>
        </w:rPr>
      </w:pPr>
    </w:p>
    <w:p>
      <w:pPr>
        <w:ind w:firstLine="921"/>
        <w:spacing w:after="0" w:line="272" w:lineRule="auto"/>
        <w:tabs>
          <w:tab w:leader="none" w:pos="1168"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Notice to Warrantholder</w:t>
      </w:r>
      <w:r>
        <w:rPr>
          <w:rFonts w:ascii="Arial" w:cs="Arial" w:eastAsia="Arial" w:hAnsi="Arial"/>
          <w:sz w:val="17"/>
          <w:szCs w:val="17"/>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 dissolution, liquidation or winding up of the affairs of the Company, then the Company shall deliver to the Warrantholder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w:t>
      </w:r>
    </w:p>
    <w:p>
      <w:pPr>
        <w:spacing w:after="0" w:line="177" w:lineRule="exact"/>
        <w:rPr>
          <w:rFonts w:ascii="Arial" w:cs="Arial" w:eastAsia="Arial" w:hAnsi="Arial"/>
          <w:sz w:val="17"/>
          <w:szCs w:val="17"/>
          <w:color w:val="auto"/>
        </w:rPr>
      </w:pPr>
    </w:p>
    <w:p>
      <w:pPr>
        <w:ind w:right="140" w:firstLine="921"/>
        <w:spacing w:after="0" w:line="264" w:lineRule="auto"/>
        <w:tabs>
          <w:tab w:leader="none" w:pos="1157"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made to the nearest cent or the nearest whole share, as the case may be.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Treatment of Warrant upon a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72" w:lineRule="auto"/>
        <w:tabs>
          <w:tab w:leader="none" w:pos="1738" w:val="left"/>
        </w:tabs>
        <w:numPr>
          <w:ilvl w:val="1"/>
          <w:numId w:val="173"/>
        </w:numPr>
        <w:rPr>
          <w:rFonts w:ascii="Arial" w:cs="Arial" w:eastAsia="Arial" w:hAnsi="Arial"/>
          <w:sz w:val="17"/>
          <w:szCs w:val="17"/>
          <w:color w:val="auto"/>
        </w:rPr>
      </w:pPr>
      <w:r>
        <w:rPr>
          <w:rFonts w:ascii="Arial" w:cs="Arial" w:eastAsia="Arial" w:hAnsi="Arial"/>
          <w:sz w:val="17"/>
          <w:szCs w:val="17"/>
          <w:color w:val="auto"/>
        </w:rPr>
        <w:t>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Arial" w:cs="Arial" w:eastAsia="Arial" w:hAnsi="Arial"/>
          <w:sz w:val="17"/>
          <w:szCs w:val="17"/>
          <w:b w:val="1"/>
          <w:bCs w:val="1"/>
          <w:color w:val="auto"/>
        </w:rPr>
        <w:t>Alternate Consideration</w:t>
      </w:r>
      <w:r>
        <w:rPr>
          <w:rFonts w:ascii="Arial" w:cs="Arial" w:eastAsia="Arial" w:hAnsi="Arial"/>
          <w:sz w:val="17"/>
          <w:szCs w:val="17"/>
          <w:color w:val="auto"/>
        </w:rPr>
        <w:t>”). The Company shall not effect any such Change of Control unless prior to or simultaneously with the consummation thereof, any successor to the Company, surviving entity or the corporation purchasing or otherwise acquiring such assets or other appropriate corporation or entity shall assume the obligation to deliver to the holder, such Alternate Consideration as, in accordance with the foregoing provisions, the holder may be entitled to purchase, and the other obligations under this Warrant.</w:t>
      </w:r>
    </w:p>
    <w:p>
      <w:pPr>
        <w:spacing w:after="0" w:line="173" w:lineRule="exact"/>
        <w:rPr>
          <w:rFonts w:ascii="Arial" w:cs="Arial" w:eastAsia="Arial" w:hAnsi="Arial"/>
          <w:sz w:val="17"/>
          <w:szCs w:val="17"/>
          <w:color w:val="auto"/>
        </w:rPr>
      </w:pPr>
    </w:p>
    <w:p>
      <w:pPr>
        <w:ind w:right="100" w:firstLine="1492"/>
        <w:spacing w:after="0" w:line="255" w:lineRule="auto"/>
        <w:tabs>
          <w:tab w:leader="none" w:pos="173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As used in this Warrant, a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 (iv) a “person” or “group” (as these terms are used for purposes of Section 13(d) and 14(d)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is or shall become the “beneficial owner” (as defined in Rule 13d-3 under the Exchange Act), directly or indirectly at least a majority of the voting power of the capital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220" w:right="80" w:hanging="212"/>
        <w:spacing w:after="0" w:line="277" w:lineRule="auto"/>
        <w:tabs>
          <w:tab w:leader="none" w:pos="220" w:val="left"/>
        </w:tabs>
        <w:numPr>
          <w:ilvl w:val="0"/>
          <w:numId w:val="174"/>
        </w:numPr>
        <w:rPr>
          <w:rFonts w:ascii="Arial" w:cs="Arial" w:eastAsia="Arial" w:hAnsi="Arial"/>
          <w:sz w:val="15"/>
          <w:szCs w:val="15"/>
          <w:color w:val="auto"/>
        </w:rPr>
      </w:pPr>
      <w:r>
        <w:rPr>
          <w:rFonts w:ascii="Arial" w:cs="Arial" w:eastAsia="Arial" w:hAnsi="Arial"/>
          <w:sz w:val="18"/>
          <w:szCs w:val="18"/>
          <w:color w:val="auto"/>
        </w:rPr>
        <w:t>Clause 3 relating to adjustments upon subsequent equity sales deleted – not part of terms expressed in the Katalyst term sheet provided to TapImmune and approved by the TI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53" w:name="page154"/>
    <w:bookmarkEnd w:id="153"/>
    <w:p>
      <w:pPr>
        <w:ind w:left="-20" w:right="200" w:firstLine="464"/>
        <w:spacing w:after="0" w:line="264" w:lineRule="auto"/>
        <w:tabs>
          <w:tab w:leader="none" w:pos="616"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FRACTIONAL SHARES.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w:t>
      </w:r>
    </w:p>
    <w:p>
      <w:pPr>
        <w:spacing w:after="0" w:line="181" w:lineRule="exact"/>
        <w:rPr>
          <w:rFonts w:ascii="Arial" w:cs="Arial" w:eastAsia="Arial" w:hAnsi="Arial"/>
          <w:sz w:val="18"/>
          <w:szCs w:val="18"/>
          <w:color w:val="auto"/>
        </w:rPr>
      </w:pPr>
    </w:p>
    <w:p>
      <w:pPr>
        <w:ind w:left="-20" w:right="20" w:firstLine="464"/>
        <w:spacing w:after="0" w:line="264" w:lineRule="auto"/>
        <w:tabs>
          <w:tab w:leader="none" w:pos="61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NO STOCKHOLDER RIGHTS. Until the exercise of this Warrant or any portion of this Warrant, the Warrantholder shall not have, nor exercise, any rights as a stockholder of the Company (including without limitation the right to notification of stockholder meetings or the right to receive any notice or other communication concerning the business and affairs of the Company) except as provided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below.</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MECHANICS OF EXERCISE.</w:t>
      </w:r>
    </w:p>
    <w:p>
      <w:pPr>
        <w:spacing w:after="0" w:line="225" w:lineRule="exact"/>
        <w:rPr>
          <w:rFonts w:ascii="Arial" w:cs="Arial" w:eastAsia="Arial" w:hAnsi="Arial"/>
          <w:sz w:val="18"/>
          <w:szCs w:val="18"/>
          <w:color w:val="auto"/>
        </w:rPr>
      </w:pPr>
    </w:p>
    <w:p>
      <w:pPr>
        <w:ind w:left="-20" w:firstLine="921"/>
        <w:spacing w:after="0" w:line="286" w:lineRule="auto"/>
        <w:tabs>
          <w:tab w:leader="none" w:pos="1137"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executed copy of the Notice of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by facsimile or e-mail attachment and paying the Exercise Price (unless the Warrantholder has elected to Net Exercise) then in effect with respect to the number of Warrant Shares as to which the Warrant is being exercised. This Warrant shall be deemed to have been exercised immediately prior to the close of business on the date of the delivery to the Company of the Notice of Exercise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holder by crediting the account of the holder’s prime broker with The Depository Trust Company through its Deposit or Withdrawal at Custodian system (“</w:t>
      </w:r>
      <w:r>
        <w:rPr>
          <w:rFonts w:ascii="Arial" w:cs="Arial" w:eastAsia="Arial" w:hAnsi="Arial"/>
          <w:sz w:val="16"/>
          <w:szCs w:val="16"/>
          <w:b w:val="1"/>
          <w:bCs w:val="1"/>
          <w:color w:val="auto"/>
        </w:rPr>
        <w:t>DWAC</w:t>
      </w:r>
      <w:r>
        <w:rPr>
          <w:rFonts w:ascii="Arial" w:cs="Arial" w:eastAsia="Arial" w:hAnsi="Arial"/>
          <w:sz w:val="16"/>
          <w:szCs w:val="16"/>
          <w:color w:val="auto"/>
        </w:rPr>
        <w:t xml:space="preserve">”) if the Company is then a participant in such system and either (A) 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 the Notice of Exercise by the end of the day on the date that is three (3) trading days from the delivery to the Company of the Notice of Exercise and payment of the aggregate Exercise Price (unless exercised by means of a cashless exercise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The Warrant Shares shall be deemed to have been issued, and the holder or any other person so designated to be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154" w:name="page155"/>
    <w:bookmarkEnd w:id="15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named therein shall be deemed to have become a holder of record of such shares for all purposes, as of the date the Warrant has been exercised, with payment to the Company of the Exercise Price (or by Net Exercise) and all taxes required to be paid by the holder, if any, prior to the issuance of such shares, having been paid.</w:t>
      </w:r>
    </w:p>
    <w:p>
      <w:pPr>
        <w:spacing w:after="0" w:line="181" w:lineRule="exact"/>
        <w:rPr>
          <w:sz w:val="20"/>
          <w:szCs w:val="20"/>
          <w:color w:val="auto"/>
        </w:rPr>
      </w:pPr>
    </w:p>
    <w:p>
      <w:pPr>
        <w:ind w:right="240" w:firstLine="921"/>
        <w:spacing w:after="0" w:line="277" w:lineRule="auto"/>
        <w:tabs>
          <w:tab w:leader="none" w:pos="116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Warrantholder the Warrant Shares pursuant to Section 5(a) by the Warrant Share Delivery Date, then the Warrantholder will have the right to rescind such exercise.</w:t>
      </w:r>
    </w:p>
    <w:p>
      <w:pPr>
        <w:spacing w:after="0" w:line="170" w:lineRule="exact"/>
        <w:rPr>
          <w:rFonts w:ascii="Arial" w:cs="Arial" w:eastAsia="Arial" w:hAnsi="Arial"/>
          <w:sz w:val="18"/>
          <w:szCs w:val="18"/>
          <w:color w:val="auto"/>
        </w:rPr>
      </w:pPr>
    </w:p>
    <w:p>
      <w:pPr>
        <w:ind w:firstLine="921"/>
        <w:spacing w:after="0" w:line="267" w:lineRule="auto"/>
        <w:tabs>
          <w:tab w:leader="none" w:pos="1157"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Warrantholder’s Exercise Limitations</w:t>
      </w:r>
      <w:r>
        <w:rPr>
          <w:rFonts w:ascii="Arial" w:cs="Arial" w:eastAsia="Arial" w:hAnsi="Arial"/>
          <w:sz w:val="17"/>
          <w:szCs w:val="17"/>
          <w:color w:val="auto"/>
        </w:rPr>
        <w:t xml:space="preserve">. A holder shall not have the right to exercise this Warrant, pursuant to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aggregate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convertible notes or convertible preferred stock or warrants) subject to a limitation on conversion or exercise analogous to the limitation contained herein beneficially owned by the holder or any of its affiliates. Except as set forth in the preceding sentence, for purposes of this section,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and shall have no liability for exercise of the Warrant that are not in compliance with the Beneficial Ownership Limitation. In addition, a determination as to any group status as contemplated above shall be determined in accordance with Section 13(d) of the Exchange Act and the rules and regulations promulgated thereunder. For purposes of this </w:t>
      </w:r>
      <w:r>
        <w:rPr>
          <w:rFonts w:ascii="Arial" w:cs="Arial" w:eastAsia="Arial" w:hAnsi="Arial"/>
          <w:sz w:val="17"/>
          <w:szCs w:val="17"/>
          <w:u w:val="single" w:color="auto"/>
          <w:color w:val="auto"/>
        </w:rPr>
        <w:t>Section 5(c)</w:t>
      </w:r>
      <w:r>
        <w:rPr>
          <w:rFonts w:ascii="Arial" w:cs="Arial" w:eastAsia="Arial" w:hAnsi="Arial"/>
          <w:sz w:val="17"/>
          <w:szCs w:val="17"/>
          <w:color w:val="auto"/>
        </w:rPr>
        <w:t>, in determining the number of outstanding shares of Common Stock, a holder may rely on the number of outstanding shares of Common Stock as reflected in (A) the Company’s most recent periodic or annual report filed with the U.S. Securities and Exchange Commission, as the case may be, (B) a more recent public announcement by the Company or (C) a more recent written notice by the Company or the Company’s transfer agent setting forth the number of shares of Common Stock outstanding. Upon the written request of a holder, the Company shall within two (2) trading days confirm in writing to the holder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55" w:name="page156"/>
    <w:bookmarkEnd w:id="15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17"/>
          <w:szCs w:val="17"/>
          <w:b w:val="1"/>
          <w:bCs w:val="1"/>
          <w:color w:val="auto"/>
        </w:rPr>
        <w:t>Beneficial Ownership Limitation</w:t>
      </w:r>
      <w:r>
        <w:rPr>
          <w:rFonts w:ascii="Arial" w:cs="Arial" w:eastAsia="Arial" w:hAnsi="Arial"/>
          <w:sz w:val="17"/>
          <w:szCs w:val="17"/>
          <w:color w:val="auto"/>
        </w:rPr>
        <w:t xml:space="preserve">” shall be 9.99% of the number of shares of the Common Stock outstanding immediately after giving effect to the issuance of shares of Common Stock issuable upon exercise of this Warrant. Any such increase or decrease will not be effective until the 61st day after such notice is delivered to the Company. The provisions of this paragraph shall be construed and implemented in strict conformity with the terms of this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79" w:lineRule="exact"/>
        <w:rPr>
          <w:sz w:val="20"/>
          <w:szCs w:val="20"/>
          <w:color w:val="auto"/>
        </w:rPr>
      </w:pPr>
    </w:p>
    <w:p>
      <w:pPr>
        <w:jc w:val="both"/>
        <w:ind w:right="20" w:firstLine="464"/>
        <w:spacing w:after="0" w:line="264" w:lineRule="auto"/>
        <w:tabs>
          <w:tab w:leader="none" w:pos="6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CERTIFICATE OF ADJUSTMENT. Whenever the Exercise Price or number or type of securities issuable upon exercise of this Warrant is adjusted, as herein provided, the Company shall, at its expense, promptly deliver to the Warrantholder a certificate of an officer of the Company setting forth the nature of such adjustment and showing in detail the facts upon which such adjustment is based.</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COMPLIANCE WITH SECURITIES LAWS.</w:t>
      </w:r>
    </w:p>
    <w:p>
      <w:pPr>
        <w:spacing w:after="0" w:line="225" w:lineRule="exact"/>
        <w:rPr>
          <w:rFonts w:ascii="Arial" w:cs="Arial" w:eastAsia="Arial" w:hAnsi="Arial"/>
          <w:sz w:val="18"/>
          <w:szCs w:val="18"/>
          <w:color w:val="auto"/>
        </w:rPr>
      </w:pPr>
    </w:p>
    <w:p>
      <w:pPr>
        <w:ind w:right="660" w:firstLine="921"/>
        <w:spacing w:after="0" w:line="276" w:lineRule="auto"/>
        <w:tabs>
          <w:tab w:leader="none" w:pos="115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Warrantholder understands that this Warrant and the Warrant Shares are characterized as “restricted securities” under the federal securities laws inasmuch as they are being acquired from the Company in a transaction not involving a public offering and that under such laws and applicable regulations this Warrant and the Warrant Shares may be resold without registration under the Securities Act only in certain limited circumstances. In this connection, the Warrantholder represents that it is familiar with Rule 144 under the Securities Act, as presently in effect, and understands the resale limitations imposed thereby and by the Securities Act.</w:t>
      </w:r>
    </w:p>
    <w:p>
      <w:pPr>
        <w:spacing w:after="0" w:line="172" w:lineRule="exact"/>
        <w:rPr>
          <w:rFonts w:ascii="Arial" w:cs="Arial" w:eastAsia="Arial" w:hAnsi="Arial"/>
          <w:sz w:val="17"/>
          <w:szCs w:val="17"/>
          <w:color w:val="auto"/>
        </w:rPr>
      </w:pPr>
    </w:p>
    <w:p>
      <w:pPr>
        <w:ind w:right="20" w:firstLine="921"/>
        <w:spacing w:after="0" w:line="302" w:lineRule="auto"/>
        <w:tabs>
          <w:tab w:leader="none" w:pos="116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Prior and as a condition to the sale or transfer of the Warrant Shares issuable upon exercise of this Warrant, the Warrantholder shall furnish to the Company such certificates, representations, agreements and other information, including an opinion of counsel, as the Company or the Company’s transfer agent reasonably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154" w:lineRule="exact"/>
        <w:rPr>
          <w:rFonts w:ascii="Arial" w:cs="Arial" w:eastAsia="Arial" w:hAnsi="Arial"/>
          <w:sz w:val="16"/>
          <w:szCs w:val="16"/>
          <w:color w:val="auto"/>
        </w:rPr>
      </w:pPr>
    </w:p>
    <w:p>
      <w:pPr>
        <w:ind w:firstLine="921"/>
        <w:spacing w:after="0" w:line="264" w:lineRule="auto"/>
        <w:tabs>
          <w:tab w:leader="none" w:pos="115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Warrantholder acknowledges that the Company may place a restrictive legend on the Warrant Shares issuable upon exercise of this Warrant in order to comply with applicable securities laws, in substantially the following form and substance, unless such Warrant Shares are otherwise freely tradable under Rule 144 of the Securities Act:</w:t>
      </w:r>
    </w:p>
    <w:p>
      <w:pPr>
        <w:spacing w:after="0" w:line="73"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“THE SECURITIES EVIDENCED BY THIS CERTIFICATE HAVE NOT BEEN REGISTERED UNDER THE U.S. SECURITIES ACT OF 1933, AS AMENDED (THE “SECURITIES ACT”), OR ANY OTHER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56" w:name="page157"/>
    <w:bookmarkEnd w:id="156"/>
    <w:p>
      <w:pPr>
        <w:ind w:left="920" w:right="28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SECURITIES LAWS AND HAVE BEEN ISSUED IN RELIANCE UPON AN EXEMPTION FROM THE REGISTRATION REQUIREMENTS OF THE SECURITIES ACT AND SUCH OTHER SECURITIES LAWS.</w:t>
      </w:r>
    </w:p>
    <w:p>
      <w:pPr>
        <w:spacing w:after="0" w:line="1" w:lineRule="exact"/>
        <w:rPr>
          <w:sz w:val="20"/>
          <w:szCs w:val="20"/>
          <w:color w:val="auto"/>
        </w:rPr>
      </w:pPr>
    </w:p>
    <w:p>
      <w:pPr>
        <w:ind w:left="920" w:right="200"/>
        <w:spacing w:after="0" w:line="269" w:lineRule="auto"/>
        <w:rPr>
          <w:sz w:val="20"/>
          <w:szCs w:val="20"/>
          <w:color w:val="auto"/>
        </w:rPr>
      </w:pPr>
      <w:r>
        <w:rPr>
          <w:rFonts w:ascii="Arial" w:cs="Arial" w:eastAsia="Arial" w:hAnsi="Arial"/>
          <w:sz w:val="17"/>
          <w:szCs w:val="17"/>
          <w:color w:val="auto"/>
        </w:rPr>
        <w:t>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81" w:lineRule="exact"/>
        <w:rPr>
          <w:sz w:val="20"/>
          <w:szCs w:val="20"/>
          <w:color w:val="auto"/>
        </w:rPr>
      </w:pPr>
    </w:p>
    <w:p>
      <w:pPr>
        <w:ind w:right="120" w:firstLine="464"/>
        <w:spacing w:after="0" w:line="259" w:lineRule="auto"/>
        <w:tabs>
          <w:tab w:leader="none" w:pos="6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or, in the case of any such mutilation, on surrender and cancellation of such Warrant, the Company at its expense will execute and deliver, in lieu thereof, a new Warrant of like tenor.</w:t>
      </w:r>
    </w:p>
    <w:p>
      <w:pPr>
        <w:spacing w:after="0" w:line="186" w:lineRule="exact"/>
        <w:rPr>
          <w:rFonts w:ascii="Arial" w:cs="Arial" w:eastAsia="Arial" w:hAnsi="Arial"/>
          <w:sz w:val="18"/>
          <w:szCs w:val="18"/>
          <w:color w:val="auto"/>
        </w:rPr>
      </w:pPr>
    </w:p>
    <w:p>
      <w:pPr>
        <w:jc w:val="both"/>
        <w:ind w:right="160" w:firstLine="464"/>
        <w:spacing w:after="0" w:line="259" w:lineRule="auto"/>
        <w:tabs>
          <w:tab w:leader="none" w:pos="6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IMPAIRMENT. Except to the extent as may be waived by the holder of this Warrant,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86" w:lineRule="exact"/>
        <w:rPr>
          <w:rFonts w:ascii="Arial" w:cs="Arial" w:eastAsia="Arial" w:hAnsi="Arial"/>
          <w:sz w:val="18"/>
          <w:szCs w:val="18"/>
          <w:color w:val="auto"/>
        </w:rPr>
      </w:pPr>
    </w:p>
    <w:p>
      <w:pPr>
        <w:ind w:firstLine="464"/>
        <w:spacing w:after="0" w:line="264" w:lineRule="auto"/>
        <w:tabs>
          <w:tab w:leader="none" w:pos="72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TRANSFERS; EXCHANGES.</w:t>
      </w:r>
    </w:p>
    <w:p>
      <w:pPr>
        <w:spacing w:after="0" w:line="225" w:lineRule="exact"/>
        <w:rPr>
          <w:rFonts w:ascii="Arial" w:cs="Arial" w:eastAsia="Arial" w:hAnsi="Arial"/>
          <w:sz w:val="18"/>
          <w:szCs w:val="18"/>
          <w:color w:val="auto"/>
        </w:rPr>
      </w:pPr>
    </w:p>
    <w:p>
      <w:pPr>
        <w:ind w:right="320" w:firstLine="921"/>
        <w:spacing w:after="0" w:line="257" w:lineRule="auto"/>
        <w:tabs>
          <w:tab w:leader="none" w:pos="115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Subject to compliance with applicable federal and state securities laws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this Warrant may be transferred by the Warrantholder to any Affiliate (as defined below) with respect to any or all of the Warrant Shares purchasable hereunder (a “</w:t>
      </w:r>
      <w:r>
        <w:rPr>
          <w:rFonts w:ascii="Arial" w:cs="Arial" w:eastAsia="Arial" w:hAnsi="Arial"/>
          <w:sz w:val="18"/>
          <w:szCs w:val="18"/>
          <w:b w:val="1"/>
          <w:bCs w:val="1"/>
          <w:color w:val="auto"/>
        </w:rPr>
        <w:t>Permitted Transfer</w:t>
      </w:r>
      <w:r>
        <w:rPr>
          <w:rFonts w:ascii="Arial" w:cs="Arial" w:eastAsia="Arial" w:hAnsi="Arial"/>
          <w:sz w:val="18"/>
          <w:szCs w:val="18"/>
          <w:color w:val="auto"/>
        </w:rPr>
        <w:t xml:space="preserve">”). For a transfer of this Warrant as an entirety by the Warrantholder, upon surrender of this Warrant to the Company, together with the Notice of Assignment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duly completed and executed on behalf of the Warrantholder, the Company shall issue a new Warrant of the same denomination to the assignee. For a transfer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57" w:name="page158"/>
    <w:bookmarkEnd w:id="157"/>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Warrant with respect to a portion of the Warrant Shares purchasable hereunder, upon surrender of this Warrant to the Company, together with the Notice of Assignment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 The term “</w:t>
      </w:r>
      <w:r>
        <w:rPr>
          <w:rFonts w:ascii="Arial" w:cs="Arial" w:eastAsia="Arial" w:hAnsi="Arial"/>
          <w:sz w:val="18"/>
          <w:szCs w:val="18"/>
          <w:b w:val="1"/>
          <w:bCs w:val="1"/>
          <w:color w:val="auto"/>
        </w:rPr>
        <w:t>Affiliate</w:t>
      </w:r>
      <w:r>
        <w:rPr>
          <w:rFonts w:ascii="Arial" w:cs="Arial" w:eastAsia="Arial" w:hAnsi="Arial"/>
          <w:sz w:val="18"/>
          <w:szCs w:val="18"/>
          <w:color w:val="auto"/>
        </w:rPr>
        <w:t>” as used herein means, with respect to any person, any other person that, directly or indirectly through one or more intermediaries, controls, is controlled by or is under common control with such person, and any officers, employees or partners of the Warrantholder.</w:t>
      </w:r>
    </w:p>
    <w:p>
      <w:pPr>
        <w:spacing w:after="0" w:line="193" w:lineRule="exact"/>
        <w:rPr>
          <w:sz w:val="20"/>
          <w:szCs w:val="20"/>
          <w:color w:val="auto"/>
        </w:rPr>
      </w:pPr>
    </w:p>
    <w:p>
      <w:pPr>
        <w:ind w:right="40" w:firstLine="921"/>
        <w:spacing w:after="0" w:line="255" w:lineRule="auto"/>
        <w:tabs>
          <w:tab w:leader="none" w:pos="116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Arial" w:cs="Arial" w:eastAsia="Arial" w:hAnsi="Arial"/>
          <w:sz w:val="18"/>
          <w:szCs w:val="18"/>
          <w:b w:val="1"/>
          <w:bCs w:val="1"/>
          <w:color w:val="auto"/>
        </w:rPr>
        <w:t>Warrants</w:t>
      </w:r>
      <w:r>
        <w:rPr>
          <w:rFonts w:ascii="Arial" w:cs="Arial" w:eastAsia="Arial" w:hAnsi="Arial"/>
          <w:sz w:val="18"/>
          <w:szCs w:val="18"/>
          <w:color w:val="auto"/>
        </w:rPr>
        <w:t>” as used herein includes any warrants into which this Warrant may be divided or exchanged.</w:t>
      </w:r>
    </w:p>
    <w:p>
      <w:pPr>
        <w:spacing w:after="0" w:line="193" w:lineRule="exact"/>
        <w:rPr>
          <w:rFonts w:ascii="Arial" w:cs="Arial" w:eastAsia="Arial" w:hAnsi="Arial"/>
          <w:sz w:val="18"/>
          <w:szCs w:val="18"/>
          <w:color w:val="auto"/>
        </w:rPr>
      </w:pPr>
    </w:p>
    <w:p>
      <w:pPr>
        <w:ind w:firstLine="464"/>
        <w:spacing w:after="0" w:line="289" w:lineRule="auto"/>
        <w:tabs>
          <w:tab w:leader="none" w:pos="72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quoted or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6" w:lineRule="exact"/>
        <w:rPr>
          <w:rFonts w:ascii="Arial" w:cs="Arial" w:eastAsia="Arial" w:hAnsi="Arial"/>
          <w:sz w:val="16"/>
          <w:szCs w:val="16"/>
          <w:color w:val="auto"/>
        </w:rPr>
      </w:pPr>
    </w:p>
    <w:p>
      <w:pPr>
        <w:ind w:left="740" w:hanging="276"/>
        <w:spacing w:after="0"/>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jc w:val="both"/>
        <w:ind w:right="140" w:firstLine="921"/>
        <w:spacing w:after="0" w:line="259" w:lineRule="auto"/>
        <w:tabs>
          <w:tab w:leader="none" w:pos="115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United States of America and the State of New York, both substantive and remedial, without regard to New York conflicts of law principles. Any judicial proceeding brought under this Agreement or any dispute arising out of this Agreement or any matter related hereto shall be brought in the courts of the State of New York, New York County, or in the United States District Court for the Southern District of New York.</w:t>
      </w:r>
    </w:p>
    <w:p>
      <w:pPr>
        <w:spacing w:after="0" w:line="186" w:lineRule="exact"/>
        <w:rPr>
          <w:rFonts w:ascii="Arial" w:cs="Arial" w:eastAsia="Arial" w:hAnsi="Arial"/>
          <w:sz w:val="18"/>
          <w:szCs w:val="18"/>
          <w:color w:val="auto"/>
        </w:rPr>
      </w:pPr>
    </w:p>
    <w:p>
      <w:pPr>
        <w:ind w:right="360" w:firstLine="921"/>
        <w:spacing w:after="0" w:line="277" w:lineRule="auto"/>
        <w:tabs>
          <w:tab w:leader="none" w:pos="116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notices, requests, consents and other communications hereunder shall be in writing, shall be sent by confirmed facsimile or electronic mail, or mailed by first-class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8" w:name="page159"/>
    <w:bookmarkEnd w:id="15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TapImmune Inc., 50 North Laura Street, Suite 2500, Jacksonville, FL 32202 Attn: Mr. Glynn Wilson, Ph.D., e-mail: gwilson@tapimmune.com; with a copy to (which shall not constitute notice) Shumaker, Loop &amp; Kendrick, LLP, 101 East Kennedy Blvd., Ste 2800, Tampa, FL 33602, Attn: Mark A. Catchur, Esq., e-Mail: mcatchur@slk-law.com, and (b) if to the Warrantholder, at such address or addresses (including copies to counsel) as may have been furnished by the Warrantholder to the Company in writing.</w:t>
      </w:r>
    </w:p>
    <w:p>
      <w:pPr>
        <w:spacing w:after="0" w:line="19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 The invalidity or unenforceability of any provision hereof shall in no way affect the validity or enforceability of any other provisions.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274" w:right="43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Common Stock Purchase Warrant is issued effective as of the date first set forth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Name: Mr. Glynn Wilson, Ph.D</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7"/>
          <w:szCs w:val="17"/>
          <w:color w:val="auto"/>
        </w:rPr>
        <w:t>Title:</w:t>
        <w:tab/>
        <w:t>Chief Executive Officer</w:t>
      </w:r>
    </w:p>
    <w:p>
      <w:pPr>
        <w:spacing w:after="0" w:line="222" w:lineRule="exact"/>
        <w:rPr>
          <w:sz w:val="20"/>
          <w:szCs w:val="20"/>
          <w:color w:val="auto"/>
        </w:rPr>
      </w:pPr>
    </w:p>
    <w:p>
      <w:pPr>
        <w:ind w:left="3940"/>
        <w:spacing w:after="0"/>
        <w:tabs>
          <w:tab w:leader="none" w:pos="650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No. [</w:t>
      </w:r>
      <w:r>
        <w:rPr>
          <w:rFonts w:ascii="Arial" w:cs="Arial" w:eastAsia="Arial" w:hAnsi="Arial"/>
          <w:sz w:val="18"/>
          <w:szCs w:val="18"/>
          <w:color w:val="auto"/>
        </w:rPr>
        <w:tab/>
        <w:t>]</w:t>
      </w:r>
    </w:p>
    <w:p>
      <w:pPr>
        <w:sectPr>
          <w:pgSz w:w="11900" w:h="16838" w:orient="portrait"/>
          <w:cols w:equalWidth="0" w:num="1">
            <w:col w:w="9759"/>
          </w:cols>
          <w:pgMar w:left="700" w:top="274" w:right="1440" w:bottom="1440" w:gutter="0" w:footer="0" w:header="0"/>
        </w:sectPr>
      </w:pPr>
    </w:p>
    <w:bookmarkStart w:id="160" w:name="page161"/>
    <w:bookmarkEnd w:id="160"/>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NOTICE OF EXERCISE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be signed only upon exercise of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TapImmune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the Warrantholder of the attached Warrant, hereby irrevocably elects to exercise the purchase right represented by such Warrant for,</w:t>
      </w:r>
    </w:p>
    <w:p>
      <w:pPr>
        <w:spacing w:after="0" w:line="46" w:lineRule="exact"/>
        <w:rPr>
          <w:sz w:val="20"/>
          <w:szCs w:val="20"/>
          <w:color w:val="auto"/>
        </w:rPr>
      </w:pPr>
    </w:p>
    <w:p>
      <w:pPr>
        <w:spacing w:after="0"/>
        <w:tabs>
          <w:tab w:leader="none" w:pos="2960" w:val="left"/>
          <w:tab w:leader="none" w:pos="3740" w:val="left"/>
        </w:tabs>
        <w:rPr>
          <w:sz w:val="20"/>
          <w:szCs w:val="20"/>
          <w:color w:val="auto"/>
        </w:rPr>
      </w:pPr>
      <w:r>
        <w:rPr>
          <w:rFonts w:ascii="Arial" w:cs="Arial" w:eastAsia="Arial" w:hAnsi="Arial"/>
          <w:sz w:val="18"/>
          <w:szCs w:val="18"/>
          <w:color w:val="auto"/>
        </w:rPr>
        <w:t>and to purchase thereunder,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shares of Common Stock of TapImmune Inc. and (choose one)</w:t>
      </w:r>
    </w:p>
    <w:p>
      <w:pPr>
        <w:sectPr>
          <w:pgSz w:w="11900" w:h="16838" w:orient="portrait"/>
          <w:cols w:equalWidth="0" w:num="1">
            <w:col w:w="11280"/>
          </w:cols>
          <w:pgMar w:left="240" w:top="270" w:right="379" w:bottom="1440" w:gutter="0" w:footer="0" w:header="0"/>
        </w:sectPr>
      </w:pP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herewith makes payment of</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Dollars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thereof</w:t>
      </w:r>
    </w:p>
    <w:p>
      <w:pPr>
        <w:spacing w:after="0" w:line="200" w:lineRule="exact"/>
        <w:rPr>
          <w:sz w:val="20"/>
          <w:szCs w:val="20"/>
          <w:color w:val="auto"/>
        </w:rPr>
      </w:pPr>
    </w:p>
    <w:p>
      <w:pPr>
        <w:sectPr>
          <w:pgSz w:w="11900" w:h="16838" w:orient="portrait"/>
          <w:cols w:equalWidth="0" w:num="3">
            <w:col w:w="3400" w:space="460"/>
            <w:col w:w="720" w:space="360"/>
            <w:col w:w="6340"/>
          </w:cols>
          <w:pgMar w:left="240" w:top="270" w:right="37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280"/>
          </w:cols>
          <w:pgMar w:left="240" w:top="270" w:right="379" w:bottom="1440" w:gutter="0" w:footer="0" w:header="0"/>
          <w:type w:val="continuous"/>
        </w:sectPr>
      </w:pPr>
    </w:p>
    <w:p>
      <w:pPr>
        <w:spacing w:after="0" w:line="23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elects to Net Exercise the Warrant pursuant to </w:t>
      </w:r>
      <w:r>
        <w:rPr>
          <w:rFonts w:ascii="Arial" w:cs="Arial" w:eastAsia="Arial" w:hAnsi="Arial"/>
          <w:sz w:val="18"/>
          <w:szCs w:val="18"/>
          <w:u w:val="single" w:color="auto"/>
          <w:color w:val="auto"/>
        </w:rPr>
        <w:t>Section 1(b)(2)</w:t>
      </w:r>
      <w:r>
        <w:rPr>
          <w:rFonts w:ascii="Arial" w:cs="Arial" w:eastAsia="Arial" w:hAnsi="Arial"/>
          <w:sz w:val="18"/>
          <w:szCs w:val="18"/>
          <w:color w:val="auto"/>
        </w:rPr>
        <w:t xml:space="preserve">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requests that the certificates or book entry position evidencing the shares to be acquired pursuant to such exercise be issued in the</w:t>
      </w:r>
    </w:p>
    <w:p>
      <w:pPr>
        <w:spacing w:after="0" w:line="46" w:lineRule="exact"/>
        <w:rPr>
          <w:sz w:val="20"/>
          <w:szCs w:val="20"/>
          <w:color w:val="auto"/>
        </w:rPr>
      </w:pPr>
    </w:p>
    <w:p>
      <w:pPr>
        <w:spacing w:after="0"/>
        <w:tabs>
          <w:tab w:leader="none" w:pos="2760" w:val="left"/>
          <w:tab w:leader="none" w:pos="5920" w:val="left"/>
        </w:tabs>
        <w:rPr>
          <w:sz w:val="20"/>
          <w:szCs w:val="20"/>
          <w:color w:val="auto"/>
        </w:rPr>
      </w:pPr>
      <w:r>
        <w:rPr>
          <w:rFonts w:ascii="Arial" w:cs="Arial" w:eastAsia="Arial" w:hAnsi="Arial"/>
          <w:sz w:val="18"/>
          <w:szCs w:val="18"/>
          <w:color w:val="auto"/>
        </w:rPr>
        <w:t>name of, and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must conform in all respects to name of the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Warrantholder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5715</wp:posOffset>
            </wp:positionV>
            <wp:extent cx="22980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160020</wp:posOffset>
            </wp:positionV>
            <wp:extent cx="289877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314325</wp:posOffset>
            </wp:positionV>
            <wp:extent cx="28987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type w:val="continuous"/>
        </w:sectPr>
      </w:pPr>
    </w:p>
    <w:bookmarkStart w:id="161" w:name="page162"/>
    <w:bookmarkEnd w:id="16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ASSIGNMENT FORM</w:t>
      </w:r>
    </w:p>
    <w:p>
      <w:pPr>
        <w:spacing w:after="0" w:line="225" w:lineRule="exact"/>
        <w:rPr>
          <w:sz w:val="20"/>
          <w:szCs w:val="20"/>
          <w:color w:val="auto"/>
        </w:rPr>
      </w:pPr>
    </w:p>
    <w:p>
      <w:pPr>
        <w:ind w:left="460"/>
        <w:spacing w:after="0"/>
        <w:tabs>
          <w:tab w:leader="none" w:pos="3400" w:val="left"/>
        </w:tabs>
        <w:rPr>
          <w:sz w:val="20"/>
          <w:szCs w:val="20"/>
          <w:color w:val="auto"/>
        </w:rPr>
      </w:pPr>
      <w:r>
        <w:rPr>
          <w:rFonts w:ascii="Arial" w:cs="Arial" w:eastAsia="Arial" w:hAnsi="Arial"/>
          <w:sz w:val="18"/>
          <w:szCs w:val="18"/>
          <w:color w:val="auto"/>
        </w:rPr>
        <w:t>FOR VALUE RECEIVED, [</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hereby sells, assigns and transfers all of the rights of the undersigned Assignor under the</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attached Warrant with respect to the number of shares of common stock of TapImmune Inc. (the “</w:t>
      </w:r>
      <w:r>
        <w:rPr>
          <w:rFonts w:ascii="Arial" w:cs="Arial" w:eastAsia="Arial" w:hAnsi="Arial"/>
          <w:sz w:val="18"/>
          <w:szCs w:val="18"/>
          <w:u w:val="single" w:color="auto"/>
          <w:color w:val="auto"/>
        </w:rPr>
        <w:t>Company</w:t>
      </w:r>
      <w:r>
        <w:rPr>
          <w:rFonts w:ascii="Arial" w:cs="Arial" w:eastAsia="Arial" w:hAnsi="Arial"/>
          <w:sz w:val="18"/>
          <w:szCs w:val="18"/>
          <w:color w:val="auto"/>
        </w:rPr>
        <w:t>”) covered thereby set forth below, to the following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and, in connection with such transfer, represents and warrants to the Company that the transfer is in compliance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Warrant and applicable federal and state securities laws: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900" w:type="dxa"/>
            <w:vAlign w:val="bottom"/>
            <w:gridSpan w:val="2"/>
          </w:tcPr>
          <w:p>
            <w:pPr>
              <w:ind w:left="780"/>
              <w:spacing w:after="0"/>
              <w:rPr>
                <w:sz w:val="20"/>
                <w:szCs w:val="20"/>
                <w:color w:val="auto"/>
              </w:rPr>
            </w:pPr>
            <w:r>
              <w:rPr>
                <w:rFonts w:ascii="Arial" w:cs="Arial" w:eastAsia="Arial" w:hAnsi="Arial"/>
                <w:sz w:val="18"/>
                <w:szCs w:val="18"/>
                <w:color w:val="auto"/>
              </w:rPr>
              <w:t>NAME OF ASSIGNEE</w:t>
            </w:r>
          </w:p>
        </w:tc>
        <w:tc>
          <w:tcPr>
            <w:tcW w:w="1440" w:type="dxa"/>
            <w:vAlign w:val="bottom"/>
          </w:tcPr>
          <w:p>
            <w:pPr>
              <w:spacing w:after="0"/>
              <w:rPr>
                <w:sz w:val="20"/>
                <w:szCs w:val="20"/>
                <w:color w:val="auto"/>
              </w:rPr>
            </w:pPr>
          </w:p>
        </w:tc>
        <w:tc>
          <w:tcPr>
            <w:tcW w:w="4680" w:type="dxa"/>
            <w:vAlign w:val="bottom"/>
          </w:tcPr>
          <w:p>
            <w:pPr>
              <w:ind w:left="1100"/>
              <w:spacing w:after="0"/>
              <w:rPr>
                <w:sz w:val="20"/>
                <w:szCs w:val="20"/>
                <w:color w:val="auto"/>
              </w:rPr>
            </w:pPr>
            <w:r>
              <w:rPr>
                <w:rFonts w:ascii="Arial" w:cs="Arial" w:eastAsia="Arial" w:hAnsi="Arial"/>
                <w:sz w:val="18"/>
                <w:szCs w:val="18"/>
                <w:color w:val="auto"/>
              </w:rPr>
              <w:t>ADDRESS/FAX NUMBER</w:t>
            </w: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w w:val="93"/>
              </w:rPr>
              <w:t>Number of shares:</w:t>
            </w:r>
          </w:p>
        </w:tc>
        <w:tc>
          <w:tcPr>
            <w:tcW w:w="3900" w:type="dxa"/>
            <w:vAlign w:val="bottom"/>
            <w:tcBorders>
              <w:bottom w:val="single" w:sz="8" w:color="auto"/>
            </w:tcBorders>
            <w:gridSpan w:val="2"/>
          </w:tcPr>
          <w:p>
            <w:pPr>
              <w:spacing w:after="0"/>
              <w:rPr>
                <w:sz w:val="24"/>
                <w:szCs w:val="24"/>
                <w:color w:val="auto"/>
              </w:rPr>
            </w:pPr>
          </w:p>
        </w:tc>
        <w:tc>
          <w:tcPr>
            <w:tcW w:w="144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68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Signature:</w:t>
            </w:r>
          </w:p>
        </w:tc>
        <w:tc>
          <w:tcPr>
            <w:tcW w:w="4680" w:type="dxa"/>
            <w:vAlign w:val="bottom"/>
            <w:tcBorders>
              <w:bottom w:val="single" w:sz="8" w:color="auto"/>
            </w:tcBorders>
          </w:tcPr>
          <w:p>
            <w:pPr>
              <w:spacing w:after="0"/>
              <w:rPr>
                <w:sz w:val="24"/>
                <w:szCs w:val="24"/>
                <w:color w:val="auto"/>
              </w:rPr>
            </w:pPr>
          </w:p>
        </w:tc>
      </w:tr>
      <w:tr>
        <w:trPr>
          <w:trHeight w:val="439"/>
        </w:trPr>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Witness:</w:t>
            </w:r>
          </w:p>
        </w:tc>
        <w:tc>
          <w:tcPr>
            <w:tcW w:w="46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ASSIGNEE ACKNOWLEDGMENT</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28987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 has been executed by the subscriber set forth on the signature page hereof (the “</w:t>
      </w:r>
      <w:r>
        <w:rPr>
          <w:rFonts w:ascii="Arial" w:cs="Arial" w:eastAsia="Arial" w:hAnsi="Arial"/>
          <w:sz w:val="18"/>
          <w:szCs w:val="18"/>
          <w:i w:val="1"/>
          <w:iCs w:val="1"/>
          <w:u w:val="single" w:color="auto"/>
          <w:color w:val="auto"/>
        </w:rPr>
        <w:t>Subscriber</w:t>
      </w:r>
      <w:r>
        <w:rPr>
          <w:rFonts w:ascii="Arial" w:cs="Arial" w:eastAsia="Arial" w:hAnsi="Arial"/>
          <w:sz w:val="18"/>
          <w:szCs w:val="18"/>
          <w:color w:val="auto"/>
        </w:rPr>
        <w:t>”) in connection with the private placement offering (the “</w:t>
      </w:r>
      <w:r>
        <w:rPr>
          <w:rFonts w:ascii="Arial" w:cs="Arial" w:eastAsia="Arial" w:hAnsi="Arial"/>
          <w:sz w:val="18"/>
          <w:szCs w:val="18"/>
          <w:i w:val="1"/>
          <w:iCs w:val="1"/>
          <w:u w:val="single" w:color="auto"/>
          <w:color w:val="auto"/>
        </w:rPr>
        <w:t>Offering</w:t>
      </w:r>
      <w:r>
        <w:rPr>
          <w:rFonts w:ascii="Arial" w:cs="Arial" w:eastAsia="Arial" w:hAnsi="Arial"/>
          <w:sz w:val="18"/>
          <w:szCs w:val="18"/>
          <w:color w:val="auto"/>
        </w:rPr>
        <w:t xml:space="preserve">”) by </w:t>
      </w:r>
      <w:r>
        <w:rPr>
          <w:rFonts w:ascii="Arial" w:cs="Arial" w:eastAsia="Arial" w:hAnsi="Arial"/>
          <w:sz w:val="18"/>
          <w:szCs w:val="18"/>
          <w:b w:val="1"/>
          <w:bCs w:val="1"/>
          <w:color w:val="auto"/>
        </w:rPr>
        <w:t>TapImmune Inc.</w:t>
      </w:r>
      <w:r>
        <w:rPr>
          <w:rFonts w:ascii="Arial" w:cs="Arial" w:eastAsia="Arial" w:hAnsi="Arial"/>
          <w:sz w:val="18"/>
          <w:szCs w:val="18"/>
          <w:color w:val="auto"/>
        </w:rPr>
        <w:t>, a Nevada corporation (the “</w:t>
      </w:r>
      <w:r>
        <w:rPr>
          <w:rFonts w:ascii="Arial" w:cs="Arial" w:eastAsia="Arial" w:hAnsi="Arial"/>
          <w:sz w:val="18"/>
          <w:szCs w:val="18"/>
          <w:i w:val="1"/>
          <w:iCs w:val="1"/>
          <w:u w:val="single" w:color="auto"/>
          <w:color w:val="auto"/>
        </w:rPr>
        <w:t>Company</w:t>
      </w:r>
      <w:r>
        <w:rPr>
          <w:rFonts w:ascii="Arial" w:cs="Arial" w:eastAsia="Arial" w:hAnsi="Arial"/>
          <w:sz w:val="18"/>
          <w:szCs w:val="18"/>
          <w:color w:val="auto"/>
        </w:rPr>
        <w:t>”), of Units (“</w:t>
      </w:r>
      <w:r>
        <w:rPr>
          <w:rFonts w:ascii="Arial" w:cs="Arial" w:eastAsia="Arial" w:hAnsi="Arial"/>
          <w:sz w:val="18"/>
          <w:szCs w:val="18"/>
          <w:i w:val="1"/>
          <w:iCs w:val="1"/>
          <w:u w:val="single" w:color="auto"/>
          <w:color w:val="auto"/>
        </w:rPr>
        <w:t>Units</w:t>
      </w:r>
      <w:r>
        <w:rPr>
          <w:rFonts w:ascii="Arial" w:cs="Arial" w:eastAsia="Arial" w:hAnsi="Arial"/>
          <w:sz w:val="18"/>
          <w:szCs w:val="18"/>
          <w:color w:val="auto"/>
        </w:rPr>
        <w:t>”), with each Unit consisting of one share of the Company’s common stock (“</w:t>
      </w:r>
      <w:r>
        <w:rPr>
          <w:rFonts w:ascii="Arial" w:cs="Arial" w:eastAsia="Arial" w:hAnsi="Arial"/>
          <w:sz w:val="18"/>
          <w:szCs w:val="18"/>
          <w:i w:val="1"/>
          <w:iCs w:val="1"/>
          <w:u w:val="single" w:color="auto"/>
          <w:color w:val="auto"/>
        </w:rPr>
        <w:t>Common Stock</w:t>
      </w:r>
      <w:r>
        <w:rPr>
          <w:rFonts w:ascii="Arial" w:cs="Arial" w:eastAsia="Arial" w:hAnsi="Arial"/>
          <w:sz w:val="18"/>
          <w:szCs w:val="18"/>
          <w:color w:val="auto"/>
        </w:rPr>
        <w:t>”), par value $0.001 per share (each, a “</w:t>
      </w:r>
      <w:r>
        <w:rPr>
          <w:rFonts w:ascii="Arial" w:cs="Arial" w:eastAsia="Arial" w:hAnsi="Arial"/>
          <w:sz w:val="18"/>
          <w:szCs w:val="18"/>
          <w:i w:val="1"/>
          <w:iCs w:val="1"/>
          <w:u w:val="single" w:color="auto"/>
          <w:color w:val="auto"/>
        </w:rPr>
        <w:t>Share</w:t>
      </w:r>
      <w:r>
        <w:rPr>
          <w:rFonts w:ascii="Arial" w:cs="Arial" w:eastAsia="Arial" w:hAnsi="Arial"/>
          <w:sz w:val="18"/>
          <w:szCs w:val="18"/>
          <w:color w:val="auto"/>
        </w:rPr>
        <w:t>”) and one warrant to purchase one share of Common Stock with an exercise price equal to 125% of the Purchase Price (as defined below) (each an “</w:t>
      </w:r>
      <w:r>
        <w:rPr>
          <w:rFonts w:ascii="Arial" w:cs="Arial" w:eastAsia="Arial" w:hAnsi="Arial"/>
          <w:sz w:val="18"/>
          <w:szCs w:val="18"/>
          <w:i w:val="1"/>
          <w:iCs w:val="1"/>
          <w:u w:val="single" w:color="auto"/>
          <w:color w:val="auto"/>
        </w:rPr>
        <w:t>Investor Warrant</w:t>
      </w:r>
      <w:r>
        <w:rPr>
          <w:rFonts w:ascii="Arial" w:cs="Arial" w:eastAsia="Arial" w:hAnsi="Arial"/>
          <w:sz w:val="18"/>
          <w:szCs w:val="18"/>
          <w:color w:val="auto"/>
        </w:rPr>
        <w:t>”). The offering price per Unit shall be the lesser of (i) 90% of the weighted average of the TPIV closing prices for the five (5) trading days preceding the Initial Closing of the Offering, and (ii) Fifty Cents ($0.50) (the “</w:t>
      </w:r>
      <w:r>
        <w:rPr>
          <w:rFonts w:ascii="Arial" w:cs="Arial" w:eastAsia="Arial" w:hAnsi="Arial"/>
          <w:sz w:val="18"/>
          <w:szCs w:val="18"/>
          <w:i w:val="1"/>
          <w:iCs w:val="1"/>
          <w:u w:val="single" w:color="auto"/>
          <w:color w:val="auto"/>
        </w:rPr>
        <w:t>Purchase Price</w:t>
      </w:r>
      <w:r>
        <w:rPr>
          <w:rFonts w:ascii="Arial" w:cs="Arial" w:eastAsia="Arial" w:hAnsi="Arial"/>
          <w:sz w:val="18"/>
          <w:szCs w:val="18"/>
          <w:color w:val="auto"/>
        </w:rPr>
        <w:t>”). This subscription is being submitted to you in accordance with and subject to the terms and conditions described in this Agreement.</w:t>
      </w:r>
    </w:p>
    <w:p>
      <w:pPr>
        <w:spacing w:after="0" w:line="18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Units being subscribed for pursuant to this Agreement have not been registered under the Securities Act of 1933, as amended (the “</w:t>
      </w:r>
      <w:r>
        <w:rPr>
          <w:rFonts w:ascii="Arial" w:cs="Arial" w:eastAsia="Arial" w:hAnsi="Arial"/>
          <w:sz w:val="17"/>
          <w:szCs w:val="17"/>
          <w:i w:val="1"/>
          <w:iCs w:val="1"/>
          <w:u w:val="single" w:color="auto"/>
          <w:color w:val="auto"/>
        </w:rPr>
        <w:t>Securities Act</w:t>
      </w:r>
      <w:r>
        <w:rPr>
          <w:rFonts w:ascii="Arial" w:cs="Arial" w:eastAsia="Arial" w:hAnsi="Arial"/>
          <w:sz w:val="17"/>
          <w:szCs w:val="17"/>
          <w:color w:val="auto"/>
        </w:rPr>
        <w:t>”). The Offering is being made on a reasonable best efforts basis to “accredited investors,” as defined in Regulation D under the Securities Act.</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undersigned acknowledges receipt of a copy of the Registration Rights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i w:val="1"/>
          <w:iCs w:val="1"/>
          <w:u w:val="single" w:color="auto"/>
          <w:color w:val="auto"/>
        </w:rPr>
        <w:t>Registration Rights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undersigned acknowledges receipt of a copy of the Warrant Agreement for the Investor Warrants,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Each closing of the Offering (a “</w:t>
      </w:r>
      <w:r>
        <w:rPr>
          <w:rFonts w:ascii="Arial" w:cs="Arial" w:eastAsia="Arial" w:hAnsi="Arial"/>
          <w:sz w:val="18"/>
          <w:szCs w:val="18"/>
          <w:i w:val="1"/>
          <w:iCs w:val="1"/>
          <w:u w:val="single" w:color="auto"/>
          <w:color w:val="auto"/>
        </w:rPr>
        <w:t>Closing</w:t>
      </w:r>
      <w:r>
        <w:rPr>
          <w:rFonts w:ascii="Arial" w:cs="Arial" w:eastAsia="Arial" w:hAnsi="Arial"/>
          <w:sz w:val="18"/>
          <w:szCs w:val="18"/>
          <w:color w:val="auto"/>
        </w:rPr>
        <w:t>,” and the date on which such Closing occurs hereinafter referred to as the “</w:t>
      </w:r>
      <w:r>
        <w:rPr>
          <w:rFonts w:ascii="Arial" w:cs="Arial" w:eastAsia="Arial" w:hAnsi="Arial"/>
          <w:sz w:val="18"/>
          <w:szCs w:val="18"/>
          <w:i w:val="1"/>
          <w:iCs w:val="1"/>
          <w:u w:val="single" w:color="auto"/>
          <w:color w:val="auto"/>
        </w:rPr>
        <w:t>Closing Date</w:t>
      </w:r>
      <w:r>
        <w:rPr>
          <w:rFonts w:ascii="Arial" w:cs="Arial" w:eastAsia="Arial" w:hAnsi="Arial"/>
          <w:sz w:val="18"/>
          <w:szCs w:val="18"/>
          <w:color w:val="auto"/>
        </w:rPr>
        <w:t>”) shall take place at the offices of Katalyst Securities LLC, 1330 Avenue of the Americas, 14</w:t>
      </w:r>
      <w:r>
        <w:rPr>
          <w:rFonts w:ascii="Arial" w:cs="Arial" w:eastAsia="Arial" w:hAnsi="Arial"/>
          <w:sz w:val="15"/>
          <w:szCs w:val="15"/>
          <w:color w:val="auto"/>
        </w:rPr>
        <w:t>th</w:t>
      </w:r>
      <w:r>
        <w:rPr>
          <w:rFonts w:ascii="Arial" w:cs="Arial" w:eastAsia="Arial" w:hAnsi="Arial"/>
          <w:sz w:val="18"/>
          <w:szCs w:val="18"/>
          <w:color w:val="auto"/>
        </w:rPr>
        <w:t xml:space="preserve"> Floor, New York, NY 10019.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conduct one or more Closings for the sale of the Units until the termination of the Offering.</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term sheet, disclosure schedule or other information document, delivered to the Subscriber prior to Subscriber’s execution of this Agreement, and any such document delivered to the Subscriber after Subscriber’s execution of this Agreement and prior to the Closing of the Subscriber’s subscription hereunder are collectively referred to as the “</w:t>
      </w:r>
      <w:r>
        <w:rPr>
          <w:rFonts w:ascii="Arial" w:cs="Arial" w:eastAsia="Arial" w:hAnsi="Arial"/>
          <w:sz w:val="18"/>
          <w:szCs w:val="18"/>
          <w:i w:val="1"/>
          <w:iCs w:val="1"/>
          <w:u w:val="single" w:color="auto"/>
          <w:color w:val="auto"/>
        </w:rPr>
        <w:t>Disclosure Materials</w:t>
      </w:r>
      <w:r>
        <w:rPr>
          <w:rFonts w:ascii="Arial" w:cs="Arial" w:eastAsia="Arial" w:hAnsi="Arial"/>
          <w:sz w:val="18"/>
          <w:szCs w:val="18"/>
          <w:color w:val="auto"/>
        </w:rPr>
        <w:t>.”</w:t>
      </w:r>
    </w:p>
    <w:p>
      <w:pPr>
        <w:spacing w:after="0" w:line="83" w:lineRule="exact"/>
        <w:rPr>
          <w:sz w:val="20"/>
          <w:szCs w:val="20"/>
          <w:color w:val="auto"/>
        </w:rPr>
      </w:pPr>
    </w:p>
    <w:p>
      <w:pPr>
        <w:jc w:val="both"/>
        <w:ind w:left="900" w:right="140" w:hanging="446"/>
        <w:spacing w:after="0" w:line="289" w:lineRule="auto"/>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b w:val="1"/>
          <w:bCs w:val="1"/>
          <w:color w:val="auto"/>
        </w:rPr>
        <w:t xml:space="preserve">Subscription. </w:t>
      </w:r>
      <w:r>
        <w:rPr>
          <w:rFonts w:ascii="Arial" w:cs="Arial" w:eastAsia="Arial" w:hAnsi="Arial"/>
          <w:sz w:val="17"/>
          <w:szCs w:val="17"/>
          <w:color w:val="auto"/>
        </w:rPr>
        <w:t>The undersigned Subscriber hereby subscribes to purchase the number of Units set forth on the Omnibus Signature Page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hereto, for the aggregate Purchase Price as set forth on such Omnibus Signature Page, subject to the terms and conditions of this Agreement and on the basis of the representations, warranties, covenants and agreements contained herein.</w:t>
      </w:r>
    </w:p>
    <w:p>
      <w:pPr>
        <w:spacing w:after="0" w:line="63" w:lineRule="exact"/>
        <w:rPr>
          <w:rFonts w:ascii="Arial" w:cs="Arial" w:eastAsia="Arial" w:hAnsi="Arial"/>
          <w:sz w:val="17"/>
          <w:szCs w:val="17"/>
          <w:color w:val="auto"/>
        </w:rPr>
      </w:pPr>
    </w:p>
    <w:p>
      <w:pPr>
        <w:ind w:left="900" w:right="40" w:hanging="446"/>
        <w:spacing w:after="0" w:line="282"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 xml:space="preserve">Subscription Procedure. </w:t>
      </w:r>
      <w:r>
        <w:rPr>
          <w:rFonts w:ascii="Arial" w:cs="Arial" w:eastAsia="Arial" w:hAnsi="Arial"/>
          <w:sz w:val="18"/>
          <w:szCs w:val="18"/>
          <w:color w:val="auto"/>
        </w:rPr>
        <w:t>To complete a subscription for the Units, the Subscriber must fully comply with the subscription procedure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a. through c. of this Section on or before the Closing Date.</w:t>
      </w:r>
    </w:p>
    <w:p>
      <w:pPr>
        <w:spacing w:after="0" w:line="71" w:lineRule="exact"/>
        <w:rPr>
          <w:rFonts w:ascii="Arial" w:cs="Arial" w:eastAsia="Arial" w:hAnsi="Arial"/>
          <w:sz w:val="18"/>
          <w:szCs w:val="18"/>
          <w:color w:val="auto"/>
        </w:rPr>
      </w:pPr>
    </w:p>
    <w:p>
      <w:pPr>
        <w:ind w:left="1480" w:right="80" w:hanging="567"/>
        <w:spacing w:after="0" w:line="276" w:lineRule="auto"/>
        <w:tabs>
          <w:tab w:leader="none" w:pos="1480"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Subscription Documents</w:t>
      </w:r>
      <w:r>
        <w:rPr>
          <w:rFonts w:ascii="Arial" w:cs="Arial" w:eastAsia="Arial" w:hAnsi="Arial"/>
          <w:sz w:val="17"/>
          <w:szCs w:val="17"/>
          <w:color w:val="auto"/>
        </w:rPr>
        <w:t>. On or before the Closing Date, the Subscriber shall review, complete and execute the Omnibus Signature Page to this Agreement and the Registration Rights Agreement, the Investor Profile, Anti-Money Laundering Form and Investor Certification, attached hereto following the Omnibus Signature Page (collectively, the “</w:t>
      </w:r>
      <w:r>
        <w:rPr>
          <w:rFonts w:ascii="Arial" w:cs="Arial" w:eastAsia="Arial" w:hAnsi="Arial"/>
          <w:sz w:val="17"/>
          <w:szCs w:val="17"/>
          <w:i w:val="1"/>
          <w:iCs w:val="1"/>
          <w:u w:val="single" w:color="auto"/>
          <w:color w:val="auto"/>
        </w:rPr>
        <w:t>Subscription Documents</w:t>
      </w:r>
      <w:r>
        <w:rPr>
          <w:rFonts w:ascii="Arial" w:cs="Arial" w:eastAsia="Arial" w:hAnsi="Arial"/>
          <w:sz w:val="17"/>
          <w:szCs w:val="17"/>
          <w:color w:val="auto"/>
        </w:rPr>
        <w:t>”), and deliver the Subscription Documents to the Company’s attorneys, Shumaker, Loop &amp; Kendrick, LLP (“Shumaker”), at the address set forth under the caption “</w:t>
      </w:r>
      <w:r>
        <w:rPr>
          <w:rFonts w:ascii="Arial" w:cs="Arial" w:eastAsia="Arial" w:hAnsi="Arial"/>
          <w:sz w:val="17"/>
          <w:szCs w:val="17"/>
          <w:i w:val="1"/>
          <w:iCs w:val="1"/>
          <w:color w:val="auto"/>
        </w:rPr>
        <w:t>How to subscribe for Units in the private offering of TapImmune Inc.</w:t>
      </w:r>
      <w:r>
        <w:rPr>
          <w:rFonts w:ascii="Arial" w:cs="Arial" w:eastAsia="Arial" w:hAnsi="Arial"/>
          <w:sz w:val="17"/>
          <w:szCs w:val="17"/>
          <w:color w:val="auto"/>
        </w:rPr>
        <w:t>” below.</w:t>
      </w:r>
    </w:p>
    <w:p>
      <w:pPr>
        <w:sectPr>
          <w:pgSz w:w="11900" w:h="16838" w:orient="portrait"/>
          <w:cols w:equalWidth="0" w:num="1">
            <w:col w:w="11420"/>
          </w:cols>
          <w:pgMar w:left="240" w:top="121" w:right="239" w:bottom="1440" w:gutter="0" w:footer="0" w:header="0"/>
        </w:sectPr>
      </w:pPr>
    </w:p>
    <w:bookmarkStart w:id="163" w:name="page164"/>
    <w:bookmarkEnd w:id="163"/>
    <w:p>
      <w:pPr>
        <w:ind w:left="1472"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documents may be delivered to Shumaker by facsimile or .pdf sent by electronic mail (e-mail), if the Subscriber delivers the original copies of the documents to Shumaker as soon as practicable thereafter.</w:t>
      </w:r>
    </w:p>
    <w:p>
      <w:pPr>
        <w:spacing w:after="0" w:line="76" w:lineRule="exact"/>
        <w:rPr>
          <w:sz w:val="20"/>
          <w:szCs w:val="20"/>
          <w:color w:val="auto"/>
        </w:rPr>
      </w:pPr>
    </w:p>
    <w:p>
      <w:pPr>
        <w:ind w:left="1472" w:right="20" w:hanging="567"/>
        <w:spacing w:after="0" w:line="293" w:lineRule="auto"/>
        <w:tabs>
          <w:tab w:leader="none" w:pos="1472"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Simultaneously with the delivery of the Subscription Documents to Shumaker as provided herein, and in any event on or prior to the Closing Date, the Subscriber shall deliver to Delaware Trust Company, in its capacity as escrow agent (the “</w:t>
      </w:r>
      <w:r>
        <w:rPr>
          <w:rFonts w:ascii="Arial" w:cs="Arial" w:eastAsia="Arial" w:hAnsi="Arial"/>
          <w:sz w:val="16"/>
          <w:szCs w:val="16"/>
          <w:i w:val="1"/>
          <w:iCs w:val="1"/>
          <w:u w:val="single" w:color="auto"/>
          <w:color w:val="auto"/>
        </w:rPr>
        <w:t>Escrow Agent</w:t>
      </w:r>
      <w:r>
        <w:rPr>
          <w:rFonts w:ascii="Arial" w:cs="Arial" w:eastAsia="Arial" w:hAnsi="Arial"/>
          <w:sz w:val="16"/>
          <w:szCs w:val="16"/>
          <w:color w:val="auto"/>
        </w:rPr>
        <w:t>”), the full Purchase Price by certified or other bank check or by wire transfer of immediately available funds, pursuant to the instructions set forth under the caption “</w:t>
      </w:r>
      <w:r>
        <w:rPr>
          <w:rFonts w:ascii="Arial" w:cs="Arial" w:eastAsia="Arial" w:hAnsi="Arial"/>
          <w:sz w:val="16"/>
          <w:szCs w:val="16"/>
          <w:i w:val="1"/>
          <w:iCs w:val="1"/>
          <w:color w:val="auto"/>
        </w:rPr>
        <w:t>How to subscribe for Units in the private offering of TapImmune Inc.</w:t>
      </w:r>
      <w:r>
        <w:rPr>
          <w:rFonts w:ascii="Arial" w:cs="Arial" w:eastAsia="Arial" w:hAnsi="Arial"/>
          <w:sz w:val="16"/>
          <w:szCs w:val="16"/>
          <w:color w:val="auto"/>
        </w:rPr>
        <w:t>” below. Such funds will be held for the Subscriber’s benefit and will be returned promptly, without interest or offset, if this Subscription Agreement is not accepted by the Company or the Offering is terminated pursuant to its terms by the Company prior to the Closing as defined herein.</w:t>
      </w:r>
    </w:p>
    <w:p>
      <w:pPr>
        <w:spacing w:after="0" w:line="70" w:lineRule="exact"/>
        <w:rPr>
          <w:rFonts w:ascii="Arial" w:cs="Arial" w:eastAsia="Arial" w:hAnsi="Arial"/>
          <w:sz w:val="16"/>
          <w:szCs w:val="16"/>
          <w:color w:val="auto"/>
        </w:rPr>
      </w:pPr>
    </w:p>
    <w:p>
      <w:pPr>
        <w:ind w:left="1472" w:right="40" w:hanging="567"/>
        <w:spacing w:after="0" w:line="272" w:lineRule="auto"/>
        <w:tabs>
          <w:tab w:leader="none" w:pos="1472"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Company Discretion</w:t>
      </w:r>
      <w:r>
        <w:rPr>
          <w:rFonts w:ascii="Arial" w:cs="Arial" w:eastAsia="Arial" w:hAnsi="Arial"/>
          <w:sz w:val="17"/>
          <w:szCs w:val="17"/>
          <w:color w:val="auto"/>
        </w:rPr>
        <w:t>. The Subscriber understands and agrees that the Company in its sole discretion reserves the right to accept or reject this or any other subscription for Units, in whole or in part, notwithstanding prior receipt by the Subscriber of notice of acceptance of this subscription. The Company shall have no obligation hereunder until the Company shall execute and deliver to the Subscriber an executed copy of this Agreement. If this subscription is rejected in whole, or the Offering is terminated, all funds received from the Subscriber will be returned without interest or offset, and this Agreement shall thereafter be of no further force or effect. If this subscription is rejected in part, the funds for the rejected portion of this subscription will be returned without interest or offset, and this Agreement will continue in full force and effect to the extent this subscription was accepted.</w:t>
      </w:r>
    </w:p>
    <w:p>
      <w:pPr>
        <w:spacing w:after="0" w:line="79" w:lineRule="exact"/>
        <w:rPr>
          <w:rFonts w:ascii="Arial" w:cs="Arial" w:eastAsia="Arial" w:hAnsi="Arial"/>
          <w:sz w:val="17"/>
          <w:szCs w:val="17"/>
          <w:color w:val="auto"/>
        </w:rPr>
      </w:pPr>
    </w:p>
    <w:p>
      <w:pPr>
        <w:ind w:left="452" w:hanging="452"/>
        <w:spacing w:after="0"/>
        <w:tabs>
          <w:tab w:leader="none" w:pos="452"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Placement Agent.</w:t>
      </w:r>
    </w:p>
    <w:p>
      <w:pPr>
        <w:spacing w:after="0" w:line="121" w:lineRule="exact"/>
        <w:rPr>
          <w:rFonts w:ascii="Arial" w:cs="Arial" w:eastAsia="Arial" w:hAnsi="Arial"/>
          <w:sz w:val="18"/>
          <w:szCs w:val="18"/>
          <w:color w:val="auto"/>
        </w:rPr>
      </w:pPr>
    </w:p>
    <w:p>
      <w:pPr>
        <w:ind w:left="1492" w:hanging="8"/>
        <w:spacing w:after="0" w:line="286" w:lineRule="auto"/>
        <w:tabs>
          <w:tab w:leader="none" w:pos="1662" w:val="left"/>
        </w:tabs>
        <w:numPr>
          <w:ilvl w:val="2"/>
          <w:numId w:val="183"/>
        </w:numPr>
        <w:rPr>
          <w:rFonts w:ascii="Arial" w:cs="Arial" w:eastAsia="Arial" w:hAnsi="Arial"/>
          <w:sz w:val="16"/>
          <w:szCs w:val="16"/>
          <w:color w:val="auto"/>
        </w:rPr>
      </w:pPr>
      <w:r>
        <w:rPr>
          <w:rFonts w:ascii="Arial" w:cs="Arial" w:eastAsia="Arial" w:hAnsi="Arial"/>
          <w:sz w:val="16"/>
          <w:szCs w:val="16"/>
          <w:color w:val="auto"/>
        </w:rPr>
        <w:t>Katalyst Securities LLC, a broker-dealer licensed with Financial Industry Regularity Authority (“</w:t>
      </w:r>
      <w:r>
        <w:rPr>
          <w:rFonts w:ascii="Arial" w:cs="Arial" w:eastAsia="Arial" w:hAnsi="Arial"/>
          <w:sz w:val="16"/>
          <w:szCs w:val="16"/>
          <w:i w:val="1"/>
          <w:iCs w:val="1"/>
          <w:u w:val="single" w:color="auto"/>
          <w:color w:val="auto"/>
        </w:rPr>
        <w:t>FINRA</w:t>
      </w:r>
      <w:r>
        <w:rPr>
          <w:rFonts w:ascii="Arial" w:cs="Arial" w:eastAsia="Arial" w:hAnsi="Arial"/>
          <w:sz w:val="16"/>
          <w:szCs w:val="16"/>
          <w:color w:val="auto"/>
        </w:rPr>
        <w:t>”), has been engaged as placement agent for the Offering on a reasonable best efforts basis. The Placement Agent may sell Units through other broker dealers who are FINRA members (collectively the “Sub Agents”). The Placement Agent and its sub-agents will be paid at closing a cash commission of Ten Percent (10%) of funds raised from investors in the Offering introduced by them (“</w:t>
      </w:r>
      <w:r>
        <w:rPr>
          <w:rFonts w:ascii="Arial" w:cs="Arial" w:eastAsia="Arial" w:hAnsi="Arial"/>
          <w:sz w:val="16"/>
          <w:szCs w:val="16"/>
          <w:i w:val="1"/>
          <w:iCs w:val="1"/>
          <w:u w:val="single" w:color="auto"/>
          <w:color w:val="auto"/>
        </w:rPr>
        <w:t>Placement Agent Cash Fee</w:t>
      </w:r>
      <w:r>
        <w:rPr>
          <w:rFonts w:ascii="Arial" w:cs="Arial" w:eastAsia="Arial" w:hAnsi="Arial"/>
          <w:sz w:val="16"/>
          <w:szCs w:val="16"/>
          <w:color w:val="auto"/>
        </w:rPr>
        <w:t>”) and will receive warrants to purchase a number of shares of Common Stock equal to Ten Percent (10%) of the amount of Common Stock sold in the Offering to investors introduced by them, with a term of five (5) years and at an exercise price equal to the Purchase Price (the “</w:t>
      </w:r>
      <w:r>
        <w:rPr>
          <w:rFonts w:ascii="Arial" w:cs="Arial" w:eastAsia="Arial" w:hAnsi="Arial"/>
          <w:sz w:val="16"/>
          <w:szCs w:val="16"/>
          <w:i w:val="1"/>
          <w:iCs w:val="1"/>
          <w:u w:val="single" w:color="auto"/>
          <w:color w:val="auto"/>
        </w:rPr>
        <w:t>Placement Agent Warrants</w:t>
      </w:r>
      <w:r>
        <w:rPr>
          <w:rFonts w:ascii="Arial" w:cs="Arial" w:eastAsia="Arial" w:hAnsi="Arial"/>
          <w:sz w:val="16"/>
          <w:szCs w:val="16"/>
          <w:color w:val="auto"/>
        </w:rPr>
        <w:t>”) (collectively referred to as the “</w:t>
      </w:r>
      <w:r>
        <w:rPr>
          <w:rFonts w:ascii="Arial" w:cs="Arial" w:eastAsia="Arial" w:hAnsi="Arial"/>
          <w:sz w:val="16"/>
          <w:szCs w:val="16"/>
          <w:i w:val="1"/>
          <w:iCs w:val="1"/>
          <w:u w:val="single" w:color="auto"/>
          <w:color w:val="auto"/>
        </w:rPr>
        <w:t>Placement Agent Fee</w:t>
      </w:r>
      <w:r>
        <w:rPr>
          <w:rFonts w:ascii="Arial" w:cs="Arial" w:eastAsia="Arial" w:hAnsi="Arial"/>
          <w:sz w:val="16"/>
          <w:szCs w:val="16"/>
          <w:i w:val="1"/>
          <w:iCs w:val="1"/>
          <w:color w:val="auto"/>
        </w:rPr>
        <w:t>”).</w:t>
      </w:r>
      <w:r>
        <w:rPr>
          <w:rFonts w:ascii="Arial" w:cs="Arial" w:eastAsia="Arial" w:hAnsi="Arial"/>
          <w:sz w:val="16"/>
          <w:szCs w:val="16"/>
          <w:color w:val="auto"/>
        </w:rPr>
        <w:t xml:space="preserve"> The Placement Agent Warrants and the Investor Warrants are referred to collectively herein as the “</w:t>
      </w:r>
      <w:r>
        <w:rPr>
          <w:rFonts w:ascii="Arial" w:cs="Arial" w:eastAsia="Arial" w:hAnsi="Arial"/>
          <w:sz w:val="16"/>
          <w:szCs w:val="16"/>
          <w:i w:val="1"/>
          <w:iCs w:val="1"/>
          <w:u w:val="single" w:color="auto"/>
          <w:color w:val="auto"/>
        </w:rPr>
        <w:t>Warrants</w:t>
      </w:r>
      <w:r>
        <w:rPr>
          <w:rFonts w:ascii="Arial" w:cs="Arial" w:eastAsia="Arial" w:hAnsi="Arial"/>
          <w:sz w:val="16"/>
          <w:szCs w:val="16"/>
          <w:color w:val="auto"/>
        </w:rPr>
        <w:t>.” Any sub-agent of this Placement Agent that introduces investors to the Offering will be entitled to share in the Placement Agent Cash Fee and Placement Agent Warrants attributable to those investors as described above, pursuant to the terms of an executed sub-agent agreement. The Company will pay certain expenses of this Placement Agent in connection with the Offering, including, but not limited to, reasonable out of pocket expenses of the Placement Agent up to an aggregate of $10,000 (“</w:t>
      </w:r>
      <w:r>
        <w:rPr>
          <w:rFonts w:ascii="Arial" w:cs="Arial" w:eastAsia="Arial" w:hAnsi="Arial"/>
          <w:sz w:val="16"/>
          <w:szCs w:val="16"/>
          <w:i w:val="1"/>
          <w:iCs w:val="1"/>
          <w:u w:val="single" w:color="auto"/>
          <w:color w:val="auto"/>
        </w:rPr>
        <w:t>Placement Agent Expenses</w:t>
      </w:r>
      <w:r>
        <w:rPr>
          <w:rFonts w:ascii="Arial" w:cs="Arial" w:eastAsia="Arial" w:hAnsi="Arial"/>
          <w:sz w:val="16"/>
          <w:szCs w:val="16"/>
          <w:color w:val="auto"/>
        </w:rPr>
        <w:t>”) and the legal fees of the Placement Agent’s counsel of $50,000 (“</w:t>
      </w:r>
      <w:r>
        <w:rPr>
          <w:rFonts w:ascii="Arial" w:cs="Arial" w:eastAsia="Arial" w:hAnsi="Arial"/>
          <w:sz w:val="16"/>
          <w:szCs w:val="16"/>
          <w:i w:val="1"/>
          <w:iCs w:val="1"/>
          <w:u w:val="single" w:color="auto"/>
          <w:color w:val="auto"/>
        </w:rPr>
        <w:t>Placement Agent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Legal Fee</w:t>
      </w:r>
      <w:r>
        <w:rPr>
          <w:rFonts w:ascii="Arial" w:cs="Arial" w:eastAsia="Arial" w:hAnsi="Arial"/>
          <w:sz w:val="16"/>
          <w:szCs w:val="16"/>
          <w:color w:val="auto"/>
        </w:rPr>
        <w:t>”), upon the first closing of the Offering from the proceeds in the Escrow Account.</w:t>
      </w:r>
    </w:p>
    <w:p>
      <w:pPr>
        <w:spacing w:after="0" w:line="66" w:lineRule="exact"/>
        <w:rPr>
          <w:rFonts w:ascii="Arial" w:cs="Arial" w:eastAsia="Arial" w:hAnsi="Arial"/>
          <w:sz w:val="16"/>
          <w:szCs w:val="16"/>
          <w:color w:val="auto"/>
        </w:rPr>
      </w:pPr>
    </w:p>
    <w:p>
      <w:pPr>
        <w:ind w:left="1492" w:right="40" w:hanging="8"/>
        <w:spacing w:after="0" w:line="259" w:lineRule="auto"/>
        <w:tabs>
          <w:tab w:leader="none" w:pos="1672" w:val="left"/>
        </w:tabs>
        <w:numPr>
          <w:ilvl w:val="2"/>
          <w:numId w:val="183"/>
        </w:numPr>
        <w:rPr>
          <w:rFonts w:ascii="Arial" w:cs="Arial" w:eastAsia="Arial" w:hAnsi="Arial"/>
          <w:sz w:val="18"/>
          <w:szCs w:val="18"/>
          <w:color w:val="auto"/>
        </w:rPr>
      </w:pPr>
      <w:r>
        <w:rPr>
          <w:rFonts w:ascii="Arial" w:cs="Arial" w:eastAsia="Arial" w:hAnsi="Arial"/>
          <w:sz w:val="18"/>
          <w:szCs w:val="18"/>
          <w:color w:val="auto"/>
        </w:rPr>
        <w:t>GP Nurmenkari Inc., (“GPN”) a broker dealer licensed with FINRA, has been engaged as separate placement agent for the Offering on a reasonable best efforts basis. GPN will be paid at closing a cash commission of Seven Percent (7%) of funds raised from investors in the Offering introduced by them (“</w:t>
      </w:r>
      <w:r>
        <w:rPr>
          <w:rFonts w:ascii="Arial" w:cs="Arial" w:eastAsia="Arial" w:hAnsi="Arial"/>
          <w:sz w:val="18"/>
          <w:szCs w:val="18"/>
          <w:i w:val="1"/>
          <w:iCs w:val="1"/>
          <w:u w:val="single" w:color="auto"/>
          <w:color w:val="auto"/>
        </w:rPr>
        <w:t>GPN Cash Fee</w:t>
      </w:r>
      <w:r>
        <w:rPr>
          <w:rFonts w:ascii="Arial" w:cs="Arial" w:eastAsia="Arial" w:hAnsi="Arial"/>
          <w:sz w:val="18"/>
          <w:szCs w:val="18"/>
          <w:color w:val="auto"/>
        </w:rPr>
        <w:t>”) and shall not be entitled to any of the Placement Agent Warrants, Placement Agent Expenses and Placement Agent Legal Fee.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164" w:name="page165"/>
    <w:bookmarkEnd w:id="164"/>
    <w:p>
      <w:pPr>
        <w:ind w:left="452" w:right="280" w:hanging="452"/>
        <w:spacing w:after="0" w:line="282" w:lineRule="auto"/>
        <w:tabs>
          <w:tab w:leader="none" w:pos="452"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 of the Company</w:t>
      </w:r>
      <w:r>
        <w:rPr>
          <w:rFonts w:ascii="Arial" w:cs="Arial" w:eastAsia="Arial" w:hAnsi="Arial"/>
          <w:sz w:val="18"/>
          <w:szCs w:val="18"/>
          <w:color w:val="auto"/>
        </w:rPr>
        <w:t>. The Company hereby represents and warrants to the Subscriber, as of the Closing Date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specified), the following:</w:t>
      </w:r>
    </w:p>
    <w:p>
      <w:pPr>
        <w:spacing w:after="0" w:line="71" w:lineRule="exact"/>
        <w:rPr>
          <w:rFonts w:ascii="Arial" w:cs="Arial" w:eastAsia="Arial" w:hAnsi="Arial"/>
          <w:sz w:val="18"/>
          <w:szCs w:val="18"/>
          <w:color w:val="auto"/>
        </w:rPr>
      </w:pPr>
    </w:p>
    <w:p>
      <w:pPr>
        <w:ind w:left="1472" w:right="200" w:hanging="567"/>
        <w:spacing w:after="0" w:line="291" w:lineRule="auto"/>
        <w:tabs>
          <w:tab w:leader="none" w:pos="1472"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its subsidiaries is a corporation or other business entity duly organized and validly existing in good standing under the laws of the jurisdiction of its formation, and has the requisite corporate power to own its properties and to carry on its business as now being conducted. The Company and each of its subsidiaries is duly qualified as a foreign corporation to do business and is in good standing in every jurisdiction in which the nature of the business conducted by it makes such qualification necessary, except to the extent that the failure to be so qualified or be in good standing would not have a material adverse effect on the assets, business, condition (financial or otherwise), results of operations or future prospects of the Company and its subsidiaries taken as a whole (a “</w:t>
      </w:r>
      <w:r>
        <w:rPr>
          <w:rFonts w:ascii="Arial" w:cs="Arial" w:eastAsia="Arial" w:hAnsi="Arial"/>
          <w:sz w:val="16"/>
          <w:szCs w:val="16"/>
          <w:i w:val="1"/>
          <w:iCs w:val="1"/>
          <w:u w:val="single" w:color="auto"/>
          <w:color w:val="auto"/>
        </w:rPr>
        <w:t>Material Adverse Effect</w:t>
      </w:r>
      <w:r>
        <w:rPr>
          <w:rFonts w:ascii="Arial" w:cs="Arial" w:eastAsia="Arial" w:hAnsi="Arial"/>
          <w:sz w:val="16"/>
          <w:szCs w:val="16"/>
          <w:color w:val="auto"/>
        </w:rPr>
        <w:t>”). The Company has no material subsidiaries.</w:t>
      </w:r>
    </w:p>
    <w:p>
      <w:pPr>
        <w:spacing w:after="0" w:line="72" w:lineRule="exact"/>
        <w:rPr>
          <w:rFonts w:ascii="Arial" w:cs="Arial" w:eastAsia="Arial" w:hAnsi="Arial"/>
          <w:sz w:val="16"/>
          <w:szCs w:val="16"/>
          <w:color w:val="auto"/>
        </w:rPr>
      </w:pPr>
    </w:p>
    <w:p>
      <w:pPr>
        <w:ind w:left="1472" w:hanging="567"/>
        <w:spacing w:after="0" w:line="268" w:lineRule="auto"/>
        <w:tabs>
          <w:tab w:leader="none" w:pos="1472"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 Compliance with Other Instruments</w:t>
      </w:r>
      <w:r>
        <w:rPr>
          <w:rFonts w:ascii="Arial" w:cs="Arial" w:eastAsia="Arial" w:hAnsi="Arial"/>
          <w:sz w:val="17"/>
          <w:szCs w:val="17"/>
          <w:color w:val="auto"/>
        </w:rPr>
        <w:t>. (i) The Company has the requisite corporate power and authority to enter into and perform its obligations under this Agreement, the Registration Rights Agreement, the Warrants and each of the other agreements and documents that are exhibits hereto or thereto or are contemplated hereby or thereby or necessary or desirable to effect the transactions contemplated hereby or thereby (the “</w:t>
      </w:r>
      <w:r>
        <w:rPr>
          <w:rFonts w:ascii="Arial" w:cs="Arial" w:eastAsia="Arial" w:hAnsi="Arial"/>
          <w:sz w:val="17"/>
          <w:szCs w:val="17"/>
          <w:i w:val="1"/>
          <w:iCs w:val="1"/>
          <w:u w:val="single" w:color="auto"/>
          <w:color w:val="auto"/>
        </w:rPr>
        <w:t>Transaction Documents</w:t>
      </w:r>
      <w:r>
        <w:rPr>
          <w:rFonts w:ascii="Arial" w:cs="Arial" w:eastAsia="Arial" w:hAnsi="Arial"/>
          <w:sz w:val="17"/>
          <w:szCs w:val="17"/>
          <w:color w:val="auto"/>
        </w:rPr>
        <w:t>”) and to issue the Shares and Warrants, in accordance with the terms hereof and thereof, (ii) the execution and delivery by the Company of each of the Transaction Documents and the consummation by it of the transactions contemplated hereby and thereby, including, without limitation, the issuance of the Shares and Warrants, have been, or will be at the time of execution of such Transaction Document, duly authorized by the Company’s Board of Directors, and no further consent or authorization is, or will be at the time of execution of such Transaction Document, required by the Company, its respective Board of Directors or its stockholders, (iii) each of the Transaction Documents will be duly executed and delivered by the Company, (iv) the Transaction Documents when executed will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w:t>
      </w:r>
    </w:p>
    <w:p>
      <w:pPr>
        <w:spacing w:after="0" w:line="93" w:lineRule="exact"/>
        <w:rPr>
          <w:rFonts w:ascii="Arial" w:cs="Arial" w:eastAsia="Arial" w:hAnsi="Arial"/>
          <w:sz w:val="17"/>
          <w:szCs w:val="17"/>
          <w:color w:val="auto"/>
        </w:rPr>
      </w:pPr>
    </w:p>
    <w:p>
      <w:pPr>
        <w:ind w:left="1472" w:hanging="567"/>
        <w:spacing w:after="0" w:line="270" w:lineRule="auto"/>
        <w:tabs>
          <w:tab w:leader="none" w:pos="1472"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xml:space="preserve">. The authorized capital stock of the Company consists of 500,000,000 Shares of Common Stock and 5,000,000 shares of preferred stock. As of July 19, 2016, the Company has 71,416,267 Shares of Common Stock and no preferred stock issued and outstanding. All of the outstanding Shares of Common Stock and of the stock of each of the Company’s subsidiaries have been duly authorized, validly issued and are fully paid and nonassessable. Except as described in the reports, schedules, forms, statements and other documents filed with the Securities and Exchange Commission (the “SEC”) by the Company (“SEC Reports”) and as set forth on </w:t>
      </w:r>
      <w:r>
        <w:rPr>
          <w:rFonts w:ascii="Arial" w:cs="Arial" w:eastAsia="Arial" w:hAnsi="Arial"/>
          <w:sz w:val="17"/>
          <w:szCs w:val="17"/>
          <w:b w:val="1"/>
          <w:bCs w:val="1"/>
          <w:u w:val="single" w:color="auto"/>
          <w:color w:val="auto"/>
        </w:rPr>
        <w:t>Schedule 4c</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(i) no Shares of capital stock of the Company or any of its subsidiaries are (and the Shares will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preemptive rights or any other similar rights or any liens or encumbrances suffered or permitted by the Company; (ii)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w:t>
      </w:r>
    </w:p>
    <w:p>
      <w:pPr>
        <w:spacing w:after="0" w:line="11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0" w:right="279" w:bottom="1440" w:gutter="0" w:footer="0" w:header="0"/>
        </w:sectPr>
      </w:pPr>
    </w:p>
    <w:bookmarkStart w:id="165" w:name="page166"/>
    <w:bookmarkEnd w:id="165"/>
    <w:p>
      <w:pPr>
        <w:ind w:left="567"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subsidiaries is or may become bound to issue additional Shares of capital stock of the Company or any of its subsidiaries, (iii) there are no outstanding debt securities of the Company or its subsidiaries, (iv) there are no agreements or arrangements under which the Company or any of its subsidiaries is obligated to register the sale of any of their securities under the Securities Act, (v) there are no registration statements that have been filed but are not yet effective relating to securities of the Company, or any outstanding comment letters from the SEC or any other regulatory agency; (vi) there are no securities or instruments containing anti-dilution or similar provisions, including the right to adjust the exercise, exchange or reset price under such securities, that will be triggered by the issuance of the Units as described in this Agreement; and (vii) no co-sale rights, rights of first refusal or other similar rights exist with respect to the Units or the issuance and sale thereof. Upon request, the Company will make available to the Subscriber true and correct copies of the Company’s Articles of Incorporation, and as in effect on the date hereof (the “</w:t>
      </w:r>
      <w:r>
        <w:rPr>
          <w:rFonts w:ascii="Arial" w:cs="Arial" w:eastAsia="Arial" w:hAnsi="Arial"/>
          <w:sz w:val="17"/>
          <w:szCs w:val="17"/>
          <w:i w:val="1"/>
          <w:iCs w:val="1"/>
          <w:u w:val="single" w:color="auto"/>
          <w:color w:val="auto"/>
        </w:rPr>
        <w:t>Articles of Incorporation</w:t>
      </w:r>
      <w:r>
        <w:rPr>
          <w:rFonts w:ascii="Arial" w:cs="Arial" w:eastAsia="Arial" w:hAnsi="Arial"/>
          <w:sz w:val="17"/>
          <w:szCs w:val="17"/>
          <w:color w:val="auto"/>
        </w:rPr>
        <w:t>”), and the Company’s By-laws, as in effect on the date hereof (the “</w:t>
      </w:r>
      <w:r>
        <w:rPr>
          <w:rFonts w:ascii="Arial" w:cs="Arial" w:eastAsia="Arial" w:hAnsi="Arial"/>
          <w:sz w:val="17"/>
          <w:szCs w:val="17"/>
          <w:i w:val="1"/>
          <w:iCs w:val="1"/>
          <w:u w:val="single" w:color="auto"/>
          <w:color w:val="auto"/>
        </w:rPr>
        <w:t>By-laws</w:t>
      </w:r>
      <w:r>
        <w:rPr>
          <w:rFonts w:ascii="Arial" w:cs="Arial" w:eastAsia="Arial" w:hAnsi="Arial"/>
          <w:sz w:val="17"/>
          <w:szCs w:val="17"/>
          <w:color w:val="auto"/>
        </w:rPr>
        <w:t>”), and the terms of all securities exercisable for Common Stock and the material rights of the holders thereof in respect thereto.</w:t>
      </w:r>
    </w:p>
    <w:p>
      <w:pPr>
        <w:spacing w:after="0" w:line="88" w:lineRule="exact"/>
        <w:rPr>
          <w:sz w:val="20"/>
          <w:szCs w:val="20"/>
          <w:color w:val="auto"/>
        </w:rPr>
      </w:pPr>
    </w:p>
    <w:p>
      <w:pPr>
        <w:ind w:left="567" w:right="180" w:hanging="567"/>
        <w:spacing w:after="0" w:line="259" w:lineRule="auto"/>
        <w:tabs>
          <w:tab w:leader="none" w:pos="56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Issuance of Shares and Warrant Shares</w:t>
      </w:r>
      <w:r>
        <w:rPr>
          <w:rFonts w:ascii="Arial" w:cs="Arial" w:eastAsia="Arial" w:hAnsi="Arial"/>
          <w:sz w:val="18"/>
          <w:szCs w:val="18"/>
          <w:color w:val="auto"/>
        </w:rPr>
        <w:t>. The Shares and the Common Stock underlying the Investor Warrants and the Placement Agent Warrants (“</w:t>
      </w:r>
      <w:r>
        <w:rPr>
          <w:rFonts w:ascii="Arial" w:cs="Arial" w:eastAsia="Arial" w:hAnsi="Arial"/>
          <w:sz w:val="18"/>
          <w:szCs w:val="18"/>
          <w:i w:val="1"/>
          <w:iCs w:val="1"/>
          <w:u w:val="single" w:color="auto"/>
          <w:color w:val="auto"/>
        </w:rPr>
        <w:t>Warrant Shares</w:t>
      </w:r>
      <w:r>
        <w:rPr>
          <w:rFonts w:ascii="Arial" w:cs="Arial" w:eastAsia="Arial" w:hAnsi="Arial"/>
          <w:sz w:val="18"/>
          <w:szCs w:val="18"/>
          <w:color w:val="auto"/>
        </w:rPr>
        <w:t>”) are duly authorized and, upon issuance in accordance with the terms hereof and the terms of the Warrants, as applicable, shall be duly issued, fully paid and nonassessable, and are free from all taxes, liens and charges with respect to the issue thereof.</w:t>
      </w:r>
    </w:p>
    <w:p>
      <w:pPr>
        <w:spacing w:after="0" w:line="92" w:lineRule="exact"/>
        <w:rPr>
          <w:rFonts w:ascii="Arial" w:cs="Arial" w:eastAsia="Arial" w:hAnsi="Arial"/>
          <w:sz w:val="18"/>
          <w:szCs w:val="18"/>
          <w:color w:val="auto"/>
        </w:rPr>
      </w:pPr>
    </w:p>
    <w:p>
      <w:pPr>
        <w:ind w:left="567" w:hanging="567"/>
        <w:spacing w:after="0" w:line="285" w:lineRule="auto"/>
        <w:tabs>
          <w:tab w:leader="none" w:pos="567"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each of the Transaction Documents by the Company, and the consummation by the Company of the transactions contemplated hereby and thereby will not (i) result in a violation of the Articles of Incorporation or the By-laws (or equivalent constitutive document) of the Company or any of its subsidiaries or (ii) violate or conflict with, or result in a breach of any provision of, or constitute a default (or an event which with notice or lapse of time or both would become a default) under, or give to others any rights of termination, amendment, acceleration or cancellation of, any agreement, indenture or instrument to which the Company or any subsidiary is a party, except for those which would not reasonably be expected to have a Material Adverse Effect, or (iii) result in a material violation of any law, rule, regulation, order, judgment or decree (including U.S. federal and state securities laws and regulations) applicable to the Company or any subsidiary or by which any property or asset of the Company or any subsidiary is bound or affected. Neither the Company nor any subsidiary is in violation of any term of or in default under its Articles of Incorporation or By-laws. Except for those violations or defaults which would not reasonably be expected to have a Material Adverse Effect, neither the Company nor any subsidiary is in violation of any term of or in default under any material contract, agreement, mortgage, indebtedness, indenture, instrument, judgment, decree or order or any statute, rule or regulation applicable to the Company or any subsidiary. The business of the Company and its subsidiaries is not being conducted, and shall not be conducted in violation of any law, ordinance, or regulation of any governmental entity, except for any violation which would not reasonably be expected, individually or in the aggregate, to have a Material Adverse Effect. Except as specifically contemplated by this Agreement and as required under the Securities Act and any applicable state securities laws, neither the Company nor any of its subsidiaries is required to obtain any consent, authorization or order of, or make any filing or registration with, any court or governmental agency in order for it to execute, deliver or perform any of its obligations under or contemplated by this Agreement or the other Transaction Documents in accordance with the terms hereof or thereof. Neither the execution and delivery by the Company of the</w:t>
      </w:r>
    </w:p>
    <w:p>
      <w:pPr>
        <w:spacing w:after="0" w:line="321"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7"/>
          </w:cols>
          <w:pgMar w:left="1153" w:top="274" w:right="239" w:bottom="1440" w:gutter="0" w:footer="0" w:header="0"/>
        </w:sectPr>
      </w:pPr>
    </w:p>
    <w:bookmarkStart w:id="166" w:name="page167"/>
    <w:bookmarkEnd w:id="166"/>
    <w:p>
      <w:pPr>
        <w:ind w:left="567"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Documents, nor the consummation by the Company of the transactions contemplated hereby or thereby, will require any notice, consent or waiver under any contract or instrument to which the Company or any subsidiary is a party or by which the Company or any subsidiary is bound or to which any of their assets is subject. All consents, authorizations, orders, filings and registrations which the Company or any of its subsidiaries is required to obtain pursuant to the preceding two sentences have been or will be obtained or effected on or prior to the Closing. The Company is unaware of any facts or circumstance, which might give rise to any of the foregoing.</w:t>
      </w:r>
    </w:p>
    <w:p>
      <w:pPr>
        <w:spacing w:after="0" w:line="64" w:lineRule="exact"/>
        <w:rPr>
          <w:sz w:val="20"/>
          <w:szCs w:val="20"/>
          <w:color w:val="auto"/>
        </w:rPr>
      </w:pPr>
    </w:p>
    <w:p>
      <w:pPr>
        <w:ind w:left="567" w:right="140" w:hanging="567"/>
        <w:spacing w:after="0" w:line="312" w:lineRule="auto"/>
        <w:tabs>
          <w:tab w:leader="none" w:pos="567"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Absence of Litigation</w:t>
      </w:r>
      <w:r>
        <w:rPr>
          <w:rFonts w:ascii="Arial" w:cs="Arial" w:eastAsia="Arial" w:hAnsi="Arial"/>
          <w:sz w:val="16"/>
          <w:szCs w:val="16"/>
          <w:color w:val="auto"/>
        </w:rPr>
        <w:t>. Except as described in the SEC Reports, there is no action, suit, claim, inquiry, notice of violation, proceeding or investigation before or by any court, public board, governmental or administrative agency, self-regulatory organization or body now pending or, to the knowledge of the Company, threatened, against or affecting the Company or any of its subsidiaries.</w:t>
      </w:r>
    </w:p>
    <w:p>
      <w:pPr>
        <w:spacing w:after="0" w:line="52" w:lineRule="exact"/>
        <w:rPr>
          <w:rFonts w:ascii="Arial" w:cs="Arial" w:eastAsia="Arial" w:hAnsi="Arial"/>
          <w:sz w:val="16"/>
          <w:szCs w:val="16"/>
          <w:color w:val="auto"/>
        </w:rPr>
      </w:pPr>
    </w:p>
    <w:p>
      <w:pPr>
        <w:jc w:val="both"/>
        <w:ind w:left="567" w:right="160" w:hanging="567"/>
        <w:spacing w:after="0" w:line="264" w:lineRule="auto"/>
        <w:tabs>
          <w:tab w:leader="none" w:pos="567"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Subscriber’s Purchase of the Units</w:t>
      </w:r>
      <w:r>
        <w:rPr>
          <w:rFonts w:ascii="Arial" w:cs="Arial" w:eastAsia="Arial" w:hAnsi="Arial"/>
          <w:sz w:val="18"/>
          <w:szCs w:val="18"/>
          <w:color w:val="auto"/>
        </w:rPr>
        <w:t>. The Company acknowledges and agrees that each Subscriber is acting solely in the capacity of an arm’s length purchaser with respect to the Transaction Documents and the transactions contemplated hereby and thereby.</w:t>
      </w:r>
    </w:p>
    <w:p>
      <w:pPr>
        <w:spacing w:after="0" w:line="86" w:lineRule="exact"/>
        <w:rPr>
          <w:rFonts w:ascii="Arial" w:cs="Arial" w:eastAsia="Arial" w:hAnsi="Arial"/>
          <w:sz w:val="18"/>
          <w:szCs w:val="18"/>
          <w:color w:val="auto"/>
        </w:rPr>
      </w:pPr>
    </w:p>
    <w:p>
      <w:pPr>
        <w:ind w:left="567" w:right="20" w:hanging="567"/>
        <w:spacing w:after="0" w:line="264" w:lineRule="auto"/>
        <w:tabs>
          <w:tab w:leader="none" w:pos="567"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of its affiliates, nor, to the knowledge of the Company, any person acting on its or their behalf, has engaged in any form of general solicitation or general advertising (within the meaning of Regulation D) in connection with the offer or sale of the Units.</w:t>
      </w:r>
    </w:p>
    <w:p>
      <w:pPr>
        <w:spacing w:after="0" w:line="86" w:lineRule="exact"/>
        <w:rPr>
          <w:rFonts w:ascii="Arial" w:cs="Arial" w:eastAsia="Arial" w:hAnsi="Arial"/>
          <w:sz w:val="18"/>
          <w:szCs w:val="18"/>
          <w:color w:val="auto"/>
        </w:rPr>
      </w:pPr>
    </w:p>
    <w:p>
      <w:pPr>
        <w:ind w:left="567" w:hanging="567"/>
        <w:spacing w:after="0" w:line="259" w:lineRule="auto"/>
        <w:tabs>
          <w:tab w:leader="none" w:pos="567"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of its affiliates, nor to the knowledge of the Company, any person acting on its or their behalf has, directly or indirectly, made any offers or sales of any security or solicited any offers to buy any security, under circumstances that would require registration of the Units under the Securities Act or cause this offering of the Units to be integrated with prior offerings by the Company for purposes of the Securities Act.</w:t>
      </w:r>
    </w:p>
    <w:p>
      <w:pPr>
        <w:spacing w:after="0" w:line="92" w:lineRule="exact"/>
        <w:rPr>
          <w:rFonts w:ascii="Arial" w:cs="Arial" w:eastAsia="Arial" w:hAnsi="Arial"/>
          <w:sz w:val="18"/>
          <w:szCs w:val="18"/>
          <w:color w:val="auto"/>
        </w:rPr>
      </w:pPr>
    </w:p>
    <w:p>
      <w:pPr>
        <w:ind w:left="567" w:right="20" w:hanging="567"/>
        <w:spacing w:after="0" w:line="259" w:lineRule="auto"/>
        <w:tabs>
          <w:tab w:leader="none" w:pos="567"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Employee Relations</w:t>
      </w:r>
      <w:r>
        <w:rPr>
          <w:rFonts w:ascii="Arial" w:cs="Arial" w:eastAsia="Arial" w:hAnsi="Arial"/>
          <w:sz w:val="18"/>
          <w:szCs w:val="18"/>
          <w:color w:val="auto"/>
        </w:rPr>
        <w:t>. Neither Company nor any of its subsidiaries is involved in any labor dispute nor, to the knowledge of the Company, is any such dispute threatened. Neither Company nor any subsidiary is party to any collective bargaining agreement. The Company’s and/or its subsidiaries’ employees are not members of any union, and the Company believes that its and its subsidiaries’ relationship with their respective employees is good.</w:t>
      </w:r>
    </w:p>
    <w:p>
      <w:pPr>
        <w:spacing w:after="0" w:line="92" w:lineRule="exact"/>
        <w:rPr>
          <w:rFonts w:ascii="Arial" w:cs="Arial" w:eastAsia="Arial" w:hAnsi="Arial"/>
          <w:sz w:val="18"/>
          <w:szCs w:val="18"/>
          <w:color w:val="auto"/>
        </w:rPr>
      </w:pPr>
    </w:p>
    <w:p>
      <w:pPr>
        <w:ind w:left="567" w:right="20" w:hanging="567"/>
        <w:spacing w:after="0" w:line="255" w:lineRule="auto"/>
        <w:tabs>
          <w:tab w:leader="none" w:pos="567"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Except as described in the SEC Reports, the Company and its subsidiaries own or possess sufficient rights to all patents, trademarks, domain names (whether or not registered) and any patentable improvements or copyrightable derivative works thereof, websites and intellectual property rights relating thereto, service marks, trade names, copyrights, licenses and authorizations, and all rights with respect to the foregoing, which are necessary for the conduct of its business as now conducted without any conflict with the rights of others except for such conflicts that would not result in a Material Adverse Effect. Neither Company nor any subsidiary has received any notice of infringement of, or conflict with, the asserted rights of others with respect to any intellectual property that it utilizes.</w:t>
      </w:r>
    </w:p>
    <w:p>
      <w:pPr>
        <w:spacing w:after="0" w:line="122"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7"/>
          </w:cols>
          <w:pgMar w:left="1153" w:top="274" w:right="259" w:bottom="1440" w:gutter="0" w:footer="0" w:header="0"/>
        </w:sectPr>
      </w:pPr>
    </w:p>
    <w:bookmarkStart w:id="167" w:name="page168"/>
    <w:bookmarkEnd w:id="167"/>
    <w:p>
      <w:pPr>
        <w:ind w:left="567" w:hanging="567"/>
        <w:spacing w:after="0"/>
        <w:tabs>
          <w:tab w:leader="none" w:pos="567"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Environmental Laws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7" w:right="20" w:hanging="440"/>
        <w:spacing w:after="0" w:line="285" w:lineRule="auto"/>
        <w:tabs>
          <w:tab w:leader="none" w:pos="100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Company and each subsidiary has complied with all applicable Environmental Laws (as defined below), except for violations of Environmental Laws that, individually or in the aggregate, have not had and would not reasonably be expected to have a Material Adverse Effect. There is no pending or, to the knowledge of the Company, threatened civil or criminal litigation, written notice of violation, formal administrative proceeding, or investigation, inquiry or information request, relating to any Environmental Law involving the Company or any subsidiary, except for litigation, notices of violations, formal administrative proceedings or investigations, inquiries or information requests that, individually or in the aggregate, have not had and would not reasonably be expected to have a Material Adverse Effect. For purposes of this Agreement, “Environmental Law” means any national, state, provincial or local law, statute, rule or regulation or the common law relating to the environment or occupational health and safety, including without limitation any statute, regulation, administrative decision or order pertaining to (i) treatment, storage, disposal, generation and transportation of industrial, toxic or hazardous materials or substances or solid or hazardous waste; (ii) air, water and noise pollution; (iii) groundwater and soil contamination; (iv) the release or threatened release into the environment of industrial, toxic or hazardous materials or substances, or solid or hazardous waste, including without limitation emissions, discharges, injections, spills, escapes or dumping of pollutants, contaminants or chemicals; (v) the protection of wild life, marine life and wetlands, including without limitation all endangered and threatened species; (vi) storage tanks, vessels, containers, abandoned or discarded barrels, and other closed receptacles; (vii) health and safety of employees and other persons; and (viii) manufacturing, processing, using, distributing, treating, storing, disposing, transporting or handling of materials regulated under any law as pollutants, contaminants, toxic or hazardous materials or substances or oil or petroleum products or solid or hazardous waste. As used above, the terms “release” and “environment” shall have the meaning set forth in the Comprehensive Environmental Response, Compensation and Liability Act of 1980, as amended.</w:t>
      </w:r>
    </w:p>
    <w:p>
      <w:pPr>
        <w:spacing w:after="0" w:line="294" w:lineRule="exact"/>
        <w:rPr>
          <w:rFonts w:ascii="Arial" w:cs="Arial" w:eastAsia="Arial" w:hAnsi="Arial"/>
          <w:sz w:val="16"/>
          <w:szCs w:val="16"/>
          <w:color w:val="auto"/>
        </w:rPr>
      </w:pPr>
    </w:p>
    <w:p>
      <w:pPr>
        <w:ind w:left="1007" w:right="660" w:hanging="440"/>
        <w:spacing w:after="0" w:line="308" w:lineRule="auto"/>
        <w:tabs>
          <w:tab w:leader="none" w:pos="1007"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To the knowledge of the Company there is no material environmental liability with respect to any solid or hazardous waste transporter or treatment, storage or disposal facility that has been used by the Company or any subsidiary.</w:t>
      </w:r>
    </w:p>
    <w:p>
      <w:pPr>
        <w:spacing w:after="0" w:line="51" w:lineRule="exact"/>
        <w:rPr>
          <w:rFonts w:ascii="Arial" w:cs="Arial" w:eastAsia="Arial" w:hAnsi="Arial"/>
          <w:sz w:val="17"/>
          <w:szCs w:val="17"/>
          <w:color w:val="auto"/>
        </w:rPr>
      </w:pPr>
    </w:p>
    <w:p>
      <w:pPr>
        <w:ind w:left="1007" w:right="300" w:hanging="440"/>
        <w:spacing w:after="0" w:line="259" w:lineRule="auto"/>
        <w:tabs>
          <w:tab w:leader="none" w:pos="100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Company and its subsidiaries (i) have received all permits, licenses or other approvals required of them under applicable Environmental Laws to conduct their respective businesses except to the extent that the failure to have such permits, licenses or other approvals would not have a Material Adverse Effect and (ii) are in compliance, in all material respects, with all terms and conditions of any such permit, license or approval.</w:t>
      </w:r>
    </w:p>
    <w:p>
      <w:pPr>
        <w:spacing w:after="0" w:line="92" w:lineRule="exact"/>
        <w:rPr>
          <w:rFonts w:ascii="Arial" w:cs="Arial" w:eastAsia="Arial" w:hAnsi="Arial"/>
          <w:sz w:val="18"/>
          <w:szCs w:val="18"/>
          <w:color w:val="auto"/>
        </w:rPr>
      </w:pPr>
    </w:p>
    <w:p>
      <w:pPr>
        <w:ind w:left="567" w:hanging="567"/>
        <w:spacing w:after="0" w:line="255" w:lineRule="auto"/>
        <w:tabs>
          <w:tab w:leader="none" w:pos="567"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Permits; Regulatory Compliance</w:t>
      </w:r>
      <w:r>
        <w:rPr>
          <w:rFonts w:ascii="Arial" w:cs="Arial" w:eastAsia="Arial" w:hAnsi="Arial"/>
          <w:sz w:val="18"/>
          <w:szCs w:val="18"/>
          <w:color w:val="auto"/>
        </w:rPr>
        <w:t>. The Company and its subsidiaries have all authorizations, approvals, clearances, licenses, permits, certificates or exemptions (including manufacturing approvals and authorizations, pricing and reimbursement approvals, labeling approvals, registration notifications or their foreign equivalent) issued by any regulatory authority or governmental agency (collectively, “</w:t>
      </w:r>
      <w:r>
        <w:rPr>
          <w:rFonts w:ascii="Arial" w:cs="Arial" w:eastAsia="Arial" w:hAnsi="Arial"/>
          <w:sz w:val="18"/>
          <w:szCs w:val="18"/>
          <w:i w:val="1"/>
          <w:iCs w:val="1"/>
          <w:u w:val="single" w:color="auto"/>
          <w:color w:val="auto"/>
        </w:rPr>
        <w:t>Permits</w:t>
      </w:r>
      <w:r>
        <w:rPr>
          <w:rFonts w:ascii="Arial" w:cs="Arial" w:eastAsia="Arial" w:hAnsi="Arial"/>
          <w:sz w:val="18"/>
          <w:szCs w:val="18"/>
          <w:color w:val="auto"/>
        </w:rPr>
        <w:t>”) required to conduct their respective businesses as currently conducted except to the extent that the failure to have such Permits would not have a Material Adverse Effect. The conduct of business by the Company complies, and at all times has substantially complied, in all material respects with the Food, Drug and</w:t>
      </w:r>
    </w:p>
    <w:p>
      <w:pPr>
        <w:spacing w:after="0" w:line="126"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7"/>
          </w:cols>
          <w:pgMar w:left="1153" w:top="274" w:right="239" w:bottom="1440" w:gutter="0" w:footer="0" w:header="0"/>
        </w:sectPr>
      </w:pPr>
    </w:p>
    <w:bookmarkStart w:id="168" w:name="page169"/>
    <w:bookmarkEnd w:id="168"/>
    <w:p>
      <w:pPr>
        <w:ind w:left="567"/>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Cosmetic Act of 1938, as amended and similar federal, state and foreign laws applicable to the evaluation, testing, manufacturing, distribution, advertising and marketing of each of the Company’s products, in whatever stage of development or commercialization except to the extent that the failure to so comply would not have a Material Adverse Effect. To the knowledge of the Company, as of the date hereof, neither the U.S. Food and Drug Administration (the “</w:t>
      </w:r>
      <w:r>
        <w:rPr>
          <w:rFonts w:ascii="Arial" w:cs="Arial" w:eastAsia="Arial" w:hAnsi="Arial"/>
          <w:sz w:val="16"/>
          <w:szCs w:val="16"/>
          <w:i w:val="1"/>
          <w:iCs w:val="1"/>
          <w:u w:val="single" w:color="auto"/>
          <w:color w:val="auto"/>
        </w:rPr>
        <w:t>FDA</w:t>
      </w:r>
      <w:r>
        <w:rPr>
          <w:rFonts w:ascii="Arial" w:cs="Arial" w:eastAsia="Arial" w:hAnsi="Arial"/>
          <w:sz w:val="16"/>
          <w:szCs w:val="16"/>
          <w:color w:val="auto"/>
        </w:rPr>
        <w:t>”) nor any comparable regulatory authority or governmental agency is considering limiting, suspending or revoking any such Permit or changing the classification or labeling of the products of the Company or any of its subsidiaries. To the knowledge of the Company, there is no false or misleading information or material omission in any product application or other submission by the Company or any of its subsidiaries to the FDA or any comparable regulatory authority or governmental agency. The Company or its subsidiaries have fulfilled and performed in all material respects their obligations under each Permit, and, as of the date hereof, to the knowledge of the Company, no event has occurred or condition or state of facts exists which would constitute a breach or default or would cause revocation or termination of any such Permit except to the extent that such breach, default, revocation or termination would not have a Material Adverse Effect. To the knowledge of the Company, any third party that is a manufacturer or contractor for the Company or any of its subsidiaries is in compliance in all material respects with all Permits insofar as they pertain to the manufacture of product components or products for the Company. The Company and its subsidiaries have not received any notice of adverse finding, warning letter, notice of violation, notice of action or any other notice from the FDA or other governmental agency alleging or asserting noncompliance with any applicable laws or Permits. The Company and its subsidiaries have made all notifications, submissions and reports required by applicable federal, state and foreign laws, except to the extent that the failure to make such notifications, submission or reports would not have a Material Adverse Effect.</w:t>
      </w:r>
    </w:p>
    <w:p>
      <w:pPr>
        <w:spacing w:after="0" w:line="81" w:lineRule="exact"/>
        <w:rPr>
          <w:sz w:val="20"/>
          <w:szCs w:val="20"/>
          <w:color w:val="auto"/>
        </w:rPr>
      </w:pPr>
    </w:p>
    <w:p>
      <w:pPr>
        <w:ind w:left="567" w:right="320" w:hanging="567"/>
        <w:spacing w:after="0" w:line="255" w:lineRule="auto"/>
        <w:tabs>
          <w:tab w:leader="none" w:pos="567"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Neither the Company nor any of its subsidiaries owns any real property. Except as described in the SEC Reports, each of the Company and its subsidiaries has good and marketable title to all of its personal property and assets, free and clear of any material restriction, mortgage, deed of trust, pledge, lien, security interest or other charge, claim or encumbrance which would have a Material Adverse Effect. Except as described in the SEC Reports, with respect to properties and assets it leases, each of the Company and its subsidiaries is in material compliance with such leases and holds a valid leasehold interest free of any liens, claims or encumbrances which would have a Material Adverse Effect.</w:t>
      </w:r>
    </w:p>
    <w:p>
      <w:pPr>
        <w:spacing w:after="0" w:line="98" w:lineRule="exact"/>
        <w:rPr>
          <w:rFonts w:ascii="Arial" w:cs="Arial" w:eastAsia="Arial" w:hAnsi="Arial"/>
          <w:sz w:val="18"/>
          <w:szCs w:val="18"/>
          <w:color w:val="auto"/>
        </w:rPr>
      </w:pPr>
    </w:p>
    <w:p>
      <w:pPr>
        <w:ind w:left="567" w:right="200" w:hanging="567"/>
        <w:spacing w:after="0" w:line="277" w:lineRule="auto"/>
        <w:tabs>
          <w:tab w:leader="none" w:pos="567"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No Material Breaches</w:t>
      </w:r>
      <w:r>
        <w:rPr>
          <w:rFonts w:ascii="Arial" w:cs="Arial" w:eastAsia="Arial" w:hAnsi="Arial"/>
          <w:sz w:val="18"/>
          <w:szCs w:val="18"/>
          <w:color w:val="auto"/>
        </w:rPr>
        <w:t>. Neither Company nor any subsidiary is in breach of any contract or agreement which breach, in the judgment of the Company’s officers, has had, or could reasonably be expected to have, a Material Adverse Effect.</w:t>
      </w:r>
    </w:p>
    <w:p>
      <w:pPr>
        <w:spacing w:after="0" w:line="75" w:lineRule="exact"/>
        <w:rPr>
          <w:rFonts w:ascii="Arial" w:cs="Arial" w:eastAsia="Arial" w:hAnsi="Arial"/>
          <w:sz w:val="18"/>
          <w:szCs w:val="18"/>
          <w:color w:val="auto"/>
        </w:rPr>
      </w:pPr>
    </w:p>
    <w:p>
      <w:pPr>
        <w:ind w:left="567" w:right="200" w:hanging="567"/>
        <w:spacing w:after="0" w:line="272" w:lineRule="auto"/>
        <w:tabs>
          <w:tab w:leader="none" w:pos="567"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Certain Transactions</w:t>
      </w:r>
      <w:r>
        <w:rPr>
          <w:rFonts w:ascii="Arial" w:cs="Arial" w:eastAsia="Arial" w:hAnsi="Arial"/>
          <w:sz w:val="17"/>
          <w:szCs w:val="17"/>
          <w:color w:val="auto"/>
        </w:rPr>
        <w:t>. Except for arm’s length transactions pursuant to which the Company or any subsidiary makes payments in the ordinary course of business upon terms no less favorable than it could obtain from third parties, none of the officers, directors, or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spacing w:after="0" w:line="110"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7"/>
          </w:cols>
          <w:pgMar w:left="1153" w:top="274" w:right="239" w:bottom="1440" w:gutter="0" w:footer="0" w:header="0"/>
        </w:sectPr>
      </w:pPr>
    </w:p>
    <w:bookmarkStart w:id="169" w:name="page170"/>
    <w:bookmarkEnd w:id="169"/>
    <w:p>
      <w:pPr>
        <w:ind w:left="1472" w:hanging="567"/>
        <w:spacing w:after="0" w:line="264" w:lineRule="auto"/>
        <w:tabs>
          <w:tab w:leader="none" w:pos="1472"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of First Refusal</w:t>
      </w:r>
      <w:r>
        <w:rPr>
          <w:rFonts w:ascii="Arial" w:cs="Arial" w:eastAsia="Arial" w:hAnsi="Arial"/>
          <w:sz w:val="18"/>
          <w:szCs w:val="18"/>
          <w:color w:val="auto"/>
        </w:rPr>
        <w:t>. The Company is not obligated to offer the securities offered hereunder on a right of first refusal basis or otherwise to any third parties including, but not limited to, current or former stockholders of the Company, underwriters, brokers, agents or other third parties.</w:t>
      </w:r>
    </w:p>
    <w:p>
      <w:pPr>
        <w:spacing w:after="0" w:line="86" w:lineRule="exact"/>
        <w:rPr>
          <w:rFonts w:ascii="Arial" w:cs="Arial" w:eastAsia="Arial" w:hAnsi="Arial"/>
          <w:sz w:val="18"/>
          <w:szCs w:val="18"/>
          <w:color w:val="auto"/>
        </w:rPr>
      </w:pPr>
    </w:p>
    <w:p>
      <w:pPr>
        <w:jc w:val="both"/>
        <w:ind w:left="1472" w:right="20" w:hanging="567"/>
        <w:spacing w:after="0" w:line="264" w:lineRule="auto"/>
        <w:tabs>
          <w:tab w:leader="none" w:pos="1472"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has insurance policies of the type and in amounts customarily carried by organizations conducting businesses or owning assets similar to those of the Company and its subsidiaries. There is no material claim pending under any such policy as to which coverage has been questioned, denied or disputed by the underwriter of such policy.</w:t>
      </w:r>
    </w:p>
    <w:p>
      <w:pPr>
        <w:spacing w:after="0" w:line="86" w:lineRule="exact"/>
        <w:rPr>
          <w:rFonts w:ascii="Arial" w:cs="Arial" w:eastAsia="Arial" w:hAnsi="Arial"/>
          <w:sz w:val="18"/>
          <w:szCs w:val="18"/>
          <w:color w:val="auto"/>
        </w:rPr>
      </w:pPr>
    </w:p>
    <w:p>
      <w:pPr>
        <w:ind w:left="1472" w:right="160" w:hanging="567"/>
        <w:spacing w:after="0" w:line="257" w:lineRule="auto"/>
        <w:tabs>
          <w:tab w:leader="none" w:pos="1472"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SEC Reports</w:t>
      </w:r>
      <w:r>
        <w:rPr>
          <w:rFonts w:ascii="Arial" w:cs="Arial" w:eastAsia="Arial" w:hAnsi="Arial"/>
          <w:sz w:val="18"/>
          <w:szCs w:val="18"/>
          <w:color w:val="auto"/>
        </w:rPr>
        <w:t>. The Company has filed all reports, schedules, forms, statements and other documents required to be filed by it with the Securities and Exchange Commission (the “</w:t>
      </w:r>
      <w:r>
        <w:rPr>
          <w:rFonts w:ascii="Arial" w:cs="Arial" w:eastAsia="Arial" w:hAnsi="Arial"/>
          <w:sz w:val="18"/>
          <w:szCs w:val="18"/>
          <w:i w:val="1"/>
          <w:iCs w:val="1"/>
          <w:u w:val="single" w:color="auto"/>
          <w:color w:val="auto"/>
        </w:rPr>
        <w:t>SEC</w:t>
      </w:r>
      <w:r>
        <w:rPr>
          <w:rFonts w:ascii="Arial" w:cs="Arial" w:eastAsia="Arial" w:hAnsi="Arial"/>
          <w:sz w:val="18"/>
          <w:szCs w:val="18"/>
          <w:color w:val="auto"/>
        </w:rPr>
        <w:t>”) under the Securities Exchange Act of 1934, as amended (the “</w:t>
      </w:r>
      <w:r>
        <w:rPr>
          <w:rFonts w:ascii="Arial" w:cs="Arial" w:eastAsia="Arial" w:hAnsi="Arial"/>
          <w:sz w:val="18"/>
          <w:szCs w:val="18"/>
          <w:i w:val="1"/>
          <w:iCs w:val="1"/>
          <w:u w:val="single" w:color="auto"/>
          <w:color w:val="auto"/>
        </w:rPr>
        <w:t>Exchange Act</w:t>
      </w:r>
      <w:r>
        <w:rPr>
          <w:rFonts w:ascii="Arial" w:cs="Arial" w:eastAsia="Arial" w:hAnsi="Arial"/>
          <w:sz w:val="18"/>
          <w:szCs w:val="18"/>
          <w:color w:val="auto"/>
        </w:rPr>
        <w:t>”), including pursuant to Section 13(a) or 15(d) thereof (or that it would be required to be filed by it if it were subject to the reporting requirements of such sections), for the two years preceding the date hereof (or such shorter period since the Company was first required by law or regulation to file such material).</w:t>
      </w:r>
    </w:p>
    <w:p>
      <w:pPr>
        <w:spacing w:after="0" w:line="93" w:lineRule="exact"/>
        <w:rPr>
          <w:rFonts w:ascii="Arial" w:cs="Arial" w:eastAsia="Arial" w:hAnsi="Arial"/>
          <w:sz w:val="18"/>
          <w:szCs w:val="18"/>
          <w:color w:val="auto"/>
        </w:rPr>
      </w:pPr>
    </w:p>
    <w:p>
      <w:pPr>
        <w:ind w:left="1472" w:right="80" w:hanging="567"/>
        <w:spacing w:after="0" w:line="264" w:lineRule="auto"/>
        <w:tabs>
          <w:tab w:leader="none" w:pos="1472"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The Company does not have any liability or obligation to pay any fees or commissions to any broker, finder or agent with respect to the transactions contemplated by this Agreement, except for the payment of fees to any Placement Agent or brokers that have been or may be retained by the Company as described in Section 3 above.</w:t>
      </w:r>
    </w:p>
    <w:p>
      <w:pPr>
        <w:spacing w:after="0" w:line="86" w:lineRule="exact"/>
        <w:rPr>
          <w:rFonts w:ascii="Arial" w:cs="Arial" w:eastAsia="Arial" w:hAnsi="Arial"/>
          <w:sz w:val="18"/>
          <w:szCs w:val="18"/>
          <w:color w:val="auto"/>
        </w:rPr>
      </w:pPr>
    </w:p>
    <w:p>
      <w:pPr>
        <w:ind w:left="1472" w:right="240" w:hanging="567"/>
        <w:spacing w:after="0" w:line="342" w:lineRule="auto"/>
        <w:tabs>
          <w:tab w:leader="none" w:pos="1472"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Disclosure Materials</w:t>
      </w:r>
      <w:r>
        <w:rPr>
          <w:rFonts w:ascii="Arial" w:cs="Arial" w:eastAsia="Arial" w:hAnsi="Arial"/>
          <w:sz w:val="16"/>
          <w:szCs w:val="16"/>
          <w:color w:val="auto"/>
        </w:rPr>
        <w:t>. The Disclosure Materials taken as a whole do not contain an untrue statement of a material fact or omit to state a material fact necessary to make the statements therein, in the light of the circumstances under which they were made, not misleading.</w:t>
      </w:r>
    </w:p>
    <w:p>
      <w:pPr>
        <w:spacing w:after="0" w:line="29" w:lineRule="exact"/>
        <w:rPr>
          <w:rFonts w:ascii="Arial" w:cs="Arial" w:eastAsia="Arial" w:hAnsi="Arial"/>
          <w:sz w:val="16"/>
          <w:szCs w:val="16"/>
          <w:color w:val="auto"/>
        </w:rPr>
      </w:pPr>
    </w:p>
    <w:p>
      <w:pPr>
        <w:ind w:left="1472" w:right="100" w:hanging="567"/>
        <w:spacing w:after="0" w:line="259" w:lineRule="auto"/>
        <w:tabs>
          <w:tab w:leader="none" w:pos="1472"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The Company acknowledges that the Subscriber is relying on the representations and warranties made by the Company hereunder and that such representations and warranties are a material inducement to the Subscriber purchasing the Units. The Company further acknowledges that without such representations and warranties of the Company made hereunder, the Subscribers would not enter into this Agreement.</w:t>
      </w:r>
    </w:p>
    <w:p>
      <w:pPr>
        <w:spacing w:after="0" w:line="88" w:lineRule="exact"/>
        <w:rPr>
          <w:rFonts w:ascii="Arial" w:cs="Arial" w:eastAsia="Arial" w:hAnsi="Arial"/>
          <w:sz w:val="18"/>
          <w:szCs w:val="18"/>
          <w:color w:val="auto"/>
        </w:rPr>
      </w:pPr>
    </w:p>
    <w:p>
      <w:pPr>
        <w:ind w:left="452" w:right="480" w:hanging="452"/>
        <w:spacing w:after="0" w:line="282" w:lineRule="auto"/>
        <w:tabs>
          <w:tab w:leader="none" w:pos="452"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Warranties and Agreements of the Subscriber. </w:t>
      </w:r>
      <w:r>
        <w:rPr>
          <w:rFonts w:ascii="Arial" w:cs="Arial" w:eastAsia="Arial" w:hAnsi="Arial"/>
          <w:sz w:val="18"/>
          <w:szCs w:val="18"/>
          <w:color w:val="auto"/>
        </w:rPr>
        <w:t>The Subscriber represents and warrants to, and agrees with,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71" w:lineRule="exact"/>
        <w:rPr>
          <w:rFonts w:ascii="Arial" w:cs="Arial" w:eastAsia="Arial" w:hAnsi="Arial"/>
          <w:sz w:val="18"/>
          <w:szCs w:val="18"/>
          <w:color w:val="auto"/>
        </w:rPr>
      </w:pPr>
    </w:p>
    <w:p>
      <w:pPr>
        <w:ind w:left="1472" w:right="80" w:hanging="567"/>
        <w:spacing w:after="0" w:line="259" w:lineRule="auto"/>
        <w:tabs>
          <w:tab w:leader="none" w:pos="147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Subscriber has the knowledge and experience in financial and business matters necessary to evaluate the merits and risks of its prospective investment in the Company, and has carefully reviewed and understands the risks of, and other considerations relating to, the purchase of Units and the tax consequences of the investment, and have the ability to bear the economic risks of the investment. The Subscriber can afford the loss of its entire investment.</w:t>
      </w:r>
    </w:p>
    <w:p>
      <w:pPr>
        <w:spacing w:after="0" w:line="92" w:lineRule="exact"/>
        <w:rPr>
          <w:rFonts w:ascii="Arial" w:cs="Arial" w:eastAsia="Arial" w:hAnsi="Arial"/>
          <w:sz w:val="18"/>
          <w:szCs w:val="18"/>
          <w:color w:val="auto"/>
        </w:rPr>
      </w:pPr>
    </w:p>
    <w:p>
      <w:pPr>
        <w:ind w:left="1472" w:right="20" w:hanging="567"/>
        <w:spacing w:after="0" w:line="293" w:lineRule="auto"/>
        <w:tabs>
          <w:tab w:leader="none" w:pos="1472"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Subscriber is acquiring the Units for investment for its own account and not with the view to, or for resale in connection with, any distribution thereof. The Subscriber understands and acknowledges that the Units and the underlying Common Stock have not been registered under the Securities Act or any state securities laws, by reason of a specific exemption from the registration provisions of the Securities Act and applicable state securities laws, which depends upon, among other things, the bona fide nature of the investment intent as expressed herein. The Subscriber further represents that it does not have any contract, undertaking, agreement or arrangement with any person to sell, transfer or grant participation to any third person with respect to any of the Units. The Subscriber understands</w:t>
      </w:r>
    </w:p>
    <w:p>
      <w:pPr>
        <w:spacing w:after="0" w:line="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74" w:right="239" w:bottom="1440" w:gutter="0" w:footer="0" w:header="0"/>
        </w:sectPr>
      </w:pPr>
    </w:p>
    <w:bookmarkStart w:id="170" w:name="page171"/>
    <w:bookmarkEnd w:id="170"/>
    <w:p>
      <w:pPr>
        <w:jc w:val="both"/>
        <w:ind w:left="567"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acknowledges that the offering of the Units pursuant to this Agreement will not be registered under the Securities Act nor under the state securities laws on the ground that the sale provided for in this Agreement and the issuance of securities hereunder is exempt from the registration requirements of the Securities Act and any applicable state securities laws.</w:t>
      </w:r>
    </w:p>
    <w:p>
      <w:pPr>
        <w:spacing w:after="0" w:line="71" w:lineRule="exact"/>
        <w:rPr>
          <w:sz w:val="20"/>
          <w:szCs w:val="20"/>
          <w:color w:val="auto"/>
        </w:rPr>
      </w:pPr>
    </w:p>
    <w:p>
      <w:pPr>
        <w:ind w:left="567" w:right="20" w:hanging="567"/>
        <w:spacing w:after="0" w:line="279" w:lineRule="auto"/>
        <w:tabs>
          <w:tab w:leader="none" w:pos="56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Subscriber is an “accredited investor” as defined in Rule 501 of Regulation D as promulgated by the SEC under the Securities Act, for the reason(s) specified on the </w:t>
      </w:r>
      <w:r>
        <w:rPr>
          <w:rFonts w:ascii="Arial" w:cs="Arial" w:eastAsia="Arial" w:hAnsi="Arial"/>
          <w:sz w:val="17"/>
          <w:szCs w:val="17"/>
          <w:b w:val="1"/>
          <w:bCs w:val="1"/>
          <w:u w:val="single" w:color="auto"/>
          <w:color w:val="auto"/>
        </w:rPr>
        <w:t>Accredited Investor Certification</w:t>
      </w:r>
      <w:r>
        <w:rPr>
          <w:rFonts w:ascii="Arial" w:cs="Arial" w:eastAsia="Arial" w:hAnsi="Arial"/>
          <w:sz w:val="17"/>
          <w:szCs w:val="17"/>
          <w:color w:val="auto"/>
        </w:rPr>
        <w:t xml:space="preserve"> attached hereto as completed by Subscriber, and Subscriber shall submit to the Company such further assurances of such status as may be reasonably requested by the Company. The Subscriber resides in the jurisdiction set forth on the Subscriber’s Omnibus Signature Page affixed hereto.</w:t>
      </w:r>
    </w:p>
    <w:p>
      <w:pPr>
        <w:spacing w:after="0" w:line="76" w:lineRule="exact"/>
        <w:rPr>
          <w:rFonts w:ascii="Arial" w:cs="Arial" w:eastAsia="Arial" w:hAnsi="Arial"/>
          <w:sz w:val="17"/>
          <w:szCs w:val="17"/>
          <w:color w:val="auto"/>
        </w:rPr>
      </w:pPr>
    </w:p>
    <w:p>
      <w:pPr>
        <w:ind w:left="567" w:right="40" w:hanging="567"/>
        <w:spacing w:after="0" w:line="285" w:lineRule="auto"/>
        <w:tabs>
          <w:tab w:leader="none" w:pos="56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Subscriber (i) if a natural person, represents that he or she is the greater of (A) 21 years of age or (B) the age of legal majority in his or her jurisdiction of residence, and has full power and authority to execute and deliver this Agreement and all other related agreements or certificates and to carry out the provisions hereof and thereof; (ii) if a corporation, partnership, or limited liability company or partnership, or association, joint stock company, trust, unincorporated organization or other entity, represents that such entity was not formed for the specific purpose of acquiring the Units, such entity is duly organized, validly existing and in good standing under the laws of the state or jurisdiction of its organization, the consummation of the transactions contemplated hereby is authorized by, and will not result in a violation of state law or its charter or other organizational documents, such entity has full power and authority to execute and deliver this Agreement and all other related agreements or certificates and to carry out the provisions hereof and thereof and to purchase and hold the Units, the execution and delivery of this Agreement has been duly authorized by all necessary action, this Agreement has been duly executed and delivered on behalf of such entity and is a legal, valid and binding obligation of such entity; or (iii) if executing this Agreement in a representative or fiduciary capacity, represents that it has full power and authority to execute and deliver this Agreement in such capacity and on behalf of the subscribing individual, ward, partnership, trust, estate, corporation, or limited liability company or partnership, or other entity for whom the Subscriber is executing this Agreement, and such individual, partnership, ward, trust, estate, corporation, or limited liability company or partnership, or other entity has full right and power to perform pursuant to this Agreement and make an investment in the Company, and represents that this Agreement constitutes a legal, valid and binding obligation of such entity. The execution and delivery of this Agreement will not violate or be in conflict with any order, judgment, injunction, agreement or controlling document to which the Subscriber is a party or by which it is bound.</w:t>
      </w:r>
    </w:p>
    <w:p>
      <w:pPr>
        <w:spacing w:after="0" w:line="80" w:lineRule="exact"/>
        <w:rPr>
          <w:rFonts w:ascii="Arial" w:cs="Arial" w:eastAsia="Arial" w:hAnsi="Arial"/>
          <w:sz w:val="16"/>
          <w:szCs w:val="16"/>
          <w:color w:val="auto"/>
        </w:rPr>
      </w:pPr>
    </w:p>
    <w:p>
      <w:pPr>
        <w:ind w:left="567" w:hanging="567"/>
        <w:spacing w:after="0" w:line="271" w:lineRule="auto"/>
        <w:tabs>
          <w:tab w:leader="none" w:pos="567"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Subscriber understands that the Units are being offered and sold to it in reliance on specific exemptions from the registration requirements of United States federal and state securities laws and that the Company is relying in part upon the truth and accuracy of, and such Subscriber’s compliance with, the representations, warranties, agreements, acknowledgments and understandings of such Subscriber set forth herein in order to determine the availability of such exemptions and the eligibility of such Subscriber to acquire such securities. The Subscriber further acknowledges and understands that the Company is relying on the representations and warranties made by the Subscriber hereunder and that such representations and warranties are a material inducement to the Company to sell the Units to the Subscriber. The Subscriber further acknowledges that without such representations and warranties of the Subscriber made hereunder, the Company would not enter into this Agreement with the Subscriber.</w:t>
      </w:r>
    </w:p>
    <w:p>
      <w:pPr>
        <w:spacing w:after="0" w:line="111"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87"/>
          </w:cols>
          <w:pgMar w:left="1153" w:top="274" w:right="259" w:bottom="1440" w:gutter="0" w:footer="0" w:header="0"/>
        </w:sectPr>
      </w:pPr>
    </w:p>
    <w:bookmarkStart w:id="171" w:name="page172"/>
    <w:bookmarkEnd w:id="171"/>
    <w:p>
      <w:pPr>
        <w:ind w:left="567" w:hanging="567"/>
        <w:spacing w:after="0" w:line="264" w:lineRule="auto"/>
        <w:tabs>
          <w:tab w:leader="none" w:pos="567"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Subscriber understands that no public market now exists, and there may never be a public market for, the Investor Warrants, that only a limited public market for the Company’s Common Stock exists and that there can be no assurance that an active public market for the Common Stock will exist or continue to exist.</w:t>
      </w:r>
    </w:p>
    <w:p>
      <w:pPr>
        <w:spacing w:after="0" w:line="86" w:lineRule="exact"/>
        <w:rPr>
          <w:rFonts w:ascii="Arial" w:cs="Arial" w:eastAsia="Arial" w:hAnsi="Arial"/>
          <w:sz w:val="18"/>
          <w:szCs w:val="18"/>
          <w:color w:val="auto"/>
        </w:rPr>
      </w:pPr>
    </w:p>
    <w:p>
      <w:pPr>
        <w:ind w:left="567" w:right="20" w:hanging="567"/>
        <w:spacing w:after="0" w:line="268" w:lineRule="auto"/>
        <w:tabs>
          <w:tab w:leader="none" w:pos="56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Subscriber has received and reviewed information about the Company, including the Disclosure Materials, and has had an opportunity to discuss the Company’s business, management and financial affairs with the Company’s management. The Subscriber understands that such discussions, as well as any Disclosure Materials provided by the Company, were intended to describe the aspects of the Company’s business and prospects which the Company believes to be material, but were not necessarily a thorough or exhaustive description, and except as expressly set forth in this Agreement, the Company makes no representation or warranty with respect to the completeness of such information and makes no representation or warranty of any kind with respect to any information provided by any entity other than the Company. Some of such information may include projections as to the future performance of the Company, which projections may not be realized, may be based on assumptions which may not be correct and may be subject to numerous factors beyond the Company’s control. Additionally, the Subscriber understands and represents that it is purchasing the Units notwithstanding the fact that the Company may disclose in the future certain material information the Subscriber has not received, including (without limitation) financial statements of the Company for the current or prior fiscal periods, and any subsequent period financial statements that will be filed with the SEC, that it is not relying on any such information in connection with its purchase of the Units and that it waives any right of action with respect to the nondisclosure to it prior to its purchase of the Units of any such information. Each Subscriber has sought such accounting, legal and tax advice as it has considered necessary to make an informed investment decision with respect to its acquisition of the Units.</w:t>
      </w:r>
    </w:p>
    <w:p>
      <w:pPr>
        <w:spacing w:after="0" w:line="88" w:lineRule="exact"/>
        <w:rPr>
          <w:rFonts w:ascii="Arial" w:cs="Arial" w:eastAsia="Arial" w:hAnsi="Arial"/>
          <w:sz w:val="17"/>
          <w:szCs w:val="17"/>
          <w:color w:val="auto"/>
        </w:rPr>
      </w:pPr>
    </w:p>
    <w:p>
      <w:pPr>
        <w:ind w:left="567" w:right="60" w:hanging="567"/>
        <w:spacing w:after="0" w:line="272" w:lineRule="auto"/>
        <w:tabs>
          <w:tab w:leader="none" w:pos="56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Subscriber acknowledges that none of the Company or any Placement Agent or brokers that may be retained by the Company in connection with the Offering is acting as a financial advisor or fiduciary of the Subscriber (or in any similar capacity) with respect to the Transaction Documents and the transactions contemplated hereby and thereby, and no investment advice has been given by the Company or any Placement Agent or brokers that may be retained by the Company or any of its representatives or agents in connection with the Transaction Documents and the transactions contemplated hereby and thereby. The Subscriber further represents to the Company that the Subscriber’s decision to enter into the Transaction Documents has been based solely on the independent evaluation by the Subscriber and its representatives.</w:t>
      </w:r>
    </w:p>
    <w:p>
      <w:pPr>
        <w:spacing w:after="0" w:line="83" w:lineRule="exact"/>
        <w:rPr>
          <w:rFonts w:ascii="Arial" w:cs="Arial" w:eastAsia="Arial" w:hAnsi="Arial"/>
          <w:sz w:val="17"/>
          <w:szCs w:val="17"/>
          <w:color w:val="auto"/>
        </w:rPr>
      </w:pPr>
    </w:p>
    <w:p>
      <w:pPr>
        <w:ind w:left="567" w:hanging="567"/>
        <w:spacing w:after="0" w:line="255" w:lineRule="auto"/>
        <w:tabs>
          <w:tab w:leader="none" w:pos="56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 of the Closing, all actions on the part of Subscriber, and its officers, directors and partners, if applicable, necessary for the authorization, execution and delivery of this Agreement and the Registration Rights Agreement and the performance of all obligations of the Subscriber hereunder and thereunder shall have been taken, and this Agreement and the Registration Rights Agreement, assuming due execution by the parties hereto and thereto, constitute valid and legally binding obligations of the Subscriber, enforceable in accordance with their respective terms, subject to: (i) judicial principles limiting the availability of specific performance, injunctive relief, and other equitable remedies and (ii) bankruptcy, insolvency, reorganization, moratorium or other similar laws now or hereafter in effect generally relating to or affecting creditors’ rights.</w:t>
      </w:r>
    </w:p>
    <w:p>
      <w:pPr>
        <w:spacing w:after="0" w:line="122"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7"/>
          </w:cols>
          <w:pgMar w:left="1153" w:top="274" w:right="239" w:bottom="1440" w:gutter="0" w:footer="0" w:header="0"/>
        </w:sectPr>
      </w:pPr>
    </w:p>
    <w:bookmarkStart w:id="172" w:name="page173"/>
    <w:bookmarkEnd w:id="172"/>
    <w:p>
      <w:pPr>
        <w:ind w:left="567" w:right="20" w:hanging="567"/>
        <w:spacing w:after="0" w:line="285" w:lineRule="auto"/>
        <w:tabs>
          <w:tab w:leader="none" w:pos="567" w:val="left"/>
        </w:tabs>
        <w:numPr>
          <w:ilvl w:val="0"/>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Subscriber represents that neither it nor, to its knowledge, any person or entity controlling, controlled by or under common control with it, nor any person having a beneficial interest in it, nor any person on whose behalf the Subscriber is acting: (i) is a person listed in the Annex to Executive Order No. 13224 (2001) issued by the President of the United States (Executive Order Blocking Property and Prohibiting Transactions with Persons Who Commit, Threaten to Commit, or Support Terrorism); (ii) is named on the List of Specially Designated Nationals and Blocked Persons maintained by the U.S. Office of Foreign Assets Control; (iii) is a non-U.S. shell bank or is providing banking services indirectly to a non-U.S. shell bank; (iv) is a senior non-U.S. political figure or an immediate family member or close associate of such figure; or (v) is otherwise prohibited from investing in the Company pursuant to applicable U.S. anti-money laundering, anti-terrorist and asset control laws, regulations, rules or orders (categories (i) through (v), each a “</w:t>
      </w:r>
      <w:r>
        <w:rPr>
          <w:rFonts w:ascii="Arial" w:cs="Arial" w:eastAsia="Arial" w:hAnsi="Arial"/>
          <w:sz w:val="16"/>
          <w:szCs w:val="16"/>
          <w:i w:val="1"/>
          <w:iCs w:val="1"/>
          <w:u w:val="single" w:color="auto"/>
          <w:color w:val="auto"/>
        </w:rPr>
        <w:t>Prohibited Subscriber</w:t>
      </w:r>
      <w:r>
        <w:rPr>
          <w:rFonts w:ascii="Arial" w:cs="Arial" w:eastAsia="Arial" w:hAnsi="Arial"/>
          <w:sz w:val="16"/>
          <w:szCs w:val="16"/>
          <w:color w:val="auto"/>
        </w:rPr>
        <w:t>”). The Subscriber agrees to provide the Company, promptly upon request, all information that the Company reasonably deems necessary or appropriate to comply with applicable U.S. anti-money laundering, anti-terrorist and asset control laws, regulations, rules and orders. The Subscriber consents to the disclosure to U.S. regulators and law enforcement authorities by the Company and its affiliates and agents of such information about the Subscriber as the Company reasonably deems necessary or appropriate to comply with applicable U.S. antimony laundering, anti-terrorist and asset control laws, regulations, rules and orders. If the Subscriber is a financial institution that is subject to the USA Patriot Act, the Subscriber represents that it has met all of its obligations under the USA Patriot Act. The Subscriber acknowledges that if, following its investment in the Company, the Company reasonably believes that the Subscriber is a Prohibited Subscriber or is otherwise engaged in suspicious activity or refuses to promptly provide information that the Company requests, the Company has the right or may be obligated to prohibit additional investments, segregate the assets constituting the investment in accordance with applicable regulations or immediately require the Subscriber to transfer the Units. The Subscriber further acknowledges that the Subscriber will have no claim against the Company or any of its affiliates or agents for any form of damages as a result of any of the foregoing actions.</w:t>
      </w:r>
    </w:p>
    <w:p>
      <w:pPr>
        <w:spacing w:after="0" w:line="278" w:lineRule="exact"/>
        <w:rPr>
          <w:rFonts w:ascii="Arial" w:cs="Arial" w:eastAsia="Arial" w:hAnsi="Arial"/>
          <w:sz w:val="16"/>
          <w:szCs w:val="16"/>
          <w:color w:val="auto"/>
        </w:rPr>
      </w:pPr>
    </w:p>
    <w:p>
      <w:pPr>
        <w:ind w:left="587"/>
        <w:spacing w:after="0" w:line="255" w:lineRule="auto"/>
        <w:rPr>
          <w:rFonts w:ascii="Arial" w:cs="Arial" w:eastAsia="Arial" w:hAnsi="Arial"/>
          <w:sz w:val="16"/>
          <w:szCs w:val="16"/>
          <w:color w:val="auto"/>
        </w:rPr>
      </w:pPr>
      <w:r>
        <w:rPr>
          <w:rFonts w:ascii="Arial" w:cs="Arial" w:eastAsia="Arial" w:hAnsi="Arial"/>
          <w:sz w:val="18"/>
          <w:szCs w:val="18"/>
          <w:color w:val="auto"/>
        </w:rPr>
        <w:t>If the Subscriber is affiliated with a non-U.S. banking institution (a “</w:t>
      </w:r>
      <w:r>
        <w:rPr>
          <w:rFonts w:ascii="Arial" w:cs="Arial" w:eastAsia="Arial" w:hAnsi="Arial"/>
          <w:sz w:val="18"/>
          <w:szCs w:val="18"/>
          <w:i w:val="1"/>
          <w:iCs w:val="1"/>
          <w:u w:val="single" w:color="auto"/>
          <w:color w:val="auto"/>
        </w:rPr>
        <w:t>Foreign Bank</w:t>
      </w:r>
      <w:r>
        <w:rPr>
          <w:rFonts w:ascii="Arial" w:cs="Arial" w:eastAsia="Arial" w:hAnsi="Arial"/>
          <w:sz w:val="18"/>
          <w:szCs w:val="18"/>
          <w:color w:val="auto"/>
        </w:rPr>
        <w:t>”), or if the Subscriber receives deposits from, makes payments on behalf of, or handles other financial transactions related to a Foreign Bank, the Subscriber represents and warrants to the Company that: (1) the Foreign Bank has a fixed address, other than solely an electronic address, in a country in which the Foreign Bank is authorized to conduct banking activities; (2) the Foreign Bank maintains operating records related to its banking activities; (3) the Foreign Bank is subject to inspection by the banking authority that licensed the Foreign Bank to conduct banking activities; and (4) the Foreign Bank does not provide banking services to any other Foreign Bank that does not have a physical presence in any country and that is not a regulated affiliate.</w:t>
      </w:r>
    </w:p>
    <w:p>
      <w:pPr>
        <w:spacing w:after="0" w:line="94" w:lineRule="exact"/>
        <w:rPr>
          <w:rFonts w:ascii="Arial" w:cs="Arial" w:eastAsia="Arial" w:hAnsi="Arial"/>
          <w:sz w:val="16"/>
          <w:szCs w:val="16"/>
          <w:color w:val="auto"/>
        </w:rPr>
      </w:pPr>
    </w:p>
    <w:p>
      <w:pPr>
        <w:jc w:val="both"/>
        <w:ind w:left="567" w:right="220" w:hanging="567"/>
        <w:spacing w:after="0" w:line="259" w:lineRule="auto"/>
        <w:tabs>
          <w:tab w:leader="none" w:pos="56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Subscriber or its duly authorized representative realizes that because of the inherently speculative nature of businesses of the kind conducted and contemplated by the Company, the Company’s financial results may be expected to fluctuate from month to month and from period to period and will, generally, involve a high degree of financial and market risk that could result in substantial or, at times, even total losses for investors in securities of the Company.</w:t>
      </w:r>
    </w:p>
    <w:p>
      <w:pPr>
        <w:spacing w:after="0" w:line="92" w:lineRule="exact"/>
        <w:rPr>
          <w:rFonts w:ascii="Arial" w:cs="Arial" w:eastAsia="Arial" w:hAnsi="Arial"/>
          <w:sz w:val="18"/>
          <w:szCs w:val="18"/>
          <w:color w:val="auto"/>
        </w:rPr>
      </w:pPr>
    </w:p>
    <w:p>
      <w:pPr>
        <w:ind w:left="567" w:right="80" w:hanging="567"/>
        <w:spacing w:after="0" w:line="264" w:lineRule="auto"/>
        <w:tabs>
          <w:tab w:leader="none" w:pos="56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Subscriber has adequate means of providing for its current and anticipated financial needs and contingencies, is able to bear the economic risk for an indefinite period of time and has no need for liquidity of the investment in the Units and could afford complete loss of such investment.</w:t>
      </w:r>
    </w:p>
    <w:p>
      <w:pPr>
        <w:spacing w:after="0" w:line="114"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7"/>
          </w:cols>
          <w:pgMar w:left="1153" w:top="274" w:right="259" w:bottom="1440" w:gutter="0" w:footer="0" w:header="0"/>
        </w:sectPr>
      </w:pPr>
    </w:p>
    <w:bookmarkStart w:id="173" w:name="page174"/>
    <w:bookmarkEnd w:id="173"/>
    <w:p>
      <w:pPr>
        <w:ind w:left="1472" w:right="60" w:hanging="567"/>
        <w:spacing w:after="0" w:line="259" w:lineRule="auto"/>
        <w:tabs>
          <w:tab w:leader="none" w:pos="1472" w:val="left"/>
        </w:tabs>
        <w:numPr>
          <w:ilvl w:val="1"/>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Subscriber is not subscribing for Units as a result of or subsequent to any advertisement, article, notice or other communication, published in any newspaper, magazine or similar media or broadcast over television, radio, or the internet, or presented at any seminar or meeting, or any solicitation of a subscription by a person not previously known to the Subscriber in connection with investments in securities generally.</w:t>
      </w:r>
    </w:p>
    <w:p>
      <w:pPr>
        <w:spacing w:after="0" w:line="92" w:lineRule="exact"/>
        <w:rPr>
          <w:rFonts w:ascii="Arial" w:cs="Arial" w:eastAsia="Arial" w:hAnsi="Arial"/>
          <w:sz w:val="18"/>
          <w:szCs w:val="18"/>
          <w:color w:val="auto"/>
        </w:rPr>
      </w:pPr>
    </w:p>
    <w:p>
      <w:pPr>
        <w:ind w:left="1472" w:right="100" w:hanging="567"/>
        <w:spacing w:after="0" w:line="308" w:lineRule="auto"/>
        <w:tabs>
          <w:tab w:leader="none" w:pos="1472"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Subscriber acknowledges that no U.S. federal or state agency or any other government or governmental agency has passed upon the Units or made any finding or determination as to the fairness, suitability or wisdom of any investments therein.</w:t>
      </w:r>
    </w:p>
    <w:p>
      <w:pPr>
        <w:spacing w:after="0" w:line="51" w:lineRule="exact"/>
        <w:rPr>
          <w:rFonts w:ascii="Arial" w:cs="Arial" w:eastAsia="Arial" w:hAnsi="Arial"/>
          <w:sz w:val="17"/>
          <w:szCs w:val="17"/>
          <w:color w:val="auto"/>
        </w:rPr>
      </w:pPr>
    </w:p>
    <w:p>
      <w:pPr>
        <w:ind w:left="1472" w:right="40" w:hanging="567"/>
        <w:spacing w:after="0" w:line="277" w:lineRule="auto"/>
        <w:tabs>
          <w:tab w:leader="none" w:pos="147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Subscriber agrees to be bound by all of the terms and conditions of the Registration Rights Agreement and to perform all obligations thereby imposed upon it.</w:t>
      </w:r>
    </w:p>
    <w:p>
      <w:pPr>
        <w:spacing w:after="0" w:line="75" w:lineRule="exact"/>
        <w:rPr>
          <w:rFonts w:ascii="Arial" w:cs="Arial" w:eastAsia="Arial" w:hAnsi="Arial"/>
          <w:sz w:val="18"/>
          <w:szCs w:val="18"/>
          <w:color w:val="auto"/>
        </w:rPr>
      </w:pPr>
    </w:p>
    <w:p>
      <w:pPr>
        <w:ind w:left="1472" w:right="80" w:hanging="567"/>
        <w:spacing w:after="0" w:line="264" w:lineRule="auto"/>
        <w:tabs>
          <w:tab w:leader="none" w:pos="147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All of the information that the Subscriber has heretofore furnished or which is set forth herein is true, correct and complete as of the date of this Agreement, and, if there should be any material change in such information prior to the admission of the undersigned to the Company, the Subscriber will immediately furnish revised or corrected information to the Company.</w:t>
      </w:r>
    </w:p>
    <w:p>
      <w:pPr>
        <w:spacing w:after="0" w:line="82" w:lineRule="exact"/>
        <w:rPr>
          <w:rFonts w:ascii="Arial" w:cs="Arial" w:eastAsia="Arial" w:hAnsi="Arial"/>
          <w:sz w:val="18"/>
          <w:szCs w:val="18"/>
          <w:color w:val="auto"/>
        </w:rPr>
      </w:pPr>
    </w:p>
    <w:p>
      <w:pPr>
        <w:ind w:left="1472" w:hanging="567"/>
        <w:spacing w:after="0" w:line="255" w:lineRule="auto"/>
        <w:tabs>
          <w:tab w:leader="none" w:pos="1472" w:val="left"/>
        </w:tabs>
        <w:numPr>
          <w:ilvl w:val="1"/>
          <w:numId w:val="194"/>
        </w:numPr>
        <w:rPr>
          <w:rFonts w:ascii="Arial" w:cs="Arial" w:eastAsia="Arial" w:hAnsi="Arial"/>
          <w:sz w:val="18"/>
          <w:szCs w:val="18"/>
          <w:color w:val="auto"/>
        </w:rPr>
      </w:pPr>
      <w:r>
        <w:rPr>
          <w:rFonts w:ascii="Arial" w:cs="Arial" w:eastAsia="Arial" w:hAnsi="Arial"/>
          <w:sz w:val="18"/>
          <w:szCs w:val="18"/>
          <w:b w:val="1"/>
          <w:bCs w:val="1"/>
          <w:color w:val="auto"/>
        </w:rPr>
        <w:t xml:space="preserve">(For ERISA plans only) </w:t>
      </w:r>
      <w:r>
        <w:rPr>
          <w:rFonts w:ascii="Arial" w:cs="Arial" w:eastAsia="Arial" w:hAnsi="Arial"/>
          <w:sz w:val="18"/>
          <w:szCs w:val="18"/>
          <w:color w:val="auto"/>
        </w:rPr>
        <w:t>The fiduciary of the Employee Retirement Income Security Act of 1974 (“</w:t>
      </w:r>
      <w:r>
        <w:rPr>
          <w:rFonts w:ascii="Arial" w:cs="Arial" w:eastAsia="Arial" w:hAnsi="Arial"/>
          <w:sz w:val="18"/>
          <w:szCs w:val="18"/>
          <w:i w:val="1"/>
          <w:iCs w:val="1"/>
          <w:u w:val="single" w:color="auto"/>
          <w:color w:val="auto"/>
        </w:rPr>
        <w:t>ERISA</w:t>
      </w:r>
      <w:r>
        <w:rPr>
          <w:rFonts w:ascii="Arial" w:cs="Arial" w:eastAsia="Arial" w:hAnsi="Arial"/>
          <w:sz w:val="18"/>
          <w:szCs w:val="18"/>
          <w:color w:val="auto"/>
        </w:rPr>
        <w:t>”) plan (the “</w:t>
      </w:r>
      <w:r>
        <w:rPr>
          <w:rFonts w:ascii="Arial" w:cs="Arial" w:eastAsia="Arial" w:hAnsi="Arial"/>
          <w:sz w:val="18"/>
          <w:szCs w:val="18"/>
          <w:i w:val="1"/>
          <w:iCs w:val="1"/>
          <w:u w:val="single" w:color="auto"/>
          <w:color w:val="auto"/>
        </w:rPr>
        <w:t>Plan</w:t>
      </w:r>
      <w:r>
        <w:rPr>
          <w:rFonts w:ascii="Arial" w:cs="Arial" w:eastAsia="Arial" w:hAnsi="Arial"/>
          <w:sz w:val="18"/>
          <w:szCs w:val="18"/>
          <w:color w:val="auto"/>
        </w:rPr>
        <w:t>”)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fiduciary has been informed of and understands the Company’s investment objectives, policies and strategies, and that the decision to invest “plan assets” (as such term is defined in ERISA) in the Company is consistent with the provisions of ERISA that require diversification of plan assets and impose other fiduciary responsibilities. The Subscriber fiduciary or Plan (a) is responsible for the decision to invest in the Company; (b) is independent of the Company or any of its affiliates; (c) is qualified to make such investment decision; and (d) in making such decision, the Subscriber fiduciary or Plan has not relied primarily on any advice or recommendation of the Company or any of its affiliates.</w:t>
      </w:r>
    </w:p>
    <w:p>
      <w:pPr>
        <w:spacing w:after="0" w:line="94" w:lineRule="exact"/>
        <w:rPr>
          <w:rFonts w:ascii="Arial" w:cs="Arial" w:eastAsia="Arial" w:hAnsi="Arial"/>
          <w:sz w:val="18"/>
          <w:szCs w:val="18"/>
          <w:color w:val="auto"/>
        </w:rPr>
      </w:pPr>
    </w:p>
    <w:p>
      <w:pPr>
        <w:ind w:left="452" w:hanging="452"/>
        <w:spacing w:after="0"/>
        <w:tabs>
          <w:tab w:leader="none" w:pos="452"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The Subscriber acknowledges and agrees as follows:</w:t>
      </w:r>
    </w:p>
    <w:p>
      <w:pPr>
        <w:spacing w:after="0" w:line="134" w:lineRule="exact"/>
        <w:rPr>
          <w:rFonts w:ascii="Arial" w:cs="Arial" w:eastAsia="Arial" w:hAnsi="Arial"/>
          <w:sz w:val="18"/>
          <w:szCs w:val="18"/>
          <w:color w:val="auto"/>
        </w:rPr>
      </w:pPr>
    </w:p>
    <w:p>
      <w:pPr>
        <w:ind w:left="1472" w:right="100" w:hanging="567"/>
        <w:spacing w:after="0" w:line="259" w:lineRule="auto"/>
        <w:tabs>
          <w:tab w:leader="none" w:pos="147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Units have not been registered for sale under the Securities Act, in reliance on the private offering exemption in Section 4(a)(2) thereof; other than as expressly provide in the Registration Rights Agreement, the Company does not currently intend to register Common Stock under the Securities Act at any time in the future; and the undersigned will not immediately be entitled to the benefits of Rule 144 with respect to the Common Stock.</w:t>
      </w:r>
    </w:p>
    <w:p>
      <w:pPr>
        <w:spacing w:after="0" w:line="92" w:lineRule="exact"/>
        <w:rPr>
          <w:rFonts w:ascii="Arial" w:cs="Arial" w:eastAsia="Arial" w:hAnsi="Arial"/>
          <w:sz w:val="18"/>
          <w:szCs w:val="18"/>
          <w:color w:val="auto"/>
        </w:rPr>
      </w:pPr>
    </w:p>
    <w:p>
      <w:pPr>
        <w:ind w:left="1472" w:right="460" w:hanging="567"/>
        <w:spacing w:after="0" w:line="264" w:lineRule="auto"/>
        <w:tabs>
          <w:tab w:leader="none" w:pos="147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Subscriber understands that there are substantial restrictions on the transferability of the Common Stock that the certificates representing the Common Stock shall bear a restrictive legend in substantially the following form (and a stop-transfer order may be placed against transfer of such certificates or other instruments):</w:t>
      </w:r>
    </w:p>
    <w:p>
      <w:pPr>
        <w:spacing w:after="0" w:line="73" w:lineRule="exact"/>
        <w:rPr>
          <w:rFonts w:ascii="Arial" w:cs="Arial" w:eastAsia="Arial" w:hAnsi="Arial"/>
          <w:sz w:val="18"/>
          <w:szCs w:val="18"/>
          <w:color w:val="auto"/>
        </w:rPr>
      </w:pPr>
    </w:p>
    <w:p>
      <w:pPr>
        <w:ind w:left="1492" w:right="20"/>
        <w:spacing w:after="0" w:line="259" w:lineRule="auto"/>
        <w:rPr>
          <w:rFonts w:ascii="Arial" w:cs="Arial" w:eastAsia="Arial" w:hAnsi="Arial"/>
          <w:sz w:val="18"/>
          <w:szCs w:val="18"/>
          <w:color w:val="auto"/>
        </w:rPr>
      </w:pPr>
      <w:r>
        <w:rPr>
          <w:rFonts w:ascii="Arial" w:cs="Arial" w:eastAsia="Arial" w:hAnsi="Arial"/>
          <w:sz w:val="18"/>
          <w:szCs w:val="18"/>
          <w:color w:val="auto"/>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UNLESS (1) A REGISTRATION</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174" w:name="page175"/>
    <w:bookmarkEnd w:id="174"/>
    <w:p>
      <w:pPr>
        <w:ind w:left="587"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WITH RESPECT THERETO IS EFFECTIVE UNDER THE SECURITIES ACT AND ANY APPLICABLE STATE SECURITIES LAWS, OR (2) AN EXEMPTION FROM SUCH REGISTRATION EXISTS AND THE COMPANY RECEIVES AN OPINION OF COUNSEL TO THE HOLDER OF SUCH SECURITIES, WHICH COUNSEL AND OPINION ARE SATISFACTORY TO THE COMPANY, THAT SUCH SECURITIES MAY BE OFFERED, SOLD, PLEDGED, ASSIGNED OR TRANSFERRED IN THE MANNER CONTEMPLATED WITHOUT AN EFFECTIVE REGISTRATION STATEMENT UNDER THE SECURITIES ACT OR APPLICABLE STATE SECURITIES LAWS. HEDGING TRANSACTIONS INVOLVING THESE SECURITIES MAY NOT BE CONDUCTED UNLESS IN COMPLIANCE WITH THE SECURITIES ACT.</w:t>
      </w:r>
    </w:p>
    <w:p>
      <w:pPr>
        <w:spacing w:after="0" w:line="70" w:lineRule="exact"/>
        <w:rPr>
          <w:sz w:val="20"/>
          <w:szCs w:val="20"/>
          <w:color w:val="auto"/>
        </w:rPr>
      </w:pPr>
    </w:p>
    <w:p>
      <w:pPr>
        <w:ind w:left="587" w:right="100"/>
        <w:spacing w:after="0" w:line="291" w:lineRule="auto"/>
        <w:rPr>
          <w:sz w:val="20"/>
          <w:szCs w:val="20"/>
          <w:color w:val="auto"/>
        </w:rPr>
      </w:pPr>
      <w:r>
        <w:rPr>
          <w:rFonts w:ascii="Arial" w:cs="Arial" w:eastAsia="Arial" w:hAnsi="Arial"/>
          <w:sz w:val="16"/>
          <w:szCs w:val="16"/>
          <w:color w:val="auto"/>
        </w:rPr>
        <w:t>The legend set forth above shall be removed and the Company shall issue a certificate without such legend to the holder of the Common Stock upon which it is stamped, if (a) such Common Stock is sold pursuant to a registration statement under the Securities Act, or</w:t>
      </w:r>
    </w:p>
    <w:p>
      <w:pPr>
        <w:ind w:left="587" w:right="60" w:hanging="8"/>
        <w:spacing w:after="0" w:line="255" w:lineRule="auto"/>
        <w:tabs>
          <w:tab w:leader="none" w:pos="842" w:val="left"/>
        </w:tabs>
        <w:numPr>
          <w:ilvl w:val="2"/>
          <w:numId w:val="196"/>
        </w:numPr>
        <w:rPr>
          <w:rFonts w:ascii="Arial" w:cs="Arial" w:eastAsia="Arial" w:hAnsi="Arial"/>
          <w:sz w:val="18"/>
          <w:szCs w:val="18"/>
          <w:color w:val="auto"/>
        </w:rPr>
      </w:pPr>
      <w:r>
        <w:rPr>
          <w:rFonts w:ascii="Arial" w:cs="Arial" w:eastAsia="Arial" w:hAnsi="Arial"/>
          <w:sz w:val="18"/>
          <w:szCs w:val="18"/>
          <w:color w:val="auto"/>
        </w:rPr>
        <w:t>such holder delivers to the Company an opinion of counsel, reasonably acceptable to the Company, that a disposition of the Common Stock is being made pursuant to an exemption from such registration and that the Common Stock, after such transfer, shall no longer be “restricted securities” within the meaning of Rule 144.</w:t>
      </w:r>
    </w:p>
    <w:p>
      <w:pPr>
        <w:spacing w:after="0" w:line="95" w:lineRule="exact"/>
        <w:rPr>
          <w:rFonts w:ascii="Arial" w:cs="Arial" w:eastAsia="Arial" w:hAnsi="Arial"/>
          <w:sz w:val="18"/>
          <w:szCs w:val="18"/>
          <w:color w:val="auto"/>
        </w:rPr>
      </w:pPr>
    </w:p>
    <w:p>
      <w:pPr>
        <w:ind w:left="567" w:hanging="567"/>
        <w:spacing w:after="0"/>
        <w:tabs>
          <w:tab w:leader="none" w:pos="56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Certificates evidencing the Shares and Warrant Shares shall not contain any legend (including the legend set forth in Section 6(b) hereof),</w:t>
      </w:r>
    </w:p>
    <w:p>
      <w:pPr>
        <w:spacing w:after="0" w:line="46" w:lineRule="exact"/>
        <w:rPr>
          <w:rFonts w:ascii="Arial" w:cs="Arial" w:eastAsia="Arial" w:hAnsi="Arial"/>
          <w:sz w:val="16"/>
          <w:szCs w:val="16"/>
          <w:color w:val="auto"/>
        </w:rPr>
      </w:pPr>
    </w:p>
    <w:p>
      <w:pPr>
        <w:ind w:left="567"/>
        <w:spacing w:after="0" w:line="283" w:lineRule="auto"/>
        <w:tabs>
          <w:tab w:leader="none" w:pos="78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while a registration statement (including the Registration Statement) covering the resale of such security is effective under the Securities Act, (ii) following any sale of such Shares or Warrant Shares pursuant to Rule 144, (iii) if such Shares or Warrant Shares are eligible for sale under Rule 144, without the requirement for the Company to be in compliance with the current public information required under Rule 144 as to such Shares and Warrant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promptly after the Effective Date if required by the transfer agent to effect the removal of the legend hereunder.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Section 6(c), it will, no later than three Trading Days (as defined in the Registration Rights Agreement) following the delivery by a Subscriber to the Company or the transfer agent of a certificate representing Shares or Warrant Shares, as the case may be, issued with a restrictive legend (such third Trading Day, the “Legend Removal Date”), deliver or cause to be delivered to such Subscriber a certificate representing such shares that is free from all restrictive and other legends. The Company may not make any notation on its records or give instructions to the transfer agent that enlarge the restrictions on transfer set forth in this Section 6. Certificates for Securities subject to legend removal hereunder shall be transmitted by the transfer agent to the Subscriber by crediting the account of the Subscriber’s prime broker with the Depository Trust Company System as directed by such Subscriber. “Effective Date” means the earliest of the date that (a) the initial Registration</w:t>
      </w:r>
    </w:p>
    <w:p>
      <w:pPr>
        <w:spacing w:after="0" w:line="116"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87"/>
          </w:cols>
          <w:pgMar w:left="1153" w:top="274" w:right="259" w:bottom="1440" w:gutter="0" w:footer="0" w:header="0"/>
        </w:sectPr>
      </w:pPr>
    </w:p>
    <w:bookmarkStart w:id="175" w:name="page176"/>
    <w:bookmarkEnd w:id="175"/>
    <w:p>
      <w:pPr>
        <w:ind w:left="567"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has been declared effective by the Commission, (b) all of the Shares and Warrant Shares have been sold pursuant to Rule 144 or may be sold pursuant to Rule 144 without the requirement for the Company to be in compliance with the current public information required under Rule 144 and without volume or manner-of-sale restrictions or (c) following the one year anniversary of the Closing Date provided that a holder of Shares or Warrant Shares is not an Affiliate of the Company, all of the Shares and Warrant Shares may be sold pursuant to an exemption from registration under Section 4(1) of the Securities Act without volume or manner-of-sale restrictions and Company’s legal counsel has delivered to such Subscriber a standing written unqualified opinion that resales may then be made by such Subscriber of the Shares and Warrant Shares pursuant to such exemption which opinion shall be in form and substance reasonably acceptable to such Subscriber.\</w:t>
      </w:r>
    </w:p>
    <w:p>
      <w:pPr>
        <w:spacing w:after="0" w:line="84" w:lineRule="exact"/>
        <w:rPr>
          <w:sz w:val="20"/>
          <w:szCs w:val="20"/>
          <w:color w:val="auto"/>
        </w:rPr>
      </w:pPr>
    </w:p>
    <w:p>
      <w:pPr>
        <w:ind w:left="567" w:hanging="567"/>
        <w:spacing w:after="0" w:line="286" w:lineRule="auto"/>
        <w:tabs>
          <w:tab w:leader="none" w:pos="56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 addition to such subscriber’s other available remedies, the Company shall pay to a Subscriber, in cash, the greater of (i) as partial liquidated damages and not as a penalty, for each $1,000 of Shares (based on the Weighted Average Price of the Shares on the date such Securities are submitted to the transfer agent) delivered for removal of the restrictive legend and subject to Section 6(c), $5 per Trading Day (increasing to $10 per Trading Day five (5) Trading Days after such damages have begun to accrue) for each Trading Day after the Legend Removal Date until such certificate is delivered without a legend and (ii) if the Company fails to (i) issue and deliver (or cause to be delivered) to a Subscriber by the Legend Removal Date a certificate representing the Securities so delivered to the Company by such Subscriber that is free from all restrictive and other legends or (ii) if after the Legend Removal Date such Subscriber purchases (in an open market transaction or otherwise) Shares to deliver in satisfaction of a sale by such Subscriber of all or any portion of the number of Shares, or a sale of a number of Shares equal to all or any portion of the number of Shares that such Subscriber anticipated receiving from the Company without any restrictive legend, then, an amount equal to the excess of such Subscriber’s total purchase price (including brokerage commissions and other out-of-pocket expenses, if any) for the Shares so purchased (including brokerage commissions and other out-of-pocket expenses, if any) (the “</w:t>
      </w:r>
      <w:r>
        <w:rPr>
          <w:rFonts w:ascii="Arial" w:cs="Arial" w:eastAsia="Arial" w:hAnsi="Arial"/>
          <w:sz w:val="16"/>
          <w:szCs w:val="16"/>
          <w:i w:val="1"/>
          <w:iCs w:val="1"/>
          <w:u w:val="single" w:color="auto"/>
          <w:color w:val="auto"/>
        </w:rPr>
        <w:t>Buy-In Price</w:t>
      </w:r>
      <w:r>
        <w:rPr>
          <w:rFonts w:ascii="Arial" w:cs="Arial" w:eastAsia="Arial" w:hAnsi="Arial"/>
          <w:sz w:val="16"/>
          <w:szCs w:val="16"/>
          <w:color w:val="auto"/>
        </w:rPr>
        <w:t>”) over the product of (A) such number of Shares that the Company was required to deliver to such Subscriber by the Legend Removal Date multiplied by (B) the lowest closing sale price of the Shares on any Trading Day during the period commencing on the date of the delivery by such Subscriber to the Company of the applicable Shares (as the case may be) and ending on the date of such delivery and payment under this clause (d).</w:t>
      </w:r>
    </w:p>
    <w:p>
      <w:pPr>
        <w:spacing w:after="0" w:line="70" w:lineRule="exact"/>
        <w:rPr>
          <w:rFonts w:ascii="Arial" w:cs="Arial" w:eastAsia="Arial" w:hAnsi="Arial"/>
          <w:sz w:val="16"/>
          <w:szCs w:val="16"/>
          <w:color w:val="auto"/>
        </w:rPr>
      </w:pPr>
    </w:p>
    <w:p>
      <w:pPr>
        <w:ind w:left="567" w:right="20" w:hanging="567"/>
        <w:spacing w:after="0" w:line="289" w:lineRule="auto"/>
        <w:tabs>
          <w:tab w:leader="none" w:pos="567"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Each Subscriber understands that until July 15, 2002, the Company was a “shell company” as defined in Rule 12b-2 under the Exchange Act. Pursuant to Rule 144(i), securities issued by a current or former shell company (that is, the Common Stock) that otherwise meet the holding period and other requirements of Rule 144 nevertheless cannot be sold in reliance on Rule 144 until </w:t>
      </w:r>
      <w:r>
        <w:rPr>
          <w:rFonts w:ascii="Arial" w:cs="Arial" w:eastAsia="Arial" w:hAnsi="Arial"/>
          <w:sz w:val="16"/>
          <w:szCs w:val="16"/>
          <w:b w:val="1"/>
          <w:bCs w:val="1"/>
          <w:u w:val="single" w:color="auto"/>
          <w:color w:val="auto"/>
        </w:rPr>
        <w:t>one year</w:t>
      </w:r>
      <w:r>
        <w:rPr>
          <w:rFonts w:ascii="Arial" w:cs="Arial" w:eastAsia="Arial" w:hAnsi="Arial"/>
          <w:sz w:val="16"/>
          <w:szCs w:val="16"/>
          <w:b w:val="1"/>
          <w:bCs w:val="1"/>
          <w:color w:val="auto"/>
        </w:rPr>
        <w:t xml:space="preserve"> after the Company (a) is no longer a shell company; and (b) has filed current “Form 10 information“ (as defined in Rule 144(i)) with the SEC reflecting that it is no longer a shell company, and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at the time of a proposed sale pursuant to Rule 144, the Company is subject to the reporting requirements of Section 13 or 15(d) of the Exchange Act and has filed all reports and other materials required to be filed by Section 13 or 15(d) of the Exchange Act, as applicable, during the preceding 12 months (or for such shorter period that the issuer was required to file such reports and materials), other than Form 8-K reports. </w:t>
      </w:r>
      <w:r>
        <w:rPr>
          <w:rFonts w:ascii="Arial" w:cs="Arial" w:eastAsia="Arial" w:hAnsi="Arial"/>
          <w:sz w:val="16"/>
          <w:szCs w:val="16"/>
          <w:b w:val="1"/>
          <w:bCs w:val="1"/>
          <w:u w:val="single" w:color="auto"/>
          <w:color w:val="auto"/>
        </w:rPr>
        <w:t>As a result, the restrictive legends on certificates for the Common Stock cannot be removed except in connection with an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actual sale meeting the foregoing requirements or pursuant to an effective registration statement</w:t>
      </w:r>
      <w:r>
        <w:rPr>
          <w:rFonts w:ascii="Arial" w:cs="Arial" w:eastAsia="Arial" w:hAnsi="Arial"/>
          <w:sz w:val="16"/>
          <w:szCs w:val="16"/>
          <w:b w:val="1"/>
          <w:bCs w:val="1"/>
          <w:color w:val="auto"/>
        </w:rPr>
        <w:t>.</w:t>
      </w:r>
    </w:p>
    <w:p>
      <w:pPr>
        <w:spacing w:after="0" w:line="9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07"/>
          </w:cols>
          <w:pgMar w:left="1153" w:top="274" w:right="239" w:bottom="1440" w:gutter="0" w:footer="0" w:header="0"/>
        </w:sectPr>
      </w:pPr>
    </w:p>
    <w:bookmarkStart w:id="176" w:name="page177"/>
    <w:bookmarkEnd w:id="176"/>
    <w:p>
      <w:pPr>
        <w:ind w:left="452" w:hanging="452"/>
        <w:spacing w:after="0"/>
        <w:tabs>
          <w:tab w:leader="none" w:pos="452"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p>
    <w:p>
      <w:pPr>
        <w:spacing w:after="0" w:line="134" w:lineRule="exact"/>
        <w:rPr>
          <w:rFonts w:ascii="Arial" w:cs="Arial" w:eastAsia="Arial" w:hAnsi="Arial"/>
          <w:sz w:val="18"/>
          <w:szCs w:val="18"/>
          <w:color w:val="auto"/>
        </w:rPr>
      </w:pPr>
    </w:p>
    <w:p>
      <w:pPr>
        <w:ind w:left="1472" w:hanging="567"/>
        <w:spacing w:after="0" w:line="273" w:lineRule="auto"/>
        <w:tabs>
          <w:tab w:leader="none" w:pos="1472" w:val="left"/>
        </w:tabs>
        <w:numPr>
          <w:ilvl w:val="1"/>
          <w:numId w:val="199"/>
        </w:numPr>
        <w:rPr>
          <w:rFonts w:ascii="Arial" w:cs="Arial" w:eastAsia="Arial" w:hAnsi="Arial"/>
          <w:sz w:val="17"/>
          <w:szCs w:val="17"/>
          <w:color w:val="auto"/>
        </w:rPr>
      </w:pPr>
      <w:r>
        <w:rPr>
          <w:rFonts w:ascii="Arial" w:cs="Arial" w:eastAsia="Arial" w:hAnsi="Arial"/>
          <w:sz w:val="17"/>
          <w:szCs w:val="17"/>
          <w:color w:val="auto"/>
        </w:rPr>
        <w:t>The Company agrees to indemnify and hold harmless the Subscriber from and against all losses, liabilities, claims, damages, costs, fees and expenses whatsoever (including, but not limited to, any and all expenses incurred in investigating, preparing or defending against any litigation commenced or threatened) based upon or arising out of the Company’s actual or alleged false acknowledgment, representation or warranty, or misrepresentation or omission to state a material fact, or breach by the Company of any covenant or agreement made by the Company, contained herein or in any other any other Disclosure Materials. The liability of the Company under this paragraph shall not exceed the total Purchase Price paid by the Subscriber hereunder.</w:t>
      </w:r>
    </w:p>
    <w:p>
      <w:pPr>
        <w:spacing w:after="0" w:line="83" w:lineRule="exact"/>
        <w:rPr>
          <w:rFonts w:ascii="Arial" w:cs="Arial" w:eastAsia="Arial" w:hAnsi="Arial"/>
          <w:sz w:val="17"/>
          <w:szCs w:val="17"/>
          <w:color w:val="auto"/>
        </w:rPr>
      </w:pPr>
    </w:p>
    <w:p>
      <w:pPr>
        <w:ind w:left="1472" w:hanging="567"/>
        <w:spacing w:after="0" w:line="284" w:lineRule="auto"/>
        <w:tabs>
          <w:tab w:leader="none" w:pos="147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omission so to notify the indemnifying party will not relieve it from any liability which it may have to any indemnified party otherwise than under this Section 7. In case any such action is brought against any indemnified party, and it notifies the indemnifying party of the commencement thereof, the indemnifying party will be entitled to participate therein, and to the extent that it may elect by written notice delivered to the indemnified party promptly after receiving the aforesaid notice from such indemnified party, to assume the defense thereof, with counsel satisfactory to such indemnified party; provided, however, if the defendants in any such action include both the indemnified party and the indemnifying party and either (i) the indemnifying party or parties and the indemnified party or parties mutually agree or (ii) representation of both the indemnifying party or parties and the indemnified party or parties by the same counsel is inappropriate under applicable standards of professional conduct due to actual or potential differing interests between them,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so to assume the defense of such action and approval by the indemnified party of counsel, the indemnifying party will not be liable to such indemnified party under this Section 7 for any legal or other expenses subsequently incurred by such indemnified party in connection with the defense thereof unless (i) the indemnified party shall have employed counsel in connection with the assumption of legal defenses in accordance with the proviso to the next preceding sentence (it being understood, however, that the indemnifying party shall not be liable for the expenses of more than one separate counsel in such circumstance), (ii) the indemnifying party shall not have employed counsel satisfactory to the indemnified party to represent the indemnified party within a reasonable time after notice of commencement of the action or (iii) the indemnifying party has authorized the employment of counsel for the indemnified party at the expense of the indemnifying party.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or (ii) be liable for any settlement of any such action effected without its written consent (which consent shall not be unreasonably withheld), but if settled with its written consent or if there be a final judgment of the plaintiff in any such action, the indemnifying party agrees to indemnify and hold harmless any indemnified party from and against any loss or liability by reason of such settlement or judgment.</w:t>
      </w:r>
    </w:p>
    <w:p>
      <w:pPr>
        <w:spacing w:after="0" w:line="3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70" w:right="259" w:bottom="1440" w:gutter="0" w:footer="0" w:header="0"/>
        </w:sectPr>
      </w:pPr>
    </w:p>
    <w:bookmarkStart w:id="177" w:name="page178"/>
    <w:bookmarkEnd w:id="177"/>
    <w:p>
      <w:pPr>
        <w:ind w:left="452" w:right="20" w:hanging="452"/>
        <w:spacing w:after="0" w:line="273" w:lineRule="auto"/>
        <w:tabs>
          <w:tab w:leader="none" w:pos="452"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Revocability; Binding Effect. </w:t>
      </w:r>
      <w:r>
        <w:rPr>
          <w:rFonts w:ascii="Arial" w:cs="Arial" w:eastAsia="Arial" w:hAnsi="Arial"/>
          <w:sz w:val="17"/>
          <w:szCs w:val="17"/>
          <w:color w:val="auto"/>
        </w:rPr>
        <w:t>The subscription hereunder may be revoked prior to the Closing thereon, provided that written notice of revocation is</w:t>
      </w:r>
      <w:r>
        <w:rPr>
          <w:rFonts w:ascii="Arial" w:cs="Arial" w:eastAsia="Arial" w:hAnsi="Arial"/>
          <w:sz w:val="17"/>
          <w:szCs w:val="17"/>
          <w:b w:val="1"/>
          <w:bCs w:val="1"/>
          <w:color w:val="auto"/>
        </w:rPr>
        <w:t xml:space="preserve"> </w:t>
      </w:r>
      <w:r>
        <w:rPr>
          <w:rFonts w:ascii="Arial" w:cs="Arial" w:eastAsia="Arial" w:hAnsi="Arial"/>
          <w:sz w:val="17"/>
          <w:szCs w:val="17"/>
          <w:color w:val="auto"/>
        </w:rPr>
        <w:t>sent and is received by the Company or the Placement Agent at least three business days prior to the Closing on such subscription. The Subscriber hereby acknowledges and agrees that this Agreement shall survive the death or disability of the Subscriber and shall be binding upon and inure to the benefit of the parties and their heirs, executors, administrators, successors, legal representatives and permitted assigns. If the Subscriber is more than one person, the obligations of the Subscriber hereunder shall be joint and several and the agreements, representations, warranties and acknowledgments herein shall be deemed to be made by and be binding upon each such person and such person’s heirs, executors, administrators, successors, legal representatives and permitted assigns.</w:t>
      </w:r>
    </w:p>
    <w:p>
      <w:pPr>
        <w:spacing w:after="0" w:line="77" w:lineRule="exact"/>
        <w:rPr>
          <w:rFonts w:ascii="Arial" w:cs="Arial" w:eastAsia="Arial" w:hAnsi="Arial"/>
          <w:sz w:val="17"/>
          <w:szCs w:val="17"/>
          <w:color w:val="auto"/>
        </w:rPr>
      </w:pPr>
    </w:p>
    <w:p>
      <w:pPr>
        <w:ind w:left="452" w:right="700" w:hanging="452"/>
        <w:spacing w:after="0" w:line="282" w:lineRule="auto"/>
        <w:tabs>
          <w:tab w:leader="none" w:pos="452"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w:t>
      </w:r>
      <w:r>
        <w:rPr>
          <w:rFonts w:ascii="Arial" w:cs="Arial" w:eastAsia="Arial" w:hAnsi="Arial"/>
          <w:sz w:val="18"/>
          <w:szCs w:val="18"/>
          <w:color w:val="auto"/>
        </w:rPr>
        <w:t>This Agreement shall not be modified or waived except by an instrument in writing signed by the party against whom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or waiver is sought to be enforced.</w:t>
      </w:r>
    </w:p>
    <w:p>
      <w:pPr>
        <w:spacing w:after="0" w:line="67" w:lineRule="exact"/>
        <w:rPr>
          <w:rFonts w:ascii="Arial" w:cs="Arial" w:eastAsia="Arial" w:hAnsi="Arial"/>
          <w:sz w:val="18"/>
          <w:szCs w:val="18"/>
          <w:color w:val="auto"/>
        </w:rPr>
      </w:pPr>
    </w:p>
    <w:p>
      <w:pPr>
        <w:ind w:left="452" w:right="40" w:hanging="452"/>
        <w:spacing w:after="0" w:line="347" w:lineRule="auto"/>
        <w:tabs>
          <w:tab w:leader="none" w:pos="452" w:val="left"/>
        </w:tabs>
        <w:numPr>
          <w:ilvl w:val="0"/>
          <w:numId w:val="200"/>
        </w:numPr>
        <w:rPr>
          <w:rFonts w:ascii="Arial" w:cs="Arial" w:eastAsia="Arial" w:hAnsi="Arial"/>
          <w:sz w:val="16"/>
          <w:szCs w:val="16"/>
          <w:color w:val="auto"/>
        </w:rPr>
      </w:pPr>
      <w:r>
        <w:rPr>
          <w:rFonts w:ascii="Arial" w:cs="Arial" w:eastAsia="Arial" w:hAnsi="Arial"/>
          <w:sz w:val="16"/>
          <w:szCs w:val="16"/>
          <w:b w:val="1"/>
          <w:bCs w:val="1"/>
          <w:color w:val="auto"/>
        </w:rPr>
        <w:t xml:space="preserve">Immaterial Modifications to the Registration Rights Agreement. </w:t>
      </w:r>
      <w:r>
        <w:rPr>
          <w:rFonts w:ascii="Arial" w:cs="Arial" w:eastAsia="Arial" w:hAnsi="Arial"/>
          <w:sz w:val="16"/>
          <w:szCs w:val="16"/>
          <w:color w:val="auto"/>
        </w:rPr>
        <w:t>The Company may, at any time prior to the initial Closing, amend the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Agreement if necessary to clarify any provision therein, without first providing notice or obtaining prior consent of the Subscriber.</w:t>
      </w:r>
    </w:p>
    <w:p>
      <w:pPr>
        <w:spacing w:after="0" w:line="21" w:lineRule="exact"/>
        <w:rPr>
          <w:rFonts w:ascii="Arial" w:cs="Arial" w:eastAsia="Arial" w:hAnsi="Arial"/>
          <w:sz w:val="16"/>
          <w:szCs w:val="16"/>
          <w:color w:val="auto"/>
        </w:rPr>
      </w:pPr>
    </w:p>
    <w:p>
      <w:pPr>
        <w:ind w:left="452" w:hanging="452"/>
        <w:spacing w:after="0" w:line="295" w:lineRule="auto"/>
        <w:tabs>
          <w:tab w:leader="none" w:pos="452" w:val="left"/>
        </w:tabs>
        <w:numPr>
          <w:ilvl w:val="0"/>
          <w:numId w:val="200"/>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or other communication required or permitted to be given hereunder shall be in writing and shall be mailed by certified mail, return</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requested, or delivered against receipt to the party to whom it is to be given (a) if to the Company, at the address set forth above, with a copy (which shall not constitute notice) to Shumaker, Loop &amp; Kendrick, LLP, Attention Mark C. Catchur, Esq., facsimile 813-229-1660, or (b) if to the Subscriber, at the address set forth on the Omnibus Signature Page hereof (or, in either case, to such other address as the party shall have furnished in writing in accordance with the provisions of this Section). Any notice or other communication given by certified mail shall be deemed given at the time of certification thereof, except for a notice changing a party’s address which shall be deemed given at the time of receipt thereof.</w:t>
      </w:r>
    </w:p>
    <w:p>
      <w:pPr>
        <w:spacing w:after="0" w:line="61" w:lineRule="exact"/>
        <w:rPr>
          <w:rFonts w:ascii="Arial" w:cs="Arial" w:eastAsia="Arial" w:hAnsi="Arial"/>
          <w:sz w:val="16"/>
          <w:szCs w:val="16"/>
          <w:color w:val="auto"/>
        </w:rPr>
      </w:pPr>
    </w:p>
    <w:p>
      <w:pPr>
        <w:ind w:left="452" w:right="140" w:hanging="452"/>
        <w:spacing w:after="0" w:line="282" w:lineRule="auto"/>
        <w:tabs>
          <w:tab w:leader="none" w:pos="452"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Assignability. </w:t>
      </w:r>
      <w:r>
        <w:rPr>
          <w:rFonts w:ascii="Arial" w:cs="Arial" w:eastAsia="Arial" w:hAnsi="Arial"/>
          <w:sz w:val="18"/>
          <w:szCs w:val="18"/>
          <w:color w:val="auto"/>
        </w:rPr>
        <w:t>This Agreement and the rights, interests and obligations hereunder are not transferable or assignable by the Subscriber, and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or assignment of the Units shall be made only in accordance with all applicable laws.</w:t>
      </w:r>
    </w:p>
    <w:p>
      <w:pPr>
        <w:spacing w:after="0" w:line="67" w:lineRule="exact"/>
        <w:rPr>
          <w:rFonts w:ascii="Arial" w:cs="Arial" w:eastAsia="Arial" w:hAnsi="Arial"/>
          <w:sz w:val="18"/>
          <w:szCs w:val="18"/>
          <w:color w:val="auto"/>
        </w:rPr>
      </w:pPr>
    </w:p>
    <w:p>
      <w:pPr>
        <w:ind w:left="452" w:right="200" w:hanging="452"/>
        <w:spacing w:after="0" w:line="282" w:lineRule="auto"/>
        <w:tabs>
          <w:tab w:leader="none" w:pos="452"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This Agreement shall be governed by and construed in accordance with the laws of the State of New York, without reference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thereof relating to the conflict of laws.</w:t>
      </w:r>
    </w:p>
    <w:p>
      <w:pPr>
        <w:spacing w:after="0" w:line="67" w:lineRule="exact"/>
        <w:rPr>
          <w:rFonts w:ascii="Arial" w:cs="Arial" w:eastAsia="Arial" w:hAnsi="Arial"/>
          <w:sz w:val="18"/>
          <w:szCs w:val="18"/>
          <w:color w:val="auto"/>
        </w:rPr>
      </w:pPr>
    </w:p>
    <w:p>
      <w:pPr>
        <w:ind w:left="452" w:hanging="452"/>
        <w:spacing w:after="0"/>
        <w:tabs>
          <w:tab w:leader="none" w:pos="452"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 xml:space="preserve">Arbitration. </w:t>
      </w:r>
      <w:r>
        <w:rPr>
          <w:rFonts w:ascii="Arial" w:cs="Arial" w:eastAsia="Arial" w:hAnsi="Arial"/>
          <w:sz w:val="17"/>
          <w:szCs w:val="17"/>
          <w:color w:val="auto"/>
        </w:rPr>
        <w:t>The parties agree to submit all controversies to arbitration in accordance with the provisions set forth below and understand that:</w:t>
      </w:r>
    </w:p>
    <w:p>
      <w:pPr>
        <w:spacing w:after="0" w:line="146" w:lineRule="exact"/>
        <w:rPr>
          <w:rFonts w:ascii="Arial" w:cs="Arial" w:eastAsia="Arial" w:hAnsi="Arial"/>
          <w:sz w:val="17"/>
          <w:szCs w:val="17"/>
          <w:color w:val="auto"/>
        </w:rPr>
      </w:pPr>
    </w:p>
    <w:p>
      <w:pPr>
        <w:ind w:left="1472" w:hanging="567"/>
        <w:spacing w:after="0"/>
        <w:tabs>
          <w:tab w:leader="none" w:pos="147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Arbitration shall be final and binding on the parties.</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parties are waiving their right to seek remedies in court, including the right to a jury trial.</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Pre-arbitration discovery is generally more limited and different from court proceedings.</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0" w:right="259" w:bottom="1440" w:gutter="0" w:footer="0" w:header="0"/>
        </w:sectPr>
      </w:pPr>
    </w:p>
    <w:bookmarkStart w:id="178" w:name="page179"/>
    <w:bookmarkEnd w:id="178"/>
    <w:p>
      <w:pPr>
        <w:ind w:left="1472" w:right="40" w:hanging="567"/>
        <w:spacing w:after="0" w:line="277" w:lineRule="auto"/>
        <w:tabs>
          <w:tab w:leader="none" w:pos="1472" w:val="left"/>
        </w:tabs>
        <w:numPr>
          <w:ilvl w:val="1"/>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arbitrator’s award is not required to include factual findings or legal reasoning and any party’s right to appeal or to seek modification of rulings by arbitrators is strictly limited.</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panel of arbitrators will typically include a minority of arbitrators who were or are affiliated with the securities industry.</w:t>
      </w:r>
    </w:p>
    <w:p>
      <w:pPr>
        <w:spacing w:after="0" w:line="130" w:lineRule="exact"/>
        <w:rPr>
          <w:rFonts w:ascii="Arial" w:cs="Arial" w:eastAsia="Arial" w:hAnsi="Arial"/>
          <w:sz w:val="18"/>
          <w:szCs w:val="18"/>
          <w:color w:val="auto"/>
        </w:rPr>
      </w:pPr>
    </w:p>
    <w:p>
      <w:pPr>
        <w:ind w:left="1472" w:hanging="567"/>
        <w:spacing w:after="0" w:line="268" w:lineRule="auto"/>
        <w:tabs>
          <w:tab w:leader="none" w:pos="1472"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All controversies which may arise between the parties concerning this Agreement shall be determined by arbitration pursuant to the rules then pertaining to the Financial Industry Regulatory Authority with the arbitration held in the State of New York, New York County. Judgment on any award of any such arbitration may be entered in the courts of the State of New York sitting in New York County and the United States District Court for the Southern District of New York sitting in Manhattan, and any state or appellate court therefrom, or in any other court having jurisdiction of the person or persons against whom such award is rendered. Any notice of such arbitration or for the confirmation of any award in any arbitration shall be sufficient if given in accordance with the provisions of this Agreement. The parties agree that the determination of the arbitrators shall be binding and conclusive upon them. The prevailing party, as determined by such arbitrators, in a legal proceeding shall be entitled to collect any costs, disbursements and reasonable attorney’s fees from the other party. Prior to filing an arbitration, the parties hereby agree that they will attempt to resolve their differences first by submitting the matter for resolution to a mediator, acceptable to all parties, and whose expenses will be borne equally by all parties. The mediation will be held in the County of New York, New York, on an expedited basis. If the parties cannot successfully resolve their differences through mediation, the matter will be resolved by arbitration as provided above. The arbitration shall take place in the New York, New York on an expedited basis.</w:t>
      </w:r>
    </w:p>
    <w:p>
      <w:pPr>
        <w:spacing w:after="0" w:line="89" w:lineRule="exact"/>
        <w:rPr>
          <w:rFonts w:ascii="Arial" w:cs="Arial" w:eastAsia="Arial" w:hAnsi="Arial"/>
          <w:sz w:val="17"/>
          <w:szCs w:val="17"/>
          <w:color w:val="auto"/>
        </w:rPr>
      </w:pPr>
    </w:p>
    <w:p>
      <w:pPr>
        <w:ind w:left="452" w:right="160" w:hanging="452"/>
        <w:spacing w:after="0" w:line="281" w:lineRule="auto"/>
        <w:tabs>
          <w:tab w:leader="none" w:pos="452"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 xml:space="preserve">Blue Sky Qualification; Form D. </w:t>
      </w:r>
      <w:r>
        <w:rPr>
          <w:rFonts w:ascii="Arial" w:cs="Arial" w:eastAsia="Arial" w:hAnsi="Arial"/>
          <w:sz w:val="17"/>
          <w:szCs w:val="17"/>
          <w:color w:val="auto"/>
        </w:rPr>
        <w:t>The Company agrees to timely file a Form D with respect to the Securities and provide a copy thereof,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upon request of any Subscriber. The Company shall take such action as the Company shall reasonably determine is necessary in order to obtain an exemption for, or to qualify the Securities for, sale to the Subscriber at such Closing under applicable securities or “Blue Sky” laws of the states of the United States, and shall provide evidence of such actions promptly upon request of any Subscriber.</w:t>
      </w:r>
    </w:p>
    <w:p>
      <w:pPr>
        <w:spacing w:after="0" w:line="70" w:lineRule="exact"/>
        <w:rPr>
          <w:rFonts w:ascii="Arial" w:cs="Arial" w:eastAsia="Arial" w:hAnsi="Arial"/>
          <w:sz w:val="17"/>
          <w:szCs w:val="17"/>
          <w:color w:val="auto"/>
        </w:rPr>
      </w:pPr>
    </w:p>
    <w:p>
      <w:pPr>
        <w:ind w:left="452" w:right="100" w:hanging="452"/>
        <w:spacing w:after="0" w:line="282" w:lineRule="auto"/>
        <w:tabs>
          <w:tab w:leader="none" w:pos="452"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Use of Pronouns. </w:t>
      </w:r>
      <w:r>
        <w:rPr>
          <w:rFonts w:ascii="Arial" w:cs="Arial" w:eastAsia="Arial" w:hAnsi="Arial"/>
          <w:sz w:val="18"/>
          <w:szCs w:val="18"/>
          <w:color w:val="auto"/>
        </w:rPr>
        <w:t>All pronouns and any variations thereof used herein shall be deemed to refer to the masculine, feminine, neuter, singular or plural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identity of the person or persons referred to may require.</w:t>
      </w:r>
    </w:p>
    <w:p>
      <w:pPr>
        <w:spacing w:after="0" w:line="67" w:lineRule="exact"/>
        <w:rPr>
          <w:rFonts w:ascii="Arial" w:cs="Arial" w:eastAsia="Arial" w:hAnsi="Arial"/>
          <w:sz w:val="18"/>
          <w:szCs w:val="18"/>
          <w:color w:val="auto"/>
        </w:rPr>
      </w:pPr>
    </w:p>
    <w:p>
      <w:pPr>
        <w:ind w:left="452" w:right="40" w:hanging="452"/>
        <w:spacing w:after="0" w:line="290" w:lineRule="auto"/>
        <w:tabs>
          <w:tab w:leader="none" w:pos="452" w:val="left"/>
        </w:tabs>
        <w:numPr>
          <w:ilvl w:val="0"/>
          <w:numId w:val="202"/>
        </w:numPr>
        <w:rPr>
          <w:rFonts w:ascii="Arial" w:cs="Arial" w:eastAsia="Arial" w:hAnsi="Arial"/>
          <w:sz w:val="16"/>
          <w:szCs w:val="16"/>
          <w:color w:val="auto"/>
        </w:rPr>
      </w:pPr>
      <w:r>
        <w:rPr>
          <w:rFonts w:ascii="Arial" w:cs="Arial" w:eastAsia="Arial" w:hAnsi="Arial"/>
          <w:sz w:val="16"/>
          <w:szCs w:val="16"/>
          <w:b w:val="1"/>
          <w:bCs w:val="1"/>
          <w:color w:val="auto"/>
        </w:rPr>
        <w:t xml:space="preserve">Confidentiality. </w:t>
      </w:r>
      <w:r>
        <w:rPr>
          <w:rFonts w:ascii="Arial" w:cs="Arial" w:eastAsia="Arial" w:hAnsi="Arial"/>
          <w:sz w:val="16"/>
          <w:szCs w:val="16"/>
          <w:color w:val="auto"/>
        </w:rPr>
        <w:t>The Subscriber acknowledges and agrees that any information or data the Subscriber has acquired from or about the Company or may</w:t>
      </w:r>
      <w:r>
        <w:rPr>
          <w:rFonts w:ascii="Arial" w:cs="Arial" w:eastAsia="Arial" w:hAnsi="Arial"/>
          <w:sz w:val="16"/>
          <w:szCs w:val="16"/>
          <w:b w:val="1"/>
          <w:bCs w:val="1"/>
          <w:color w:val="auto"/>
        </w:rPr>
        <w:t xml:space="preserve"> </w:t>
      </w:r>
      <w:r>
        <w:rPr>
          <w:rFonts w:ascii="Arial" w:cs="Arial" w:eastAsia="Arial" w:hAnsi="Arial"/>
          <w:sz w:val="16"/>
          <w:szCs w:val="16"/>
          <w:color w:val="auto"/>
        </w:rPr>
        <w:t>acquire in the future, not otherwise properly in the public domain, including, without limitation, the Disclosure Materials, was received in confidence. The Subscriber agrees not to divulge, communicate or disclose, except as may be required by law or for the performance of this Agreement, or use to the detriment of the Company or for the benefit of any other person, or misuse in any way, any confidential information of the Company, including any scientific, technical, trade or business secrets of the Company and any scientific, technical, trade or business materials that are treated by the Company as confidential or proprietary, including, but not limited to, internal personnel and financial information of the Company or its affiliates, the manner and methods of conducting the business of the Company or its affiliates and confidential information obtained by or given to the Company about or belonging to third parties. The Subscriber understands that the Company may rely on Subscriber’s agreement of confidentiality to comply with the exemptive provisions of Regulation FD under the Securities Act of 1933 as set forth in Rule 100(a)(b)(2)(ii) of Regulation</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12"/>
          </w:cols>
          <w:pgMar w:left="248" w:top="274" w:right="239" w:bottom="1440" w:gutter="0" w:footer="0" w:header="0"/>
        </w:sectPr>
      </w:pPr>
    </w:p>
    <w:bookmarkStart w:id="179" w:name="page180"/>
    <w:bookmarkEnd w:id="179"/>
    <w:p>
      <w:pPr>
        <w:jc w:val="both"/>
        <w:ind w:left="452"/>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FD. In addition, the Subscriber acknowledges that it is aware that the United States securities laws generally prohibit any person who is in possession of material nonpublic information about a public company such as the Company from purchasing or selling securities of such company. The provisions of this Section 17 are in addition to and not in replacement of any other confidentiality agreement between the Company and the Subscriber.</w:t>
      </w:r>
    </w:p>
    <w:p>
      <w:pPr>
        <w:spacing w:after="0" w:line="48" w:lineRule="exact"/>
        <w:rPr>
          <w:sz w:val="20"/>
          <w:szCs w:val="20"/>
          <w:color w:val="auto"/>
        </w:rPr>
      </w:pPr>
    </w:p>
    <w:p>
      <w:pPr>
        <w:ind w:left="452" w:right="40" w:hanging="452"/>
        <w:spacing w:after="0" w:line="255" w:lineRule="auto"/>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 xml:space="preserve">Independent Nature of Subscribers’ Obligations and Rights. </w:t>
      </w:r>
      <w:r>
        <w:rPr>
          <w:rFonts w:ascii="Arial" w:cs="Arial" w:eastAsia="Arial" w:hAnsi="Arial"/>
          <w:sz w:val="18"/>
          <w:szCs w:val="18"/>
          <w:color w:val="auto"/>
        </w:rPr>
        <w:t>The obligations of each Subscriber under this Agreement are several and not joint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any other Subscriber, and no Subscriber shall be responsible in any way for the performance of the obligations of any other Subscriber under this Agreement. Nothing contained herein and no action taken by any Subscriber pursuant hereto, shall be deemed to constitute the Subscribers as a partnership, an association, a joint venture or any other kind of entity, or create a presumption that the Subscriber are in any way acting in concert or as a group, or are deemed affiliates (as such term is defined under the Exchange Act) with respect to such obligations or the transactions contemplated by this Agreement. Each Subscriber shall be entitled to independently protect and enforce its rights, including without limitation the rights arising out of this Agreement, and it shall not be necessary for any other Subscriber to be joined as an additional party in any proceeding for such purpose.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34" w:lineRule="exact"/>
        <w:rPr>
          <w:rFonts w:ascii="Arial" w:cs="Arial" w:eastAsia="Arial" w:hAnsi="Arial"/>
          <w:sz w:val="18"/>
          <w:szCs w:val="18"/>
          <w:color w:val="auto"/>
        </w:rPr>
      </w:pPr>
    </w:p>
    <w:p>
      <w:pPr>
        <w:ind w:left="1472" w:right="120" w:hanging="567"/>
        <w:spacing w:after="0" w:line="257" w:lineRule="auto"/>
        <w:tabs>
          <w:tab w:leader="none" w:pos="147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This Agreement, together with the Registration Rights Agreement and any confidentiality agreement between the Subscriber and the Company, constitute the entire agreement between the Subscriber and the Company with respect to the Offering and supersede all prior oral or written agreements and understandings, if any, relating to the subject matter hereof. The terms and provisions of this Agreement may be waived, or consent for the departure therefrom granted, only by a written document executed by the party entitled to the benefits of such terms or provisions.</w:t>
      </w:r>
    </w:p>
    <w:p>
      <w:pPr>
        <w:spacing w:after="0" w:line="93" w:lineRule="exact"/>
        <w:rPr>
          <w:rFonts w:ascii="Arial" w:cs="Arial" w:eastAsia="Arial" w:hAnsi="Arial"/>
          <w:sz w:val="18"/>
          <w:szCs w:val="18"/>
          <w:color w:val="auto"/>
        </w:rPr>
      </w:pPr>
    </w:p>
    <w:p>
      <w:pPr>
        <w:ind w:left="1472" w:right="160" w:hanging="567"/>
        <w:spacing w:after="0" w:line="277" w:lineRule="auto"/>
        <w:tabs>
          <w:tab w:leader="none" w:pos="147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and the Subscriber made in this Agreement shall survive the execution and delivery hereof and delivery of the Units.</w:t>
      </w:r>
    </w:p>
    <w:p>
      <w:pPr>
        <w:spacing w:after="0" w:line="75" w:lineRule="exact"/>
        <w:rPr>
          <w:rFonts w:ascii="Arial" w:cs="Arial" w:eastAsia="Arial" w:hAnsi="Arial"/>
          <w:sz w:val="18"/>
          <w:szCs w:val="18"/>
          <w:color w:val="auto"/>
        </w:rPr>
      </w:pPr>
    </w:p>
    <w:p>
      <w:pPr>
        <w:ind w:left="1472" w:right="400" w:hanging="567"/>
        <w:spacing w:after="0" w:line="264" w:lineRule="auto"/>
        <w:tabs>
          <w:tab w:leader="none" w:pos="147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Each of the parties hereto shall pay its own fees and expenses (including the fees of any attorneys, accountants, appraisers or others engaged by such party) in connection with this Agreement and the transactions contemplated hereby, whether or not the transactions contemplated hereby are consummated.</w:t>
      </w:r>
    </w:p>
    <w:p>
      <w:pPr>
        <w:spacing w:after="0" w:line="86" w:lineRule="exact"/>
        <w:rPr>
          <w:rFonts w:ascii="Arial" w:cs="Arial" w:eastAsia="Arial" w:hAnsi="Arial"/>
          <w:sz w:val="18"/>
          <w:szCs w:val="18"/>
          <w:color w:val="auto"/>
        </w:rPr>
      </w:pPr>
    </w:p>
    <w:p>
      <w:pPr>
        <w:ind w:left="1472" w:right="240" w:hanging="567"/>
        <w:spacing w:after="0" w:line="293" w:lineRule="auto"/>
        <w:tabs>
          <w:tab w:leader="none" w:pos="1472"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This Agreement may be executed in one or more original or facsimile (including by an e-mail which contains a.pdf file of an executed signature page) counterparts, each of which shall be deemed an original, but all of which shall together constitute one and the same instrument and which shall be enforceable against the parties actually executing such counterparts. The exchange of copies of this Agreement and of signature pages by facsimile transmission or in .pdf format shall constitute effective execution and delivery of this Agreement as to the parties and may be used in lieu of the original Agreement for all purposes. Signatures of the parties transmitted by facsimile or by e-mail of a document in pdf format shall be deemed to be their original signatures for all purposes.</w:t>
      </w:r>
    </w:p>
    <w:p>
      <w:pPr>
        <w:spacing w:after="0" w:line="70" w:lineRule="exact"/>
        <w:rPr>
          <w:rFonts w:ascii="Arial" w:cs="Arial" w:eastAsia="Arial" w:hAnsi="Arial"/>
          <w:sz w:val="16"/>
          <w:szCs w:val="16"/>
          <w:color w:val="auto"/>
        </w:rPr>
      </w:pPr>
    </w:p>
    <w:p>
      <w:pPr>
        <w:ind w:left="1472" w:right="20" w:hanging="567"/>
        <w:spacing w:after="0" w:line="264" w:lineRule="auto"/>
        <w:tabs>
          <w:tab w:leader="none" w:pos="147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Each provision of this Agreement shall be considered separable and, if for any reason any provision or provisions hereof are determined to be invalid or contrary to applicable law, such invalidity or illegality shall not impair the operation of or affect the remaining portions of this Agreement.</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74" w:right="239" w:bottom="1440" w:gutter="0" w:footer="0" w:header="0"/>
        </w:sectPr>
      </w:pPr>
    </w:p>
    <w:bookmarkStart w:id="180" w:name="page181"/>
    <w:bookmarkEnd w:id="180"/>
    <w:p>
      <w:pPr>
        <w:ind w:left="1472" w:hanging="567"/>
        <w:spacing w:after="0"/>
        <w:tabs>
          <w:tab w:leader="none" w:pos="1472" w:val="left"/>
        </w:tabs>
        <w:numPr>
          <w:ilvl w:val="1"/>
          <w:numId w:val="2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titles are for descriptive purposes only and shall not control or alter the meaning of this Agreement as set forth in the text.</w:t>
      </w:r>
    </w:p>
    <w:p>
      <w:pPr>
        <w:spacing w:after="0" w:line="142" w:lineRule="exact"/>
        <w:rPr>
          <w:rFonts w:ascii="Arial" w:cs="Arial" w:eastAsia="Arial" w:hAnsi="Arial"/>
          <w:sz w:val="17"/>
          <w:szCs w:val="17"/>
          <w:color w:val="auto"/>
        </w:rPr>
      </w:pPr>
    </w:p>
    <w:p>
      <w:pPr>
        <w:ind w:left="1472" w:hanging="567"/>
        <w:spacing w:after="0"/>
        <w:tabs>
          <w:tab w:leader="none" w:pos="147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Subscriber understands and acknowledges that there may be multiple Closings for the Offering.</w:t>
      </w:r>
    </w:p>
    <w:p>
      <w:pPr>
        <w:spacing w:after="0" w:line="130" w:lineRule="exact"/>
        <w:rPr>
          <w:rFonts w:ascii="Arial" w:cs="Arial" w:eastAsia="Arial" w:hAnsi="Arial"/>
          <w:sz w:val="18"/>
          <w:szCs w:val="18"/>
          <w:color w:val="auto"/>
        </w:rPr>
      </w:pPr>
    </w:p>
    <w:p>
      <w:pPr>
        <w:ind w:left="1472" w:right="440" w:hanging="567"/>
        <w:spacing w:after="0" w:line="277" w:lineRule="auto"/>
        <w:tabs>
          <w:tab w:leader="none" w:pos="147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Subscriber hereby agrees to furnish the Company such other information as the Company may request prior to the Closing with respect to its subscription hereunder.</w:t>
      </w:r>
    </w:p>
    <w:p>
      <w:pPr>
        <w:spacing w:after="0" w:line="71" w:lineRule="exact"/>
        <w:rPr>
          <w:rFonts w:ascii="Arial" w:cs="Arial" w:eastAsia="Arial" w:hAnsi="Arial"/>
          <w:sz w:val="18"/>
          <w:szCs w:val="18"/>
          <w:color w:val="auto"/>
        </w:rPr>
      </w:pPr>
    </w:p>
    <w:p>
      <w:pPr>
        <w:ind w:left="452" w:right="100" w:hanging="452"/>
        <w:spacing w:after="0" w:line="258" w:lineRule="auto"/>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 xml:space="preserve">Omnibus Signature Page. </w:t>
      </w:r>
      <w:r>
        <w:rPr>
          <w:rFonts w:ascii="Arial" w:cs="Arial" w:eastAsia="Arial" w:hAnsi="Arial"/>
          <w:sz w:val="18"/>
          <w:szCs w:val="18"/>
          <w:color w:val="auto"/>
        </w:rPr>
        <w:t>This Agreement is intended to be read and construed in conjunction with the Registration Rights Agreement. Accordingly,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and conditions of this Agreement and the Registration Rights Agreement, it is hereby agreed that the execution by the Subscriber of this Agreement, in the place set forth on the Omnibus Signature Page below, shall constitute agreement to be bound by the terms and conditions hereof and the terms and conditions of the Registration Rights Agreement, with the same effect as if each of such separate but related agreement were separately signed.</w:t>
      </w:r>
    </w:p>
    <w:p>
      <w:pPr>
        <w:spacing w:after="0" w:line="89" w:lineRule="exact"/>
        <w:rPr>
          <w:rFonts w:ascii="Arial" w:cs="Arial" w:eastAsia="Arial" w:hAnsi="Arial"/>
          <w:sz w:val="18"/>
          <w:szCs w:val="18"/>
          <w:color w:val="auto"/>
        </w:rPr>
      </w:pPr>
    </w:p>
    <w:p>
      <w:pPr>
        <w:ind w:left="452" w:hanging="452"/>
        <w:spacing w:after="0" w:line="258" w:lineRule="auto"/>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 xml:space="preserve">Public Disclosure. </w:t>
      </w:r>
      <w:r>
        <w:rPr>
          <w:rFonts w:ascii="Arial" w:cs="Arial" w:eastAsia="Arial" w:hAnsi="Arial"/>
          <w:sz w:val="18"/>
          <w:szCs w:val="18"/>
          <w:color w:val="auto"/>
        </w:rPr>
        <w:t>Neither the Subscriber nor any officer, manager, director, member, partner, stockholder, employee, affiliate, affiliated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of the Subscriber shall make or issue any press releases or otherwise make any public statements or make any disclosures to any third person or entity with respect to the transactions contemplated herein and will not make or issue any press releases or otherwise make any public statements of any nature whatsoever with respect to the Company without the Company’s express prior approval. The Company has the right to withhold such approval in its sole discretion.</w:t>
      </w:r>
    </w:p>
    <w:p>
      <w:pPr>
        <w:spacing w:after="0" w:line="89" w:lineRule="exact"/>
        <w:rPr>
          <w:rFonts w:ascii="Arial" w:cs="Arial" w:eastAsia="Arial" w:hAnsi="Arial"/>
          <w:sz w:val="18"/>
          <w:szCs w:val="18"/>
          <w:color w:val="auto"/>
        </w:rPr>
      </w:pPr>
    </w:p>
    <w:p>
      <w:pPr>
        <w:ind w:left="452" w:right="80" w:hanging="452"/>
        <w:spacing w:after="0" w:line="266" w:lineRule="auto"/>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 xml:space="preserve">Potential Conflicts. </w:t>
      </w:r>
      <w:r>
        <w:rPr>
          <w:rFonts w:ascii="Arial" w:cs="Arial" w:eastAsia="Arial" w:hAnsi="Arial"/>
          <w:sz w:val="18"/>
          <w:szCs w:val="18"/>
          <w:color w:val="auto"/>
        </w:rPr>
        <w:t>Legal counsel to the Company and the Placement Agent or any brokers that may be retained by the Company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Offering, and/or their respective affiliates, principals, representatives or employees, may now or hereafter own stock of the Company or warrants to purchase Company stock.</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274" w:right="239" w:bottom="1440" w:gutter="0" w:footer="0" w:header="0"/>
        </w:sectPr>
      </w:pPr>
    </w:p>
    <w:bookmarkStart w:id="181" w:name="page182"/>
    <w:bookmarkEnd w:id="181"/>
    <w:p>
      <w:pPr>
        <w:spacing w:after="0"/>
        <w:tabs>
          <w:tab w:leader="none" w:pos="7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duly executed this Subscription Agreement as of the</w:t>
      </w:r>
      <w:r>
        <w:rPr>
          <w:sz w:val="20"/>
          <w:szCs w:val="20"/>
          <w:color w:val="auto"/>
        </w:rPr>
        <w:tab/>
      </w:r>
      <w:r>
        <w:rPr>
          <w:rFonts w:ascii="Arial" w:cs="Arial" w:eastAsia="Arial" w:hAnsi="Arial"/>
          <w:sz w:val="16"/>
          <w:szCs w:val="16"/>
          <w:color w:val="auto"/>
        </w:rPr>
        <w:t>day of August,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AP</w:t>
      </w:r>
      <w:r>
        <w:rPr>
          <w:rFonts w:ascii="Arial" w:cs="Arial" w:eastAsia="Arial" w:hAnsi="Arial"/>
          <w:sz w:val="18"/>
          <w:szCs w:val="18"/>
          <w:b w:val="1"/>
          <w:bCs w:val="1"/>
          <w:color w:val="auto"/>
        </w:rPr>
        <w:t>I</w:t>
      </w:r>
      <w:r>
        <w:rPr>
          <w:rFonts w:ascii="Arial" w:cs="Arial" w:eastAsia="Arial" w:hAnsi="Arial"/>
          <w:sz w:val="15"/>
          <w:szCs w:val="15"/>
          <w:b w:val="1"/>
          <w:bCs w:val="1"/>
          <w:color w:val="auto"/>
        </w:rPr>
        <w:t>MMUNE INC</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Glynn Wilson, Ph.D</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6"/>
          <w:szCs w:val="16"/>
          <w:color w:val="auto"/>
        </w:rPr>
        <w:t>Title:</w:t>
        <w:tab/>
        <w:t>Chief Executive Officer</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274" w:right="1440"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 to subscribe for Units in the private offering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TapImmune Inc.</w:t>
      </w:r>
    </w:p>
    <w:p>
      <w:pPr>
        <w:spacing w:after="0" w:line="112"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Date and Fill </w:t>
      </w:r>
      <w:r>
        <w:rPr>
          <w:rFonts w:ascii="Arial" w:cs="Arial" w:eastAsia="Arial" w:hAnsi="Arial"/>
          <w:sz w:val="18"/>
          <w:szCs w:val="18"/>
          <w:color w:val="auto"/>
        </w:rPr>
        <w:t>in the number of Units being purchased and</w:t>
      </w:r>
      <w:r>
        <w:rPr>
          <w:rFonts w:ascii="Arial" w:cs="Arial" w:eastAsia="Arial" w:hAnsi="Arial"/>
          <w:sz w:val="18"/>
          <w:szCs w:val="18"/>
          <w:b w:val="1"/>
          <w:bCs w:val="1"/>
          <w:color w:val="auto"/>
        </w:rPr>
        <w:t xml:space="preserve"> complete and sign </w:t>
      </w:r>
      <w:r>
        <w:rPr>
          <w:rFonts w:ascii="Arial" w:cs="Arial" w:eastAsia="Arial" w:hAnsi="Arial"/>
          <w:sz w:val="18"/>
          <w:szCs w:val="18"/>
          <w:color w:val="auto"/>
        </w:rPr>
        <w:t>the Omnibus Signature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Initial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Accredited Investor Certification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appropriate place or places.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Complete and sign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Investor Profile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Complete and sign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Anti-Money Laundering Information Form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Fax or email </w:t>
      </w:r>
      <w:r>
        <w:rPr>
          <w:rFonts w:ascii="Arial" w:cs="Arial" w:eastAsia="Arial" w:hAnsi="Arial"/>
          <w:sz w:val="18"/>
          <w:szCs w:val="18"/>
          <w:color w:val="auto"/>
        </w:rPr>
        <w:t>all forms and then send all signed original documents to:</w:t>
      </w:r>
    </w:p>
    <w:p>
      <w:pPr>
        <w:spacing w:after="0" w:line="25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Shumaker, Loop &amp; Kendrick, LLP</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101 East Kennedy Boulevard, Suite 2800</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Tampa, FL 33602</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Mark A. Catchur, Esq.</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Facsimile #: 813-229-1660</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Email: mcatchur@slk-law.com</w:t>
      </w:r>
    </w:p>
    <w:p>
      <w:pPr>
        <w:spacing w:after="0" w:line="112" w:lineRule="exact"/>
        <w:rPr>
          <w:sz w:val="20"/>
          <w:szCs w:val="20"/>
          <w:color w:val="auto"/>
        </w:rPr>
      </w:pPr>
    </w:p>
    <w:p>
      <w:pPr>
        <w:jc w:val="both"/>
        <w:ind w:left="900" w:right="20" w:hanging="446"/>
        <w:spacing w:after="0" w:line="293" w:lineRule="auto"/>
        <w:tabs>
          <w:tab w:leader="none" w:pos="90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If you are paying the Purchase Price by check</w:t>
      </w:r>
      <w:r>
        <w:rPr>
          <w:rFonts w:ascii="Arial" w:cs="Arial" w:eastAsia="Arial" w:hAnsi="Arial"/>
          <w:sz w:val="16"/>
          <w:szCs w:val="16"/>
          <w:color w:val="auto"/>
        </w:rPr>
        <w:t>, a certified or other bank check for the exact dollar amount of the Purchase Price for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Shares you are purchasing should be made payable to the order of </w:t>
      </w:r>
      <w:r>
        <w:rPr>
          <w:rFonts w:ascii="Arial" w:cs="Arial" w:eastAsia="Arial" w:hAnsi="Arial"/>
          <w:sz w:val="16"/>
          <w:szCs w:val="16"/>
          <w:b w:val="1"/>
          <w:bCs w:val="1"/>
          <w:color w:val="auto"/>
        </w:rPr>
        <w:t>“Delaware Trust Company, as Escrow Agent for TapImmune Inc. Acct.</w:t>
      </w:r>
    </w:p>
    <w:p>
      <w:pPr>
        <w:spacing w:after="0" w:line="1" w:lineRule="exact"/>
        <w:rPr>
          <w:rFonts w:ascii="Arial" w:cs="Arial" w:eastAsia="Arial" w:hAnsi="Arial"/>
          <w:sz w:val="16"/>
          <w:szCs w:val="16"/>
          <w:b w:val="1"/>
          <w:bCs w:val="1"/>
          <w:color w:val="auto"/>
        </w:rPr>
      </w:pPr>
    </w:p>
    <w:p>
      <w:pPr>
        <w:ind w:left="900" w:right="200"/>
        <w:spacing w:after="0" w:line="261"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 79-2750” Insert Subscribers name </w:t>
      </w:r>
      <w:r>
        <w:rPr>
          <w:rFonts w:ascii="Arial" w:cs="Arial" w:eastAsia="Arial" w:hAnsi="Arial"/>
          <w:sz w:val="18"/>
          <w:szCs w:val="18"/>
          <w:color w:val="auto"/>
        </w:rPr>
        <w:t>and should be sent directly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Delaware Trust Company, 2711 Centerville Road, One Little Falls Centre,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Wilmington, DE 19808, Attn: Alan R. Halpern</w:t>
      </w:r>
      <w:r>
        <w:rPr>
          <w:rFonts w:ascii="Arial" w:cs="Arial" w:eastAsia="Arial" w:hAnsi="Arial"/>
          <w:sz w:val="18"/>
          <w:szCs w:val="18"/>
          <w:color w:val="auto"/>
        </w:rPr>
        <w:t>.</w:t>
      </w:r>
    </w:p>
    <w:p>
      <w:pPr>
        <w:spacing w:after="0" w:line="72" w:lineRule="exact"/>
        <w:rPr>
          <w:sz w:val="20"/>
          <w:szCs w:val="20"/>
          <w:color w:val="auto"/>
        </w:rPr>
      </w:pPr>
    </w:p>
    <w:p>
      <w:pPr>
        <w:ind w:left="920" w:right="180"/>
        <w:spacing w:after="0" w:line="282" w:lineRule="auto"/>
        <w:rPr>
          <w:sz w:val="20"/>
          <w:szCs w:val="20"/>
          <w:color w:val="auto"/>
        </w:rPr>
      </w:pPr>
      <w:r>
        <w:rPr>
          <w:rFonts w:ascii="Arial" w:cs="Arial" w:eastAsia="Arial" w:hAnsi="Arial"/>
          <w:sz w:val="18"/>
          <w:szCs w:val="18"/>
          <w:b w:val="1"/>
          <w:bCs w:val="1"/>
          <w:color w:val="auto"/>
        </w:rPr>
        <w:t>Checks take up to five (5) business days to clear. A check must be received by the Escrow Agent at least six (6) business days before the closing date.</w:t>
      </w:r>
    </w:p>
    <w:p>
      <w:pPr>
        <w:spacing w:after="0" w:line="67" w:lineRule="exact"/>
        <w:rPr>
          <w:sz w:val="20"/>
          <w:szCs w:val="20"/>
          <w:color w:val="auto"/>
        </w:rPr>
      </w:pPr>
    </w:p>
    <w:p>
      <w:pPr>
        <w:ind w:left="900" w:hanging="446"/>
        <w:spacing w:after="0" w:line="282"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If you are paying the Purchase Price by wire transfer</w:t>
      </w:r>
      <w:r>
        <w:rPr>
          <w:rFonts w:ascii="Arial" w:cs="Arial" w:eastAsia="Arial" w:hAnsi="Arial"/>
          <w:sz w:val="18"/>
          <w:szCs w:val="18"/>
          <w:color w:val="auto"/>
        </w:rPr>
        <w:t>, you should send a wire transfer for the exact dollar amount of the Purchase Price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Units you are purchasing according to the following instructions</w:t>
      </w:r>
      <w:r>
        <w:rPr>
          <w:rFonts w:ascii="Arial" w:cs="Arial" w:eastAsia="Arial" w:hAnsi="Arial"/>
          <w:sz w:val="18"/>
          <w:szCs w:val="18"/>
          <w:b w:val="1"/>
          <w:bCs w:val="1"/>
          <w:color w:val="auto"/>
        </w:rPr>
        <w:t>:</w:t>
      </w:r>
    </w:p>
    <w:p>
      <w:pPr>
        <w:sectPr>
          <w:pgSz w:w="11900" w:h="16838" w:orient="portrait"/>
          <w:cols w:equalWidth="0" w:num="1">
            <w:col w:w="11400"/>
          </w:cols>
          <w:pgMar w:left="240" w:top="270" w:right="259" w:bottom="1440" w:gutter="0" w:footer="0" w:header="0"/>
        </w:sectPr>
      </w:pPr>
    </w:p>
    <w:p>
      <w:pPr>
        <w:spacing w:after="0" w:line="189"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Bank:</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PNC Bank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300 Delaware Avenue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Wilmington, DE 19899</w:t>
      </w:r>
    </w:p>
    <w:p>
      <w:pPr>
        <w:spacing w:after="0" w:line="124"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2000"/>
        <w:spacing w:after="0"/>
        <w:rPr>
          <w:sz w:val="20"/>
          <w:szCs w:val="20"/>
          <w:color w:val="auto"/>
        </w:rPr>
      </w:pPr>
      <w:r>
        <w:rPr>
          <w:rFonts w:ascii="Arial" w:cs="Arial" w:eastAsia="Arial" w:hAnsi="Arial"/>
          <w:sz w:val="16"/>
          <w:szCs w:val="16"/>
          <w:b w:val="1"/>
          <w:bCs w:val="1"/>
          <w:color w:val="auto"/>
        </w:rPr>
        <w:t>ABA Routing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031100089</w:t>
      </w:r>
    </w:p>
    <w:p>
      <w:pPr>
        <w:spacing w:after="0" w:line="136"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2000"/>
        <w:spacing w:after="0"/>
        <w:rPr>
          <w:sz w:val="20"/>
          <w:szCs w:val="20"/>
          <w:color w:val="auto"/>
        </w:rPr>
      </w:pPr>
      <w:r>
        <w:rPr>
          <w:rFonts w:ascii="Arial" w:cs="Arial" w:eastAsia="Arial" w:hAnsi="Arial"/>
          <w:sz w:val="18"/>
          <w:szCs w:val="18"/>
          <w:b w:val="1"/>
          <w:bCs w:val="1"/>
          <w:color w:val="auto"/>
        </w:rPr>
        <w:t>SWIFT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PNCCUS33</w:t>
      </w:r>
    </w:p>
    <w:p>
      <w:pPr>
        <w:spacing w:after="0" w:line="135"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2000"/>
        <w:spacing w:after="0"/>
        <w:rPr>
          <w:sz w:val="20"/>
          <w:szCs w:val="20"/>
          <w:color w:val="auto"/>
        </w:rPr>
      </w:pPr>
      <w:r>
        <w:rPr>
          <w:rFonts w:ascii="Arial" w:cs="Arial" w:eastAsia="Arial" w:hAnsi="Arial"/>
          <w:sz w:val="16"/>
          <w:szCs w:val="16"/>
          <w:b w:val="1"/>
          <w:bCs w:val="1"/>
          <w:color w:val="auto"/>
        </w:rPr>
        <w:t>Account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 Trust Company</w:t>
      </w:r>
    </w:p>
    <w:p>
      <w:pPr>
        <w:spacing w:after="0" w:line="136"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2000"/>
        <w:spacing w:after="0"/>
        <w:rPr>
          <w:sz w:val="20"/>
          <w:szCs w:val="20"/>
          <w:color w:val="auto"/>
        </w:rPr>
      </w:pPr>
      <w:r>
        <w:rPr>
          <w:rFonts w:ascii="Arial" w:cs="Arial" w:eastAsia="Arial" w:hAnsi="Arial"/>
          <w:sz w:val="16"/>
          <w:szCs w:val="16"/>
          <w:b w:val="1"/>
          <w:bCs w:val="1"/>
          <w:color w:val="auto"/>
        </w:rPr>
        <w:t>Account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5605012373</w:t>
      </w:r>
    </w:p>
    <w:p>
      <w:pPr>
        <w:spacing w:after="0" w:line="136"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2000"/>
        <w:spacing w:after="0"/>
        <w:rPr>
          <w:sz w:val="20"/>
          <w:szCs w:val="20"/>
          <w:color w:val="auto"/>
        </w:rPr>
      </w:pPr>
      <w:r>
        <w:rPr>
          <w:rFonts w:ascii="Arial" w:cs="Arial" w:eastAsia="Arial" w:hAnsi="Arial"/>
          <w:sz w:val="16"/>
          <w:szCs w:val="16"/>
          <w:b w:val="1"/>
          <w:bCs w:val="1"/>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“FFC: TapImmune Inc. Acct: 79-2750</w:t>
      </w:r>
    </w:p>
    <w:p>
      <w:pPr>
        <w:spacing w:after="0" w:line="154"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4160"/>
        <w:spacing w:after="0"/>
        <w:rPr>
          <w:sz w:val="20"/>
          <w:szCs w:val="20"/>
          <w:color w:val="auto"/>
        </w:rPr>
      </w:pPr>
      <w:r>
        <w:rPr>
          <w:rFonts w:ascii="Arial" w:cs="Arial" w:eastAsia="Arial" w:hAnsi="Arial"/>
          <w:sz w:val="16"/>
          <w:szCs w:val="16"/>
          <w:i w:val="1"/>
          <w:iCs w:val="1"/>
          <w:color w:val="auto"/>
        </w:rPr>
        <w:t>[INSERT SUBSCRIBER’S NAME]</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ectPr>
          <w:pgSz w:w="11900" w:h="16838" w:orient="portrait"/>
          <w:cols w:equalWidth="0" w:num="1">
            <w:col w:w="11400"/>
          </w:cols>
          <w:pgMar w:left="240" w:top="270" w:right="259" w:bottom="1440" w:gutter="0" w:footer="0" w:header="0"/>
          <w:type w:val="continuous"/>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OMNIBUS SIGNATURE PAGE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AGREEMENT AND REGISTRATION RIGHTS AGREEMENT</w:t>
      </w:r>
    </w:p>
    <w:p>
      <w:pPr>
        <w:spacing w:after="0" w:line="21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undersigned, desiring to: (i) enter into the Subscription Agreement, dated as of ,</w:t>
      </w:r>
      <w:r>
        <w:rPr>
          <w:rFonts w:ascii="Arial" w:cs="Arial" w:eastAsia="Arial" w:hAnsi="Arial"/>
          <w:sz w:val="15"/>
          <w:szCs w:val="15"/>
          <w:color w:val="auto"/>
        </w:rPr>
        <w:t>1</w:t>
      </w:r>
      <w:r>
        <w:rPr>
          <w:rFonts w:ascii="Arial" w:cs="Arial" w:eastAsia="Arial" w:hAnsi="Arial"/>
          <w:sz w:val="18"/>
          <w:szCs w:val="18"/>
          <w:color w:val="auto"/>
        </w:rPr>
        <w:t xml:space="preserve"> 2016 (the “Subscription Agreement”), between the undersigned, </w:t>
      </w:r>
      <w:r>
        <w:rPr>
          <w:rFonts w:ascii="Arial" w:cs="Arial" w:eastAsia="Arial" w:hAnsi="Arial"/>
          <w:sz w:val="18"/>
          <w:szCs w:val="18"/>
          <w:b w:val="1"/>
          <w:bCs w:val="1"/>
          <w:color w:val="auto"/>
        </w:rPr>
        <w:t>TapImmune Inc.</w:t>
      </w:r>
      <w:r>
        <w:rPr>
          <w:rFonts w:ascii="Arial" w:cs="Arial" w:eastAsia="Arial" w:hAnsi="Arial"/>
          <w:sz w:val="18"/>
          <w:szCs w:val="18"/>
          <w:color w:val="auto"/>
        </w:rPr>
        <w:t>, a Nevada corporation (the “Company”), and the other parties thereto, in or substantially in the form furnished to the undersigned, (ii) enter into the Registration Rights Agreement (the “Registration Rights Agreement”), among the undersigned, the Company and the other parties thereto, in or substantially in the form furnished to the undersigned and (iii) purchase the Units of the Company’s securities as set forth in the Subscription Agreement and below, hereby agrees to purchase such Units from the Company and further agrees to join the Subscription Agreement and the Registration Rights Agreement as a party thereto, with all the rights and privileges appertaining thereto, and to be bound in all respects by the terms and conditions thereof. The undersigned specifically acknowledges having read the representations section in the Subscription Agreement entitled “Representations and Warranties of the Subscriber” and hereby represents that the statements contained therein are complete and accurate with respect to the undersigned as a Subscriber.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Subscriber hereby executes this Subscription Agreement and the Registration Rights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Dated:</w:t>
            </w:r>
          </w:p>
        </w:tc>
        <w:tc>
          <w:tcPr>
            <w:tcW w:w="1460" w:type="dxa"/>
            <w:vAlign w:val="bottom"/>
          </w:tcPr>
          <w:p>
            <w:pPr>
              <w:jc w:val="right"/>
              <w:ind w:right="790"/>
              <w:spacing w:after="0"/>
              <w:rPr>
                <w:sz w:val="20"/>
                <w:szCs w:val="20"/>
                <w:color w:val="auto"/>
              </w:rPr>
            </w:pPr>
            <w:r>
              <w:rPr>
                <w:rFonts w:ascii="Arial" w:cs="Arial" w:eastAsia="Arial" w:hAnsi="Arial"/>
                <w:sz w:val="18"/>
                <w:szCs w:val="18"/>
                <w:color w:val="auto"/>
              </w:rPr>
              <w:t>, 2016</w:t>
            </w:r>
          </w:p>
        </w:tc>
        <w:tc>
          <w:tcPr>
            <w:tcW w:w="2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X</w:t>
            </w:r>
          </w:p>
        </w:tc>
        <w:tc>
          <w:tcPr>
            <w:tcW w:w="208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Number of Units</w:t>
            </w:r>
          </w:p>
        </w:tc>
        <w:tc>
          <w:tcPr>
            <w:tcW w:w="2080" w:type="dxa"/>
            <w:vAlign w:val="bottom"/>
          </w:tcPr>
          <w:p>
            <w:pPr>
              <w:ind w:left="100"/>
              <w:spacing w:after="0"/>
              <w:rPr>
                <w:sz w:val="20"/>
                <w:szCs w:val="20"/>
                <w:color w:val="auto"/>
              </w:rPr>
            </w:pPr>
            <w:r>
              <w:rPr>
                <w:rFonts w:ascii="Arial" w:cs="Arial" w:eastAsia="Arial" w:hAnsi="Arial"/>
                <w:sz w:val="18"/>
                <w:szCs w:val="18"/>
                <w:color w:val="auto"/>
                <w:w w:val="95"/>
              </w:rPr>
              <w:t>Purchase Price per Share</w:t>
            </w:r>
          </w:p>
        </w:tc>
        <w:tc>
          <w:tcPr>
            <w:tcW w:w="74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Total Purchase Price</w:t>
            </w:r>
          </w:p>
        </w:tc>
      </w:tr>
      <w:tr>
        <w:trPr>
          <w:trHeight w:val="459"/>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SUBSCRIBER </w:t>
            </w:r>
            <w:r>
              <w:rPr>
                <w:rFonts w:ascii="Arial" w:cs="Arial" w:eastAsia="Arial" w:hAnsi="Arial"/>
                <w:sz w:val="18"/>
                <w:szCs w:val="18"/>
                <w:color w:val="auto"/>
              </w:rPr>
              <w:t>(individual)</w:t>
            </w: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60" w:type="dxa"/>
            <w:vAlign w:val="bottom"/>
            <w:gridSpan w:val="3"/>
          </w:tcPr>
          <w:p>
            <w:pPr>
              <w:ind w:left="820"/>
              <w:spacing w:after="0"/>
              <w:rPr>
                <w:sz w:val="20"/>
                <w:szCs w:val="20"/>
                <w:color w:val="auto"/>
              </w:rPr>
            </w:pPr>
            <w:r>
              <w:rPr>
                <w:rFonts w:ascii="Arial" w:cs="Arial" w:eastAsia="Arial" w:hAnsi="Arial"/>
                <w:sz w:val="18"/>
                <w:szCs w:val="18"/>
                <w:b w:val="1"/>
                <w:bCs w:val="1"/>
                <w:color w:val="auto"/>
              </w:rPr>
              <w:t xml:space="preserve">SUBSCRIBER </w:t>
            </w:r>
            <w:r>
              <w:rPr>
                <w:rFonts w:ascii="Arial" w:cs="Arial" w:eastAsia="Arial" w:hAnsi="Arial"/>
                <w:sz w:val="18"/>
                <w:szCs w:val="18"/>
                <w:color w:val="auto"/>
              </w:rPr>
              <w:t>(entity)</w:t>
            </w:r>
          </w:p>
        </w:tc>
      </w:tr>
      <w:tr>
        <w:trPr>
          <w:trHeight w:val="432"/>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224"/>
        </w:trPr>
        <w:tc>
          <w:tcPr>
            <w:tcW w:w="9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of Entity</w:t>
            </w:r>
          </w:p>
        </w:tc>
      </w:tr>
      <w:tr>
        <w:trPr>
          <w:trHeight w:val="43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gridSpan w:val="2"/>
          </w:tcPr>
          <w:p>
            <w:pPr>
              <w:spacing w:after="0"/>
              <w:rPr>
                <w:sz w:val="24"/>
                <w:szCs w:val="24"/>
                <w:color w:val="auto"/>
              </w:rPr>
            </w:pPr>
          </w:p>
        </w:tc>
        <w:tc>
          <w:tcPr>
            <w:tcW w:w="4220" w:type="dxa"/>
            <w:vAlign w:val="bottom"/>
          </w:tcPr>
          <w:p>
            <w:pPr>
              <w:spacing w:after="0"/>
              <w:rPr>
                <w:sz w:val="24"/>
                <w:szCs w:val="24"/>
                <w:color w:val="auto"/>
              </w:rPr>
            </w:pPr>
          </w:p>
        </w:tc>
      </w:tr>
      <w:tr>
        <w:trPr>
          <w:trHeight w:val="224"/>
        </w:trPr>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Print Name</w:t>
            </w:r>
          </w:p>
        </w:tc>
        <w:tc>
          <w:tcPr>
            <w:tcW w:w="14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r>
      <w:tr>
        <w:trPr>
          <w:trHeight w:val="43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60" w:type="dxa"/>
            <w:vAlign w:val="bottom"/>
            <w:gridSpan w:val="3"/>
          </w:tcPr>
          <w:p>
            <w:pPr>
              <w:ind w:left="820"/>
              <w:spacing w:after="0"/>
              <w:rPr>
                <w:sz w:val="20"/>
                <w:szCs w:val="20"/>
                <w:color w:val="auto"/>
              </w:rPr>
            </w:pPr>
            <w:r>
              <w:rPr>
                <w:rFonts w:ascii="Arial" w:cs="Arial" w:eastAsia="Arial" w:hAnsi="Arial"/>
                <w:sz w:val="18"/>
                <w:szCs w:val="18"/>
                <w:color w:val="auto"/>
              </w:rPr>
              <w:t>Print Name:</w:t>
            </w:r>
          </w:p>
        </w:tc>
      </w:tr>
      <w:tr>
        <w:trPr>
          <w:trHeight w:val="223"/>
        </w:trPr>
        <w:tc>
          <w:tcPr>
            <w:tcW w:w="20" w:type="dxa"/>
            <w:vAlign w:val="bottom"/>
          </w:tcPr>
          <w:p>
            <w:pPr>
              <w:spacing w:after="0"/>
              <w:rPr>
                <w:sz w:val="19"/>
                <w:szCs w:val="19"/>
                <w:color w:val="auto"/>
              </w:rPr>
            </w:pPr>
          </w:p>
        </w:tc>
        <w:tc>
          <w:tcPr>
            <w:tcW w:w="4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Signature (if Joint Tenants or Tenants in Common)</w:t>
            </w:r>
          </w:p>
        </w:tc>
        <w:tc>
          <w:tcPr>
            <w:tcW w:w="740" w:type="dxa"/>
            <w:vAlign w:val="bottom"/>
            <w:tcBorders>
              <w:top w:val="single" w:sz="8" w:color="auto"/>
            </w:tcBorders>
          </w:tcPr>
          <w:p>
            <w:pPr>
              <w:spacing w:after="0"/>
              <w:rPr>
                <w:sz w:val="19"/>
                <w:szCs w:val="19"/>
                <w:color w:val="auto"/>
              </w:rPr>
            </w:pPr>
          </w:p>
        </w:tc>
        <w:tc>
          <w:tcPr>
            <w:tcW w:w="1940" w:type="dxa"/>
            <w:vAlign w:val="bottom"/>
            <w:gridSpan w:val="2"/>
          </w:tcPr>
          <w:p>
            <w:pPr>
              <w:ind w:left="820"/>
              <w:spacing w:after="0"/>
              <w:rPr>
                <w:sz w:val="20"/>
                <w:szCs w:val="20"/>
                <w:color w:val="auto"/>
              </w:rPr>
            </w:pPr>
            <w:r>
              <w:rPr>
                <w:rFonts w:ascii="Arial" w:cs="Arial" w:eastAsia="Arial" w:hAnsi="Arial"/>
                <w:sz w:val="18"/>
                <w:szCs w:val="18"/>
                <w:color w:val="auto"/>
              </w:rPr>
              <w:t>Title:</w:t>
            </w:r>
          </w:p>
        </w:tc>
        <w:tc>
          <w:tcPr>
            <w:tcW w:w="4220" w:type="dxa"/>
            <w:vAlign w:val="bottom"/>
            <w:tcBorders>
              <w:top w:val="single" w:sz="8" w:color="auto"/>
              <w:bottom w:val="single" w:sz="8" w:color="auto"/>
            </w:tcBorders>
          </w:tcPr>
          <w:p>
            <w:pPr>
              <w:spacing w:after="0"/>
              <w:rPr>
                <w:sz w:val="19"/>
                <w:szCs w:val="19"/>
                <w:color w:val="auto"/>
              </w:rPr>
            </w:pPr>
          </w:p>
        </w:tc>
      </w:tr>
      <w:tr>
        <w:trPr>
          <w:trHeight w:val="439"/>
        </w:trPr>
        <w:tc>
          <w:tcPr>
            <w:tcW w:w="2440" w:type="dxa"/>
            <w:vAlign w:val="bottom"/>
            <w:gridSpan w:val="3"/>
          </w:tcPr>
          <w:p>
            <w:pPr>
              <w:spacing w:after="0"/>
              <w:rPr>
                <w:sz w:val="20"/>
                <w:szCs w:val="20"/>
                <w:color w:val="auto"/>
              </w:rPr>
            </w:pPr>
            <w:r>
              <w:rPr>
                <w:rFonts w:ascii="Arial" w:cs="Arial" w:eastAsia="Arial" w:hAnsi="Arial"/>
                <w:sz w:val="18"/>
                <w:szCs w:val="18"/>
                <w:color w:val="auto"/>
                <w:w w:val="94"/>
              </w:rPr>
              <w:t>Address of Principal Residence:</w:t>
            </w: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60" w:type="dxa"/>
            <w:vAlign w:val="bottom"/>
            <w:gridSpan w:val="3"/>
          </w:tcPr>
          <w:p>
            <w:pPr>
              <w:ind w:left="820"/>
              <w:spacing w:after="0"/>
              <w:rPr>
                <w:sz w:val="20"/>
                <w:szCs w:val="20"/>
                <w:color w:val="auto"/>
              </w:rPr>
            </w:pPr>
            <w:r>
              <w:rPr>
                <w:rFonts w:ascii="Arial" w:cs="Arial" w:eastAsia="Arial" w:hAnsi="Arial"/>
                <w:sz w:val="18"/>
                <w:szCs w:val="18"/>
                <w:color w:val="auto"/>
              </w:rPr>
              <w:t>Address of Executive Offices:</w:t>
            </w:r>
          </w:p>
        </w:tc>
      </w:tr>
      <w:tr>
        <w:trPr>
          <w:trHeight w:val="216"/>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Social Security Number(s):</w:t>
            </w:r>
          </w:p>
        </w:tc>
        <w:tc>
          <w:tcPr>
            <w:tcW w:w="6160" w:type="dxa"/>
            <w:vAlign w:val="bottom"/>
            <w:gridSpan w:val="2"/>
          </w:tcPr>
          <w:p>
            <w:pPr>
              <w:ind w:left="820"/>
              <w:spacing w:after="0"/>
              <w:rPr>
                <w:sz w:val="20"/>
                <w:szCs w:val="20"/>
                <w:color w:val="auto"/>
              </w:rPr>
            </w:pPr>
            <w:r>
              <w:rPr>
                <w:rFonts w:ascii="Arial" w:cs="Arial" w:eastAsia="Arial" w:hAnsi="Arial"/>
                <w:sz w:val="18"/>
                <w:szCs w:val="18"/>
                <w:color w:val="auto"/>
              </w:rPr>
              <w:t>IRS Tax Identification Number:</w:t>
            </w:r>
          </w:p>
        </w:tc>
      </w:tr>
      <w:tr>
        <w:trPr>
          <w:trHeight w:val="216"/>
        </w:trPr>
        <w:tc>
          <w:tcPr>
            <w:tcW w:w="526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r>
      <w:tr>
        <w:trPr>
          <w:trHeight w:val="439"/>
        </w:trPr>
        <w:tc>
          <w:tcPr>
            <w:tcW w:w="5260" w:type="dxa"/>
            <w:vAlign w:val="bottom"/>
          </w:tcPr>
          <w:p>
            <w:pPr>
              <w:spacing w:after="0"/>
              <w:rPr>
                <w:sz w:val="20"/>
                <w:szCs w:val="20"/>
                <w:color w:val="auto"/>
              </w:rPr>
            </w:pPr>
            <w:r>
              <w:rPr>
                <w:rFonts w:ascii="Arial" w:cs="Arial" w:eastAsia="Arial" w:hAnsi="Arial"/>
                <w:sz w:val="18"/>
                <w:szCs w:val="18"/>
                <w:color w:val="auto"/>
              </w:rPr>
              <w:t>Telephone Number:</w:t>
            </w:r>
          </w:p>
        </w:tc>
        <w:tc>
          <w:tcPr>
            <w:tcW w:w="6160" w:type="dxa"/>
            <w:vAlign w:val="bottom"/>
            <w:gridSpan w:val="2"/>
          </w:tcPr>
          <w:p>
            <w:pPr>
              <w:ind w:left="820"/>
              <w:spacing w:after="0"/>
              <w:rPr>
                <w:sz w:val="20"/>
                <w:szCs w:val="20"/>
                <w:color w:val="auto"/>
              </w:rPr>
            </w:pPr>
            <w:r>
              <w:rPr>
                <w:rFonts w:ascii="Arial" w:cs="Arial" w:eastAsia="Arial" w:hAnsi="Arial"/>
                <w:sz w:val="18"/>
                <w:szCs w:val="18"/>
                <w:color w:val="auto"/>
              </w:rPr>
              <w:t>Telephone Number:</w:t>
            </w:r>
          </w:p>
        </w:tc>
      </w:tr>
      <w:tr>
        <w:trPr>
          <w:trHeight w:val="216"/>
        </w:trPr>
        <w:tc>
          <w:tcPr>
            <w:tcW w:w="526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r>
      <w:tr>
        <w:trPr>
          <w:trHeight w:val="439"/>
        </w:trPr>
        <w:tc>
          <w:tcPr>
            <w:tcW w:w="5260" w:type="dxa"/>
            <w:vAlign w:val="bottom"/>
          </w:tcPr>
          <w:p>
            <w:pPr>
              <w:spacing w:after="0"/>
              <w:rPr>
                <w:sz w:val="20"/>
                <w:szCs w:val="20"/>
                <w:color w:val="auto"/>
              </w:rPr>
            </w:pPr>
            <w:r>
              <w:rPr>
                <w:rFonts w:ascii="Arial" w:cs="Arial" w:eastAsia="Arial" w:hAnsi="Arial"/>
                <w:sz w:val="18"/>
                <w:szCs w:val="18"/>
                <w:color w:val="auto"/>
              </w:rPr>
              <w:t>Facsimile Number:</w:t>
            </w:r>
          </w:p>
        </w:tc>
        <w:tc>
          <w:tcPr>
            <w:tcW w:w="6160" w:type="dxa"/>
            <w:vAlign w:val="bottom"/>
            <w:gridSpan w:val="2"/>
          </w:tcPr>
          <w:p>
            <w:pPr>
              <w:ind w:left="820"/>
              <w:spacing w:after="0"/>
              <w:rPr>
                <w:sz w:val="20"/>
                <w:szCs w:val="20"/>
                <w:color w:val="auto"/>
              </w:rPr>
            </w:pPr>
            <w:r>
              <w:rPr>
                <w:rFonts w:ascii="Arial" w:cs="Arial" w:eastAsia="Arial" w:hAnsi="Arial"/>
                <w:sz w:val="18"/>
                <w:szCs w:val="18"/>
                <w:color w:val="auto"/>
              </w:rPr>
              <w:t>Facsimile Number:</w:t>
            </w:r>
          </w:p>
        </w:tc>
      </w:tr>
      <w:tr>
        <w:trPr>
          <w:trHeight w:val="216"/>
        </w:trPr>
        <w:tc>
          <w:tcPr>
            <w:tcW w:w="526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r>
      <w:tr>
        <w:trPr>
          <w:trHeight w:val="439"/>
        </w:trPr>
        <w:tc>
          <w:tcPr>
            <w:tcW w:w="5260" w:type="dxa"/>
            <w:vAlign w:val="bottom"/>
          </w:tcPr>
          <w:p>
            <w:pPr>
              <w:spacing w:after="0"/>
              <w:rPr>
                <w:sz w:val="20"/>
                <w:szCs w:val="20"/>
                <w:color w:val="auto"/>
              </w:rPr>
            </w:pPr>
            <w:r>
              <w:rPr>
                <w:rFonts w:ascii="Arial" w:cs="Arial" w:eastAsia="Arial" w:hAnsi="Arial"/>
                <w:sz w:val="18"/>
                <w:szCs w:val="18"/>
                <w:color w:val="auto"/>
              </w:rPr>
              <w:t>E-mail Address:</w:t>
            </w:r>
          </w:p>
        </w:tc>
        <w:tc>
          <w:tcPr>
            <w:tcW w:w="6160" w:type="dxa"/>
            <w:vAlign w:val="bottom"/>
            <w:gridSpan w:val="2"/>
          </w:tcPr>
          <w:p>
            <w:pPr>
              <w:ind w:left="820"/>
              <w:spacing w:after="0"/>
              <w:rPr>
                <w:sz w:val="20"/>
                <w:szCs w:val="20"/>
                <w:color w:val="auto"/>
              </w:rPr>
            </w:pPr>
            <w:r>
              <w:rPr>
                <w:rFonts w:ascii="Arial" w:cs="Arial" w:eastAsia="Arial" w:hAnsi="Arial"/>
                <w:sz w:val="18"/>
                <w:szCs w:val="18"/>
                <w:color w:val="auto"/>
              </w:rPr>
              <w:t>E-mail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220" w:hanging="212"/>
        <w:spacing w:after="0"/>
        <w:tabs>
          <w:tab w:leader="none" w:pos="220" w:val="left"/>
        </w:tabs>
        <w:numPr>
          <w:ilvl w:val="0"/>
          <w:numId w:val="209"/>
        </w:numPr>
        <w:rPr>
          <w:rFonts w:ascii="Arial" w:cs="Arial" w:eastAsia="Arial" w:hAnsi="Arial"/>
          <w:sz w:val="15"/>
          <w:szCs w:val="15"/>
          <w:color w:val="auto"/>
        </w:rPr>
      </w:pPr>
      <w:r>
        <w:rPr>
          <w:rFonts w:ascii="Arial" w:cs="Arial" w:eastAsia="Arial" w:hAnsi="Arial"/>
          <w:sz w:val="18"/>
          <w:szCs w:val="18"/>
          <w:b w:val="1"/>
          <w:bCs w:val="1"/>
          <w:i w:val="1"/>
          <w:iCs w:val="1"/>
          <w:color w:val="auto"/>
        </w:rPr>
        <w:t>Will reflect the Closing Date. Not to be completed by Subscriber.</w:t>
      </w:r>
    </w:p>
    <w:p>
      <w:pPr>
        <w:sectPr>
          <w:pgSz w:w="11900" w:h="16838" w:orient="portrait"/>
          <w:cols w:equalWidth="0" w:num="1">
            <w:col w:w="11420"/>
          </w:cols>
          <w:pgMar w:left="240" w:top="270"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9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93"/>
              </w:rPr>
              <w:t>TapImmune Inc.</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9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rPr>
              <w:t>ACCREDITED INVESTOR CERTIFICATION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960" w:type="dxa"/>
            <w:vAlign w:val="bottom"/>
            <w:gridSpan w:val="2"/>
          </w:tcPr>
          <w:p>
            <w:pPr>
              <w:jc w:val="center"/>
              <w:ind w:right="3380"/>
              <w:spacing w:after="0"/>
              <w:rPr>
                <w:sz w:val="20"/>
                <w:szCs w:val="20"/>
                <w:color w:val="auto"/>
              </w:rPr>
            </w:pPr>
            <w:r>
              <w:rPr>
                <w:rFonts w:ascii="Arial" w:cs="Arial" w:eastAsia="Arial" w:hAnsi="Arial"/>
                <w:sz w:val="18"/>
                <w:szCs w:val="18"/>
                <w:b w:val="1"/>
                <w:bCs w:val="1"/>
                <w:color w:val="auto"/>
                <w:w w:val="92"/>
              </w:rPr>
              <w:t>For Individual Investors Only</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4"/>
              </w:rPr>
              <w:t xml:space="preserve">(all Individual Investors must </w:t>
            </w:r>
            <w:r>
              <w:rPr>
                <w:rFonts w:ascii="Arial" w:cs="Arial" w:eastAsia="Arial" w:hAnsi="Arial"/>
                <w:sz w:val="18"/>
                <w:szCs w:val="18"/>
                <w:b w:val="1"/>
                <w:bCs w:val="1"/>
                <w:i w:val="1"/>
                <w:iCs w:val="1"/>
                <w:color w:val="auto"/>
                <w:w w:val="94"/>
              </w:rPr>
              <w:t>INITIAL</w:t>
            </w:r>
            <w:r>
              <w:rPr>
                <w:rFonts w:ascii="Arial" w:cs="Arial" w:eastAsia="Arial" w:hAnsi="Arial"/>
                <w:sz w:val="18"/>
                <w:szCs w:val="18"/>
                <w:b w:val="1"/>
                <w:bCs w:val="1"/>
                <w:color w:val="auto"/>
                <w:w w:val="94"/>
              </w:rPr>
              <w:t xml:space="preserve"> where appropriate):</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2"/>
              </w:rPr>
              <w:t>I have a net worth of at least US$1 million either individually or through aggregating my individual holdings and those in which I have a</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0" w:type="dxa"/>
            <w:vAlign w:val="bottom"/>
            <w:gridSpan w:val="3"/>
          </w:tcPr>
          <w:p>
            <w:pPr>
              <w:ind w:left="120"/>
              <w:spacing w:after="0" w:line="182" w:lineRule="exact"/>
              <w:rPr>
                <w:sz w:val="20"/>
                <w:szCs w:val="20"/>
                <w:color w:val="auto"/>
              </w:rPr>
            </w:pPr>
            <w:r>
              <w:rPr>
                <w:rFonts w:ascii="Arial" w:cs="Arial" w:eastAsia="Arial" w:hAnsi="Arial"/>
                <w:sz w:val="18"/>
                <w:szCs w:val="18"/>
                <w:color w:val="auto"/>
                <w:w w:val="94"/>
              </w:rPr>
              <w:t xml:space="preserve">joint, community property or other similar shared ownership interest with my spouse. </w:t>
            </w:r>
            <w:r>
              <w:rPr>
                <w:rFonts w:ascii="Arial" w:cs="Arial" w:eastAsia="Arial" w:hAnsi="Arial"/>
                <w:sz w:val="18"/>
                <w:szCs w:val="18"/>
                <w:b w:val="1"/>
                <w:bCs w:val="1"/>
                <w:i w:val="1"/>
                <w:iCs w:val="1"/>
                <w:color w:val="auto"/>
                <w:w w:val="94"/>
              </w:rPr>
              <w:t>(For purposes of calculating your net worth</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0" w:type="dxa"/>
            <w:vAlign w:val="bottom"/>
            <w:gridSpan w:val="3"/>
          </w:tcPr>
          <w:p>
            <w:pPr>
              <w:ind w:left="120"/>
              <w:spacing w:after="0" w:line="190" w:lineRule="exact"/>
              <w:rPr>
                <w:sz w:val="20"/>
                <w:szCs w:val="20"/>
                <w:color w:val="auto"/>
              </w:rPr>
            </w:pPr>
            <w:r>
              <w:rPr>
                <w:rFonts w:ascii="Arial" w:cs="Arial" w:eastAsia="Arial" w:hAnsi="Arial"/>
                <w:sz w:val="18"/>
                <w:szCs w:val="18"/>
                <w:b w:val="1"/>
                <w:bCs w:val="1"/>
                <w:i w:val="1"/>
                <w:iCs w:val="1"/>
                <w:color w:val="auto"/>
                <w:w w:val="91"/>
              </w:rPr>
              <w:t>under this paragraph, (a) your primary residence shall not be included as an asset; (b) indebtedness secured by your primary</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87"/>
              </w:rPr>
              <w:t>residence, up to the estimated fair market value of your primary residence at the time of your purchase of the securities, shall not be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90"/>
              </w:rPr>
              <w:t>included as a liability (except that if the amount of such indebtedness outstanding at the time of your purchase of the securities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88"/>
              </w:rPr>
              <w:t>exceeds the amount outstanding 60 days before such time, other than as a result of the acquisition of your primary residence, the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85"/>
              </w:rPr>
              <w:t>amount of such excess shall be included as a liability); and (c) indebtedness that is secured by your primary residence in excess of the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88"/>
              </w:rPr>
              <w:t>estimated fair market value of your primary residence at the time of your purchase of the securities shall be included as a liability.)</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0"/>
              </w:rPr>
              <w:t>I have had an annual gross income for the past two years of at least US$200,000 (or US$300,000 jointly with my spouse) and expect my</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income (or joint income, as appropriate) to reach the same level in the current year.</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I am a director or executive officer of TapImmune Inc.</w:t>
            </w:r>
          </w:p>
        </w:tc>
        <w:tc>
          <w:tcPr>
            <w:tcW w:w="0" w:type="dxa"/>
            <w:vAlign w:val="bottom"/>
          </w:tcPr>
          <w:p>
            <w:pPr>
              <w:spacing w:after="0"/>
              <w:rPr>
                <w:sz w:val="1"/>
                <w:szCs w:val="1"/>
                <w:color w:val="auto"/>
              </w:rPr>
            </w:pPr>
          </w:p>
        </w:tc>
      </w:tr>
      <w:tr>
        <w:trPr>
          <w:trHeight w:val="718"/>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960" w:type="dxa"/>
            <w:vAlign w:val="bottom"/>
            <w:gridSpan w:val="2"/>
          </w:tcPr>
          <w:p>
            <w:pPr>
              <w:jc w:val="center"/>
              <w:ind w:right="3380"/>
              <w:spacing w:after="0"/>
              <w:rPr>
                <w:sz w:val="20"/>
                <w:szCs w:val="20"/>
                <w:color w:val="auto"/>
              </w:rPr>
            </w:pPr>
            <w:r>
              <w:rPr>
                <w:rFonts w:ascii="Arial" w:cs="Arial" w:eastAsia="Arial" w:hAnsi="Arial"/>
                <w:sz w:val="18"/>
                <w:szCs w:val="18"/>
                <w:b w:val="1"/>
                <w:bCs w:val="1"/>
                <w:color w:val="auto"/>
                <w:w w:val="92"/>
              </w:rPr>
              <w:t>For Non-Individual Investors (Entities)</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3"/>
              </w:rPr>
              <w:t xml:space="preserve">(all Non-Individual Investors must </w:t>
            </w:r>
            <w:r>
              <w:rPr>
                <w:rFonts w:ascii="Arial" w:cs="Arial" w:eastAsia="Arial" w:hAnsi="Arial"/>
                <w:sz w:val="18"/>
                <w:szCs w:val="18"/>
                <w:b w:val="1"/>
                <w:bCs w:val="1"/>
                <w:i w:val="1"/>
                <w:iCs w:val="1"/>
                <w:color w:val="auto"/>
                <w:w w:val="93"/>
              </w:rPr>
              <w:t>INITIAL</w:t>
            </w:r>
            <w:r>
              <w:rPr>
                <w:rFonts w:ascii="Arial" w:cs="Arial" w:eastAsia="Arial" w:hAnsi="Arial"/>
                <w:sz w:val="18"/>
                <w:szCs w:val="18"/>
                <w:b w:val="1"/>
                <w:bCs w:val="1"/>
                <w:color w:val="auto"/>
                <w:w w:val="93"/>
              </w:rPr>
              <w:t xml:space="preserve"> where appropriate):</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1"/>
              </w:rPr>
              <w:t>The investor certifies that it is a partnership, corporation, limited liability company or business trust that is 100% owned by persons who</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0" w:type="dxa"/>
            <w:vAlign w:val="bottom"/>
            <w:gridSpan w:val="3"/>
          </w:tcPr>
          <w:p>
            <w:pPr>
              <w:ind w:left="120"/>
              <w:spacing w:after="0" w:line="182" w:lineRule="exact"/>
              <w:rPr>
                <w:sz w:val="20"/>
                <w:szCs w:val="20"/>
                <w:color w:val="auto"/>
              </w:rPr>
            </w:pPr>
            <w:r>
              <w:rPr>
                <w:rFonts w:ascii="Arial" w:cs="Arial" w:eastAsia="Arial" w:hAnsi="Arial"/>
                <w:sz w:val="18"/>
                <w:szCs w:val="18"/>
                <w:color w:val="auto"/>
                <w:w w:val="92"/>
              </w:rPr>
              <w:t>meet at least one of the criteria for Individual Investors set forth above (in which case each such person must complete the Accreditor</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Investor Certification for Individuals above as well the remainder of this questionnaire).</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1"/>
              </w:rPr>
              <w:t>The investor certifies that it is a partnership, corporation, limited liability company or business trust that has total assets of at least US$5</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million and was not formed for the purpose of investing the Company.</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3"/>
              </w:rPr>
              <w:t>The investor certifies that it is an employee benefit plan whose investment decision is made by a plan fiduciary (as defined in ERISA</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§3(21)) that is a bank, savings and loan association, insurance company or registered investment advisor.</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4"/>
              </w:rPr>
              <w:t>The investor certifies that it is an employee benefit plan whose total assets exceed US$5,000,000 as of the date of this Agreement.</w:t>
            </w:r>
          </w:p>
        </w:tc>
        <w:tc>
          <w:tcPr>
            <w:tcW w:w="0" w:type="dxa"/>
            <w:vAlign w:val="bottom"/>
          </w:tcPr>
          <w:p>
            <w:pPr>
              <w:spacing w:after="0"/>
              <w:rPr>
                <w:sz w:val="1"/>
                <w:szCs w:val="1"/>
                <w:color w:val="auto"/>
              </w:rPr>
            </w:pPr>
          </w:p>
        </w:tc>
      </w:tr>
      <w:tr>
        <w:trPr>
          <w:trHeight w:val="331"/>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2"/>
              </w:rPr>
              <w:t>The undersigned certifies that it is a self-directed employee benefit plan whose investment decisions are made solely by persons who</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meet at least one of the criteria for Individual Investors.</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3"/>
              </w:rPr>
              <w:t>The investor certifies that it is a U.S. bank, U.S. savings and loan association or other similar U.S. institution acting in its individual or</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fiduciary capacity.</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The undersigned certifies that it is a broker-dealer registered pursuant to §15 of the Securities Exchange Act of 1934.</w:t>
            </w:r>
          </w:p>
        </w:tc>
        <w:tc>
          <w:tcPr>
            <w:tcW w:w="0" w:type="dxa"/>
            <w:vAlign w:val="bottom"/>
          </w:tcPr>
          <w:p>
            <w:pPr>
              <w:spacing w:after="0"/>
              <w:rPr>
                <w:sz w:val="1"/>
                <w:szCs w:val="1"/>
                <w:color w:val="auto"/>
              </w:rPr>
            </w:pPr>
          </w:p>
        </w:tc>
      </w:tr>
      <w:tr>
        <w:trPr>
          <w:trHeight w:val="331"/>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7"/>
              </w:rPr>
              <w:t>The investor certifies that it is an organization described in §501(c)(3) of the Internal Revenue Code with total assets exceeding</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US$5,000,000 and not formed for the specific purpose of investing in the Company.</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3"/>
              </w:rPr>
              <w:t>The investor certifies that it is a trust with total assets of at least US$5,000,000, not formed for the specific purpose of investing in the</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0" w:type="dxa"/>
            <w:vAlign w:val="bottom"/>
            <w:gridSpan w:val="3"/>
          </w:tcPr>
          <w:p>
            <w:pPr>
              <w:ind w:left="120"/>
              <w:spacing w:after="0" w:line="182" w:lineRule="exact"/>
              <w:rPr>
                <w:sz w:val="20"/>
                <w:szCs w:val="20"/>
                <w:color w:val="auto"/>
              </w:rPr>
            </w:pPr>
            <w:r>
              <w:rPr>
                <w:rFonts w:ascii="Arial" w:cs="Arial" w:eastAsia="Arial" w:hAnsi="Arial"/>
                <w:sz w:val="18"/>
                <w:szCs w:val="18"/>
                <w:color w:val="auto"/>
                <w:w w:val="91"/>
              </w:rPr>
              <w:t>Company, and whose purchase is directed by a person with such knowledge and experience in financial and business matters that such</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person is capable of evaluating the merits and risks of the prospective investment.</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2"/>
              </w:rPr>
              <w:t>The investor certifies that it is a plan established and maintained by a state or its political subdivisions, or any agency or instrumentality</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thereof, for the benefit of its employees, and which has total assets in excess of US$5,000,000.</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5"/>
              </w:rPr>
              <w:t>The investor certifies that it is an insurance company as defined in §2(13) of the Securities Act of 1933, or a registered investment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240" w:top="270"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Profile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(Must be completed by Investor)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A - Personal Investor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Investor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46482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Individual executing Profile or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46482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Numbers / Federal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46482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Date of Birth:</w:t>
            </w:r>
          </w:p>
        </w:tc>
        <w:tc>
          <w:tcPr>
            <w:tcW w:w="3380" w:type="dxa"/>
            <w:vAlign w:val="bottom"/>
            <w:tcBorders>
              <w:bottom w:val="single" w:sz="8" w:color="auto"/>
            </w:tcBorders>
          </w:tcPr>
          <w:p>
            <w:pPr>
              <w:spacing w:after="0"/>
              <w:rPr>
                <w:sz w:val="20"/>
                <w:szCs w:val="20"/>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Marital Status:</w:t>
            </w:r>
          </w:p>
        </w:tc>
      </w:tr>
      <w:tr>
        <w:trPr>
          <w:trHeight w:val="223"/>
        </w:trPr>
        <w:tc>
          <w:tcPr>
            <w:tcW w:w="2040" w:type="dxa"/>
            <w:vAlign w:val="bottom"/>
          </w:tcPr>
          <w:p>
            <w:pPr>
              <w:spacing w:after="0"/>
              <w:rPr>
                <w:sz w:val="20"/>
                <w:szCs w:val="20"/>
                <w:color w:val="auto"/>
              </w:rPr>
            </w:pPr>
            <w:r>
              <w:rPr>
                <w:rFonts w:ascii="Arial" w:cs="Arial" w:eastAsia="Arial" w:hAnsi="Arial"/>
                <w:sz w:val="18"/>
                <w:szCs w:val="18"/>
                <w:color w:val="auto"/>
              </w:rPr>
              <w:t>Joint Party Date of Birth:</w:t>
            </w:r>
          </w:p>
        </w:tc>
        <w:tc>
          <w:tcPr>
            <w:tcW w:w="3380" w:type="dxa"/>
            <w:vAlign w:val="bottom"/>
            <w:tcBorders>
              <w:bottom w:val="single" w:sz="8" w:color="auto"/>
            </w:tcBorders>
          </w:tcPr>
          <w:p>
            <w:pPr>
              <w:spacing w:after="0"/>
              <w:rPr>
                <w:sz w:val="19"/>
                <w:szCs w:val="19"/>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w w:val="89"/>
              </w:rPr>
              <w:t>Investment Experience (Years):</w:t>
            </w:r>
          </w:p>
        </w:tc>
      </w:tr>
      <w:tr>
        <w:trPr>
          <w:trHeight w:val="223"/>
        </w:trPr>
        <w:tc>
          <w:tcPr>
            <w:tcW w:w="2040" w:type="dxa"/>
            <w:vAlign w:val="bottom"/>
          </w:tcPr>
          <w:p>
            <w:pPr>
              <w:spacing w:after="0"/>
              <w:rPr>
                <w:sz w:val="20"/>
                <w:szCs w:val="20"/>
                <w:color w:val="auto"/>
              </w:rPr>
            </w:pPr>
            <w:r>
              <w:rPr>
                <w:rFonts w:ascii="Arial" w:cs="Arial" w:eastAsia="Arial" w:hAnsi="Arial"/>
                <w:sz w:val="18"/>
                <w:szCs w:val="18"/>
                <w:color w:val="auto"/>
              </w:rPr>
              <w:t>Annual Income:</w:t>
            </w:r>
          </w:p>
        </w:tc>
        <w:tc>
          <w:tcPr>
            <w:tcW w:w="3380" w:type="dxa"/>
            <w:vAlign w:val="bottom"/>
            <w:tcBorders>
              <w:bottom w:val="single" w:sz="8" w:color="auto"/>
            </w:tcBorders>
          </w:tcPr>
          <w:p>
            <w:pPr>
              <w:spacing w:after="0"/>
              <w:rPr>
                <w:sz w:val="19"/>
                <w:szCs w:val="19"/>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Liquid Net Worth: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-316865</wp:posOffset>
            </wp:positionV>
            <wp:extent cx="19380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-162560</wp:posOffset>
            </wp:positionV>
            <wp:extent cx="19380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-8255</wp:posOffset>
            </wp:positionV>
            <wp:extent cx="19380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Net Worth*:</w:t>
            </w:r>
          </w:p>
        </w:tc>
        <w:tc>
          <w:tcPr>
            <w:tcW w:w="800" w:type="dxa"/>
            <w:vAlign w:val="bottom"/>
            <w:tcBorders>
              <w:bottom w:val="single" w:sz="8" w:color="auto"/>
            </w:tcBorders>
            <w:gridSpan w:val="4"/>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91"/>
        </w:trPr>
        <w:tc>
          <w:tcPr>
            <w:tcW w:w="2840" w:type="dxa"/>
            <w:vAlign w:val="bottom"/>
            <w:gridSpan w:val="6"/>
          </w:tcPr>
          <w:p>
            <w:pPr>
              <w:spacing w:after="0"/>
              <w:rPr>
                <w:sz w:val="20"/>
                <w:szCs w:val="20"/>
                <w:color w:val="auto"/>
              </w:rPr>
            </w:pPr>
            <w:r>
              <w:rPr>
                <w:rFonts w:ascii="Arial" w:cs="Arial" w:eastAsia="Arial" w:hAnsi="Arial"/>
                <w:sz w:val="18"/>
                <w:szCs w:val="18"/>
                <w:color w:val="auto"/>
              </w:rPr>
              <w:t>Tax Bracket:</w:t>
            </w:r>
          </w:p>
        </w:tc>
        <w:tc>
          <w:tcPr>
            <w:tcW w:w="2840" w:type="dxa"/>
            <w:vAlign w:val="bottom"/>
            <w:gridSpan w:val="6"/>
          </w:tcPr>
          <w:p>
            <w:pPr>
              <w:ind w:left="120"/>
              <w:spacing w:after="0"/>
              <w:rPr>
                <w:sz w:val="20"/>
                <w:szCs w:val="20"/>
                <w:color w:val="auto"/>
              </w:rPr>
            </w:pPr>
            <w:r>
              <w:rPr>
                <w:rFonts w:ascii="Arial" w:cs="Arial" w:eastAsia="Arial" w:hAnsi="Arial"/>
                <w:sz w:val="18"/>
                <w:szCs w:val="18"/>
                <w:color w:val="auto"/>
              </w:rPr>
              <w:t>15% or below</w:t>
            </w:r>
          </w:p>
        </w:tc>
        <w:tc>
          <w:tcPr>
            <w:tcW w:w="2280" w:type="dxa"/>
            <w:vAlign w:val="bottom"/>
            <w:gridSpan w:val="4"/>
          </w:tcPr>
          <w:p>
            <w:pPr>
              <w:jc w:val="right"/>
              <w:ind w:right="40"/>
              <w:spacing w:after="0"/>
              <w:rPr>
                <w:sz w:val="20"/>
                <w:szCs w:val="20"/>
                <w:color w:val="auto"/>
              </w:rPr>
            </w:pPr>
            <w:r>
              <w:rPr>
                <w:rFonts w:ascii="Arial" w:cs="Arial" w:eastAsia="Arial" w:hAnsi="Arial"/>
                <w:sz w:val="18"/>
                <w:szCs w:val="18"/>
                <w:color w:val="auto"/>
              </w:rPr>
              <w:t>25% - 27.5%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w w:val="92"/>
              </w:rPr>
              <w:t>Over 27.5%</w:t>
            </w:r>
          </w:p>
        </w:tc>
      </w:tr>
      <w:tr>
        <w:trPr>
          <w:trHeight w:val="21"/>
        </w:trPr>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45"/>
        </w:trPr>
        <w:tc>
          <w:tcPr>
            <w:tcW w:w="2720" w:type="dxa"/>
            <w:vAlign w:val="bottom"/>
            <w:gridSpan w:val="5"/>
          </w:tcPr>
          <w:p>
            <w:pPr>
              <w:spacing w:after="0"/>
              <w:rPr>
                <w:sz w:val="20"/>
                <w:szCs w:val="20"/>
                <w:color w:val="auto"/>
              </w:rPr>
            </w:pPr>
            <w:r>
              <w:rPr>
                <w:rFonts w:ascii="Arial" w:cs="Arial" w:eastAsia="Arial" w:hAnsi="Arial"/>
                <w:sz w:val="18"/>
                <w:szCs w:val="18"/>
                <w:color w:val="auto"/>
              </w:rPr>
              <w:t>Home Street Address:</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31"/>
        </w:trPr>
        <w:tc>
          <w:tcPr>
            <w:tcW w:w="2720" w:type="dxa"/>
            <w:vAlign w:val="bottom"/>
            <w:gridSpan w:val="5"/>
          </w:tcPr>
          <w:p>
            <w:pPr>
              <w:spacing w:after="0"/>
              <w:rPr>
                <w:sz w:val="20"/>
                <w:szCs w:val="20"/>
                <w:color w:val="auto"/>
              </w:rPr>
            </w:pPr>
            <w:r>
              <w:rPr>
                <w:rFonts w:ascii="Arial" w:cs="Arial" w:eastAsia="Arial" w:hAnsi="Arial"/>
                <w:sz w:val="18"/>
                <w:szCs w:val="18"/>
                <w:color w:val="auto"/>
              </w:rPr>
              <w:t>Home City, State &amp; Zip Code: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45"/>
        </w:trPr>
        <w:tc>
          <w:tcPr>
            <w:tcW w:w="1260" w:type="dxa"/>
            <w:vAlign w:val="bottom"/>
          </w:tcPr>
          <w:p>
            <w:pPr>
              <w:spacing w:after="0"/>
              <w:rPr>
                <w:sz w:val="20"/>
                <w:szCs w:val="20"/>
                <w:color w:val="auto"/>
              </w:rPr>
            </w:pPr>
            <w:r>
              <w:rPr>
                <w:rFonts w:ascii="Arial" w:cs="Arial" w:eastAsia="Arial" w:hAnsi="Arial"/>
                <w:sz w:val="18"/>
                <w:szCs w:val="18"/>
                <w:color w:val="auto"/>
              </w:rPr>
              <w:t>Home Phone:</w:t>
            </w:r>
          </w:p>
        </w:tc>
        <w:tc>
          <w:tcPr>
            <w:tcW w:w="1580" w:type="dxa"/>
            <w:vAlign w:val="bottom"/>
            <w:tcBorders>
              <w:bottom w:val="single" w:sz="8" w:color="auto"/>
            </w:tcBorders>
            <w:gridSpan w:val="5"/>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Home Fax:</w:t>
            </w:r>
          </w:p>
        </w:tc>
        <w:tc>
          <w:tcPr>
            <w:tcW w:w="46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Home Email:</w:t>
            </w:r>
          </w:p>
        </w:tc>
        <w:tc>
          <w:tcPr>
            <w:tcW w:w="2280" w:type="dxa"/>
            <w:vAlign w:val="bottom"/>
            <w:tcBorders>
              <w:bottom w:val="single" w:sz="8" w:color="auto"/>
            </w:tcBorders>
            <w:gridSpan w:val="4"/>
          </w:tcPr>
          <w:p>
            <w:pPr>
              <w:spacing w:after="0"/>
              <w:rPr>
                <w:sz w:val="24"/>
                <w:szCs w:val="24"/>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Employer:</w:t>
            </w:r>
          </w:p>
        </w:tc>
        <w:tc>
          <w:tcPr>
            <w:tcW w:w="1580" w:type="dxa"/>
            <w:vAlign w:val="bottom"/>
            <w:tcBorders>
              <w:bottom w:val="single" w:sz="8" w:color="auto"/>
            </w:tcBorders>
            <w:gridSpan w:val="5"/>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45"/>
        </w:trPr>
        <w:tc>
          <w:tcPr>
            <w:tcW w:w="2840" w:type="dxa"/>
            <w:vAlign w:val="bottom"/>
            <w:gridSpan w:val="6"/>
          </w:tcPr>
          <w:p>
            <w:pPr>
              <w:spacing w:after="0"/>
              <w:rPr>
                <w:sz w:val="20"/>
                <w:szCs w:val="20"/>
                <w:color w:val="auto"/>
              </w:rPr>
            </w:pPr>
            <w:r>
              <w:rPr>
                <w:rFonts w:ascii="Arial" w:cs="Arial" w:eastAsia="Arial" w:hAnsi="Arial"/>
                <w:sz w:val="18"/>
                <w:szCs w:val="18"/>
                <w:color w:val="auto"/>
              </w:rPr>
              <w:t>Employer Street Address:</w:t>
            </w: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31"/>
        </w:trPr>
        <w:tc>
          <w:tcPr>
            <w:tcW w:w="2840" w:type="dxa"/>
            <w:vAlign w:val="bottom"/>
            <w:gridSpan w:val="6"/>
          </w:tcPr>
          <w:p>
            <w:pPr>
              <w:spacing w:after="0"/>
              <w:rPr>
                <w:sz w:val="20"/>
                <w:szCs w:val="20"/>
                <w:color w:val="auto"/>
              </w:rPr>
            </w:pPr>
            <w:r>
              <w:rPr>
                <w:rFonts w:ascii="Arial" w:cs="Arial" w:eastAsia="Arial" w:hAnsi="Arial"/>
                <w:sz w:val="18"/>
                <w:szCs w:val="18"/>
                <w:color w:val="auto"/>
              </w:rPr>
              <w:t>Employer City, State &amp; Zip Code:</w:t>
            </w: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45"/>
        </w:trPr>
        <w:tc>
          <w:tcPr>
            <w:tcW w:w="2060" w:type="dxa"/>
            <w:vAlign w:val="bottom"/>
            <w:gridSpan w:val="3"/>
          </w:tcPr>
          <w:p>
            <w:pPr>
              <w:spacing w:after="0"/>
              <w:rPr>
                <w:sz w:val="20"/>
                <w:szCs w:val="20"/>
                <w:color w:val="auto"/>
              </w:rPr>
            </w:pPr>
            <w:r>
              <w:rPr>
                <w:rFonts w:ascii="Arial" w:cs="Arial" w:eastAsia="Arial" w:hAnsi="Arial"/>
                <w:sz w:val="18"/>
                <w:szCs w:val="18"/>
                <w:color w:val="auto"/>
              </w:rPr>
              <w:t>Bus. Phone:</w:t>
            </w:r>
          </w:p>
        </w:tc>
        <w:tc>
          <w:tcPr>
            <w:tcW w:w="78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color w:val="auto"/>
              </w:rPr>
              <w:t>Bus. Fax:</w:t>
            </w: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Bus. Email:</w:t>
            </w:r>
          </w:p>
        </w:tc>
        <w:tc>
          <w:tcPr>
            <w:tcW w:w="2060" w:type="dxa"/>
            <w:vAlign w:val="bottom"/>
            <w:tcBorders>
              <w:bottom w:val="single" w:sz="8" w:color="auto"/>
            </w:tcBorders>
            <w:gridSpan w:val="3"/>
          </w:tcPr>
          <w:p>
            <w:pPr>
              <w:spacing w:after="0"/>
              <w:rPr>
                <w:sz w:val="24"/>
                <w:szCs w:val="24"/>
                <w:color w:val="auto"/>
              </w:rPr>
            </w:pPr>
          </w:p>
        </w:tc>
      </w:tr>
      <w:tr>
        <w:trPr>
          <w:trHeight w:val="331"/>
        </w:trPr>
        <w:tc>
          <w:tcPr>
            <w:tcW w:w="2060" w:type="dxa"/>
            <w:vAlign w:val="bottom"/>
            <w:gridSpan w:val="3"/>
          </w:tcPr>
          <w:p>
            <w:pPr>
              <w:spacing w:after="0"/>
              <w:rPr>
                <w:sz w:val="20"/>
                <w:szCs w:val="20"/>
                <w:color w:val="auto"/>
              </w:rPr>
            </w:pPr>
            <w:r>
              <w:rPr>
                <w:rFonts w:ascii="Arial" w:cs="Arial" w:eastAsia="Arial" w:hAnsi="Arial"/>
                <w:sz w:val="18"/>
                <w:szCs w:val="18"/>
                <w:color w:val="auto"/>
              </w:rPr>
              <w:t>Type of Business:</w:t>
            </w:r>
          </w:p>
        </w:tc>
        <w:tc>
          <w:tcPr>
            <w:tcW w:w="78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31"/>
        </w:trPr>
        <w:tc>
          <w:tcPr>
            <w:tcW w:w="2060" w:type="dxa"/>
            <w:vAlign w:val="bottom"/>
            <w:gridSpan w:val="3"/>
          </w:tcPr>
          <w:p>
            <w:pPr>
              <w:spacing w:after="0"/>
              <w:rPr>
                <w:sz w:val="20"/>
                <w:szCs w:val="20"/>
                <w:color w:val="auto"/>
              </w:rPr>
            </w:pPr>
            <w:r>
              <w:rPr>
                <w:rFonts w:ascii="Arial" w:cs="Arial" w:eastAsia="Arial" w:hAnsi="Arial"/>
                <w:sz w:val="18"/>
                <w:szCs w:val="18"/>
                <w:color w:val="auto"/>
              </w:rPr>
              <w:t>Outside Broker/Dealer:</w:t>
            </w:r>
          </w:p>
        </w:tc>
        <w:tc>
          <w:tcPr>
            <w:tcW w:w="78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u w:val="single" w:color="auto"/>
          <w:color w:val="auto"/>
        </w:rPr>
        <w:t>Section B – Certificate Delivery Instructions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deliver certificate to the Employer Address listed in Section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63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deliver certificate to the Home Address listed in Section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6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Please deliver certificate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288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14605</wp:posOffset>
            </wp:positionV>
            <wp:extent cx="42024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C – Form of Payment –Wire Transfer</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Check payable to </w:t>
      </w:r>
      <w:r>
        <w:rPr>
          <w:rFonts w:ascii="Arial" w:cs="Arial" w:eastAsia="Arial" w:hAnsi="Arial"/>
          <w:sz w:val="18"/>
          <w:szCs w:val="18"/>
          <w:b w:val="1"/>
          <w:bCs w:val="1"/>
          <w:color w:val="auto"/>
        </w:rPr>
        <w:t>Delaware Trust Company, as Escrow Agent for TapImmune Inc., Acc’t #79-2750 (</w:t>
      </w:r>
      <w:r>
        <w:rPr>
          <w:rFonts w:ascii="Arial" w:cs="Arial" w:eastAsia="Arial" w:hAnsi="Arial"/>
          <w:sz w:val="18"/>
          <w:szCs w:val="18"/>
          <w:color w:val="auto"/>
        </w:rPr>
        <w:t>insert Subscriber’s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28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p>
    <w:p>
      <w:pPr>
        <w:ind w:left="460" w:right="880"/>
        <w:spacing w:after="0" w:line="258" w:lineRule="auto"/>
        <w:rPr>
          <w:sz w:val="20"/>
          <w:szCs w:val="20"/>
          <w:color w:val="auto"/>
        </w:rPr>
      </w:pPr>
      <w:r>
        <w:rPr>
          <w:rFonts w:ascii="Arial" w:cs="Arial" w:eastAsia="Arial" w:hAnsi="Arial"/>
          <w:sz w:val="18"/>
          <w:szCs w:val="18"/>
          <w:color w:val="auto"/>
        </w:rPr>
        <w:t>Wire funds from my outside account according to Section 2(b) of the Subscription Agreement, Delaware Trust Company, Escrow Agent for TapImmune Inc. Acct# 79-2750, insert Subscriber’s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22288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left="460"/>
        <w:spacing w:after="0"/>
        <w:tabs>
          <w:tab w:leader="none" w:pos="6000" w:val="left"/>
        </w:tabs>
        <w:rPr>
          <w:sz w:val="20"/>
          <w:szCs w:val="20"/>
          <w:color w:val="auto"/>
        </w:rPr>
      </w:pPr>
      <w:r>
        <w:rPr>
          <w:rFonts w:ascii="Arial" w:cs="Arial" w:eastAsia="Arial" w:hAnsi="Arial"/>
          <w:sz w:val="18"/>
          <w:szCs w:val="18"/>
          <w:color w:val="auto"/>
        </w:rPr>
        <w:t>The funds for this investment are rolled over, tax deferred from</w:t>
      </w:r>
      <w:r>
        <w:rPr>
          <w:sz w:val="20"/>
          <w:szCs w:val="20"/>
          <w:color w:val="auto"/>
        </w:rPr>
        <w:tab/>
      </w:r>
      <w:r>
        <w:rPr>
          <w:rFonts w:ascii="Arial" w:cs="Arial" w:eastAsia="Arial" w:hAnsi="Arial"/>
          <w:sz w:val="16"/>
          <w:szCs w:val="16"/>
          <w:color w:val="auto"/>
        </w:rPr>
        <w:t>within the allowed 60 day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28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Please check if you are a FINRA member or affiliate of a FINRA member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5387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306705</wp:posOffset>
            </wp:positionV>
            <wp:extent cx="22383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-10160</wp:posOffset>
            </wp:positionV>
            <wp:extent cx="2286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b w:val="1"/>
          <w:bCs w:val="1"/>
          <w:color w:val="auto"/>
        </w:rPr>
        <w:t>Investor Signature</w:t>
      </w:r>
      <w:r>
        <w:rPr>
          <w:sz w:val="20"/>
          <w:szCs w:val="20"/>
          <w:color w:val="auto"/>
        </w:rPr>
        <w:tab/>
      </w:r>
      <w:r>
        <w:rPr>
          <w:rFonts w:ascii="Arial" w:cs="Arial" w:eastAsia="Arial" w:hAnsi="Arial"/>
          <w:sz w:val="16"/>
          <w:szCs w:val="16"/>
          <w:b w:val="1"/>
          <w:bCs w:val="1"/>
          <w:color w:val="auto"/>
        </w:rPr>
        <w:t>Date</w:t>
      </w:r>
    </w:p>
    <w:p>
      <w:pPr>
        <w:spacing w:after="0" w:line="252" w:lineRule="exact"/>
        <w:rPr>
          <w:sz w:val="20"/>
          <w:szCs w:val="20"/>
          <w:color w:val="auto"/>
        </w:rPr>
      </w:pPr>
    </w:p>
    <w:p>
      <w:pPr>
        <w:ind w:left="220" w:right="100" w:hanging="212"/>
        <w:spacing w:after="0" w:line="295" w:lineRule="auto"/>
        <w:tabs>
          <w:tab w:leader="none" w:pos="220"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purposes of calculating your net worth in this form, (a) </w:t>
      </w:r>
      <w:r>
        <w:rPr>
          <w:rFonts w:ascii="Arial" w:cs="Arial" w:eastAsia="Arial" w:hAnsi="Arial"/>
          <w:sz w:val="16"/>
          <w:szCs w:val="16"/>
          <w:b w:val="1"/>
          <w:bCs w:val="1"/>
          <w:u w:val="single" w:color="auto"/>
          <w:color w:val="auto"/>
        </w:rPr>
        <w:t>your primary residence shall not be included as an asset</w:t>
      </w:r>
      <w:r>
        <w:rPr>
          <w:rFonts w:ascii="Arial" w:cs="Arial" w:eastAsia="Arial" w:hAnsi="Arial"/>
          <w:sz w:val="16"/>
          <w:szCs w:val="16"/>
          <w:b w:val="1"/>
          <w:bCs w:val="1"/>
          <w:color w:val="auto"/>
        </w:rPr>
        <w:t>; (b) indebtedness secured by your primary residence, up to the estimated fair market value of your primary residence at the time of your purchase of the securities, shall not be included as a liability (except that if the amount of such indebtedness outstanding at the time of your purchase of the securities exceeds the amount outstanding 60 days before such time, other than as a result of the acquisition of your primary residence, the amount of such excess shall be included as a liability); and (c) indebtedness that is secured by your primary residence in excess of the estimated fair market value of your primary residence at the time of your purchase of the securities shall be included as a liability.</w:t>
      </w:r>
    </w:p>
    <w:p>
      <w:pPr>
        <w:sectPr>
          <w:pgSz w:w="11900" w:h="16838" w:orient="portrait"/>
          <w:cols w:equalWidth="0" w:num="1">
            <w:col w:w="11420"/>
          </w:cols>
          <w:pgMar w:left="240" w:top="270"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 MONEY LAUNDERING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USA PATRIOT Act</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USA PATRIOT Act is designed to detect, deter, and punish terrorists in the United States and abroad. The Act imposes new anti-money laundering requirements on brokerage firms and financial institutions. Since April 24, 2002 all brokerage firms have been required to have new, comprehensive anti-money laundering programs.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help you understand these efforts, we want to provide you with some information about money laundering and our steps to implement the USA PATRIOT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money laundering?</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Money laundering is the process of disguising illegally obtained money so that the funds appear to come from legitimate sources or activities. Money laundering occurs in connection with a wide variety of crimes, including illegal arms sales, drug trafficking, robbery, fraud, racketeering, and terrorism.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big is the problem and why is it important?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use of the U.S. financial system by criminals to facilitate terrorism or other crimes could well taint our financial markets. According to the U.S. State Department, one recent estimate puts the amount of worldwide money laundering activity at $1 trillion a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required to do to eliminate money laundering?</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Under rules required by the USA PATRIOT Act, our anti-money laundering program must designate a special compliance officer, set up employee training, conduct independent audits, and establish policies and procedures to detect and report suspicious transaction and ensure compliance with such laws. As part of our required program, we may ask you to provide various identification documents or other information. Until you provide the information or documents we need, we may not be able to effect any transactions for you.</w:t>
      </w:r>
    </w:p>
    <w:p>
      <w:pPr>
        <w:sectPr>
          <w:pgSz w:w="11900" w:h="16838" w:orient="portrait"/>
          <w:cols w:equalWidth="0" w:num="1">
            <w:col w:w="11320"/>
          </w:cols>
          <w:pgMar w:left="240" w:top="270" w:right="33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NAME: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ADDRESS:</w:t>
      </w:r>
    </w:p>
    <w:p>
      <w:pPr>
        <w:spacing w:after="0" w:line="200" w:lineRule="exact"/>
        <w:rPr>
          <w:sz w:val="20"/>
          <w:szCs w:val="20"/>
          <w:color w:val="auto"/>
        </w:rPr>
      </w:pPr>
    </w:p>
    <w:p>
      <w:pPr>
        <w:spacing w:after="0" w:line="307"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SSN# or TAX ID# OF INVESTOR: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YEARLY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WORTH:</w:t>
      </w:r>
    </w:p>
    <w:p>
      <w:pPr>
        <w:spacing w:after="0" w:line="20" w:lineRule="exact"/>
        <w:rPr>
          <w:sz w:val="20"/>
          <w:szCs w:val="20"/>
          <w:color w:val="auto"/>
        </w:rPr>
      </w:pPr>
      <w:r>
        <w:rPr>
          <w:sz w:val="20"/>
          <w:szCs w:val="20"/>
          <w:color w:val="auto"/>
        </w:rPr>
        <w:br w:type="column"/>
      </w:r>
    </w:p>
    <w:p>
      <w:pPr>
        <w:jc w:val="center"/>
        <w:ind w:right="2040"/>
        <w:spacing w:after="0" w:line="266" w:lineRule="auto"/>
        <w:rPr>
          <w:sz w:val="20"/>
          <w:szCs w:val="20"/>
          <w:color w:val="auto"/>
        </w:rPr>
      </w:pPr>
      <w:r>
        <w:rPr>
          <w:rFonts w:ascii="Arial" w:cs="Arial" w:eastAsia="Arial" w:hAnsi="Arial"/>
          <w:sz w:val="18"/>
          <w:szCs w:val="18"/>
          <w:b w:val="1"/>
          <w:bCs w:val="1"/>
          <w:color w:val="auto"/>
        </w:rPr>
        <w:t xml:space="preserve">ANTI-MONEY LAUNDERING INFORMATION FORM The following is required in accordance with the AML provision of the USA PATRIOT ACT. </w:t>
      </w:r>
      <w:r>
        <w:rPr>
          <w:rFonts w:ascii="Arial" w:cs="Arial" w:eastAsia="Arial" w:hAnsi="Arial"/>
          <w:sz w:val="18"/>
          <w:szCs w:val="18"/>
          <w:i w:val="1"/>
          <w:iCs w:val="1"/>
          <w:color w:val="auto"/>
        </w:rPr>
        <w:t>(Please fill out and return with requested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-518795</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278130</wp:posOffset>
            </wp:positionV>
            <wp:extent cx="40392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0392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501015</wp:posOffset>
            </wp:positionV>
            <wp:extent cx="40392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0392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723900</wp:posOffset>
            </wp:positionV>
            <wp:extent cx="40392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0392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1075690</wp:posOffset>
            </wp:positionV>
            <wp:extent cx="40392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0392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1298575</wp:posOffset>
            </wp:positionV>
            <wp:extent cx="40392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-1905</wp:posOffset>
            </wp:positionV>
            <wp:extent cx="40392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560"/>
            <w:col w:w="9160"/>
          </w:cols>
          <w:pgMar w:left="240" w:top="270" w:right="339" w:bottom="1440" w:gutter="0" w:footer="0" w:header="0"/>
        </w:sectPr>
      </w:pPr>
    </w:p>
    <w:p>
      <w:pPr>
        <w:spacing w:after="0" w:line="48" w:lineRule="exact"/>
        <w:rPr>
          <w:sz w:val="20"/>
          <w:szCs w:val="20"/>
          <w:color w:val="auto"/>
        </w:rPr>
      </w:pPr>
    </w:p>
    <w:p>
      <w:pPr>
        <w:ind w:left="220" w:hanging="212"/>
        <w:spacing w:after="0" w:line="295" w:lineRule="auto"/>
        <w:tabs>
          <w:tab w:leader="none" w:pos="220"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purposes of calculating your net worth in this form, (a) </w:t>
      </w:r>
      <w:r>
        <w:rPr>
          <w:rFonts w:ascii="Arial" w:cs="Arial" w:eastAsia="Arial" w:hAnsi="Arial"/>
          <w:sz w:val="16"/>
          <w:szCs w:val="16"/>
          <w:b w:val="1"/>
          <w:bCs w:val="1"/>
          <w:u w:val="single" w:color="auto"/>
          <w:color w:val="auto"/>
        </w:rPr>
        <w:t>your primary residence shall not be included as an asset</w:t>
      </w:r>
      <w:r>
        <w:rPr>
          <w:rFonts w:ascii="Arial" w:cs="Arial" w:eastAsia="Arial" w:hAnsi="Arial"/>
          <w:sz w:val="16"/>
          <w:szCs w:val="16"/>
          <w:b w:val="1"/>
          <w:bCs w:val="1"/>
          <w:color w:val="auto"/>
        </w:rPr>
        <w:t>; (b) indebtedness secured by your primary residence, up to the estimated fair market value of your primary residence at the time of your purchase of the securities, shall not be included as a liability (except that if the amount of such indebtedness outstanding at the time of your purchase of the securities exceeds the amount outstanding 60 days before such time, other than as a result of the acquisition of your primary residence, the amount of such excess shall be included as a liability); and (c) indebtedness that is secured by your primary residence in excess of the estimated fair market value of your primary residence at the time of your purchase of the securities shall be included as a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OBJECTIVE(S) (FOR ALL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17145</wp:posOffset>
            </wp:positionV>
            <wp:extent cx="21697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BUSINESS OR OF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17145</wp:posOffset>
            </wp:positionV>
            <wp:extent cx="268414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240665</wp:posOffset>
            </wp:positionV>
            <wp:extent cx="26841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INVESTORS WHO ARE </w:t>
      </w:r>
      <w:r>
        <w:rPr>
          <w:rFonts w:ascii="Arial" w:cs="Arial" w:eastAsia="Arial" w:hAnsi="Arial"/>
          <w:sz w:val="18"/>
          <w:szCs w:val="18"/>
          <w:b w:val="1"/>
          <w:bCs w:val="1"/>
          <w:u w:val="single" w:color="auto"/>
          <w:color w:val="auto"/>
        </w:rPr>
        <w:t>INDIVIDUALS</w:t>
      </w:r>
      <w:r>
        <w:rPr>
          <w:rFonts w:ascii="Arial" w:cs="Arial" w:eastAsia="Arial" w:hAnsi="Arial"/>
          <w:sz w:val="18"/>
          <w:szCs w:val="18"/>
          <w:b w:val="1"/>
          <w:bCs w:val="1"/>
          <w:color w:val="auto"/>
        </w:rPr>
        <w:t>: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17145</wp:posOffset>
            </wp:positionV>
            <wp:extent cx="24269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INVESTORS WHO ARE </w:t>
      </w:r>
      <w:r>
        <w:rPr>
          <w:rFonts w:ascii="Arial" w:cs="Arial" w:eastAsia="Arial" w:hAnsi="Arial"/>
          <w:sz w:val="18"/>
          <w:szCs w:val="18"/>
          <w:b w:val="1"/>
          <w:bCs w:val="1"/>
          <w:u w:val="single" w:color="auto"/>
          <w:color w:val="auto"/>
        </w:rPr>
        <w:t>INDIVIDUALS</w:t>
      </w:r>
      <w:r>
        <w:rPr>
          <w:rFonts w:ascii="Arial" w:cs="Arial" w:eastAsia="Arial" w:hAnsi="Arial"/>
          <w:sz w:val="18"/>
          <w:szCs w:val="18"/>
          <w:b w:val="1"/>
          <w:bCs w:val="1"/>
          <w:color w:val="auto"/>
        </w:rPr>
        <w:t>: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17145</wp:posOffset>
            </wp:positionV>
            <wp:extent cx="32848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INVESTORS WHO ARE </w:t>
      </w:r>
      <w:r>
        <w:rPr>
          <w:rFonts w:ascii="Arial" w:cs="Arial" w:eastAsia="Arial" w:hAnsi="Arial"/>
          <w:sz w:val="18"/>
          <w:szCs w:val="18"/>
          <w:b w:val="1"/>
          <w:bCs w:val="1"/>
          <w:u w:val="single" w:color="auto"/>
          <w:color w:val="auto"/>
        </w:rPr>
        <w:t>ENTITIES</w:t>
      </w:r>
      <w:r>
        <w:rPr>
          <w:rFonts w:ascii="Arial" w:cs="Arial" w:eastAsia="Arial" w:hAnsi="Arial"/>
          <w:sz w:val="18"/>
          <w:szCs w:val="18"/>
          <w:b w:val="1"/>
          <w:bCs w:val="1"/>
          <w:color w:val="auto"/>
        </w:rPr>
        <w:t>: TYPE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17145</wp:posOffset>
            </wp:positionV>
            <wp:extent cx="320738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IDENTIFICATION &amp; DOCUMENTATION AND SOURCE OF FUNDS:</w:t>
      </w:r>
    </w:p>
    <w:p>
      <w:pPr>
        <w:spacing w:after="0" w:line="131" w:lineRule="exact"/>
        <w:rPr>
          <w:sz w:val="20"/>
          <w:szCs w:val="20"/>
          <w:color w:val="auto"/>
        </w:rPr>
      </w:pPr>
    </w:p>
    <w:p>
      <w:pPr>
        <w:ind w:left="580" w:right="460" w:hanging="572"/>
        <w:spacing w:after="0" w:line="291" w:lineRule="auto"/>
        <w:tabs>
          <w:tab w:leader="none" w:pos="5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Please submit a copy of non-expired identification for the authorized signatory(ies) on the investment documents, showing name, date of birth, address and signature. </w:t>
      </w:r>
      <w:r>
        <w:rPr>
          <w:rFonts w:ascii="Arial" w:cs="Arial" w:eastAsia="Arial" w:hAnsi="Arial"/>
          <w:sz w:val="16"/>
          <w:szCs w:val="16"/>
          <w:b w:val="1"/>
          <w:bCs w:val="1"/>
          <w:color w:val="auto"/>
        </w:rPr>
        <w:t>The address shown on the identification document MUST match the Investor’s address shown on the Investor</w:t>
      </w: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Signature Page.</w:t>
      </w:r>
    </w:p>
    <w:p>
      <w:pPr>
        <w:spacing w:after="0" w:line="116" w:lineRule="exact"/>
        <w:rPr>
          <w:sz w:val="20"/>
          <w:szCs w:val="20"/>
          <w:color w:val="auto"/>
        </w:rPr>
      </w:pPr>
    </w:p>
    <w:p>
      <w:pPr>
        <w:ind w:left="1840"/>
        <w:spacing w:after="0"/>
        <w:tabs>
          <w:tab w:leader="none" w:pos="4380" w:val="left"/>
          <w:tab w:leader="none" w:pos="5520" w:val="left"/>
          <w:tab w:leader="none" w:pos="7540" w:val="left"/>
          <w:tab w:leader="none" w:pos="8720" w:val="left"/>
        </w:tabs>
        <w:rPr>
          <w:sz w:val="20"/>
          <w:szCs w:val="20"/>
          <w:color w:val="auto"/>
        </w:rPr>
      </w:pPr>
      <w:r>
        <w:rPr>
          <w:rFonts w:ascii="Arial" w:cs="Arial" w:eastAsia="Arial" w:hAnsi="Arial"/>
          <w:sz w:val="18"/>
          <w:szCs w:val="18"/>
          <w:color w:val="auto"/>
        </w:rPr>
        <w:t>Current Driver’s License</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8"/>
          <w:szCs w:val="18"/>
          <w:color w:val="auto"/>
        </w:rPr>
        <w:t>Valid Passport</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6"/>
          <w:szCs w:val="16"/>
          <w:color w:val="auto"/>
        </w:rPr>
        <w:t>Identity Card</w:t>
      </w:r>
    </w:p>
    <w:p>
      <w:pPr>
        <w:spacing w:after="0" w:line="23" w:lineRule="exact"/>
        <w:rPr>
          <w:sz w:val="20"/>
          <w:szCs w:val="20"/>
          <w:color w:val="auto"/>
        </w:rPr>
      </w:pPr>
    </w:p>
    <w:p>
      <w:pPr>
        <w:jc w:val="center"/>
        <w:ind w:left="360"/>
        <w:spacing w:after="0"/>
        <w:rPr>
          <w:sz w:val="20"/>
          <w:szCs w:val="20"/>
          <w:color w:val="auto"/>
        </w:rPr>
      </w:pPr>
      <w:r>
        <w:rPr>
          <w:rFonts w:ascii="Arial" w:cs="Arial" w:eastAsia="Arial" w:hAnsi="Arial"/>
          <w:sz w:val="18"/>
          <w:szCs w:val="18"/>
          <w:i w:val="1"/>
          <w:iCs w:val="1"/>
          <w:color w:val="auto"/>
        </w:rPr>
        <w:t>(Circle one or more)</w:t>
      </w:r>
    </w:p>
    <w:p>
      <w:pPr>
        <w:spacing w:after="0" w:line="116" w:lineRule="exact"/>
        <w:rPr>
          <w:sz w:val="20"/>
          <w:szCs w:val="20"/>
          <w:color w:val="auto"/>
        </w:rPr>
      </w:pPr>
    </w:p>
    <w:p>
      <w:pPr>
        <w:ind w:left="580" w:hanging="572"/>
        <w:spacing w:after="0" w:line="259" w:lineRule="auto"/>
        <w:tabs>
          <w:tab w:leader="none" w:pos="5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the Investor is a corporation, limited liability company, trust or other type of entity, please submit the following requisite documents: (i) Articles of Incorporation, By-Laws, Certificate of Formation, Operating Agreement, Trust or other similar documents for the type of entity; and (ii) Corporate Resolution or power of attorney or other similar document granting authority to signatory(ies) and designating that they are permitted to make the proposed investment.</w:t>
      </w:r>
    </w:p>
    <w:p>
      <w:pPr>
        <w:spacing w:after="0" w:line="92" w:lineRule="exact"/>
        <w:rPr>
          <w:rFonts w:ascii="Arial" w:cs="Arial" w:eastAsia="Arial" w:hAnsi="Arial"/>
          <w:sz w:val="18"/>
          <w:szCs w:val="18"/>
          <w:color w:val="auto"/>
        </w:rPr>
      </w:pPr>
    </w:p>
    <w:p>
      <w:pPr>
        <w:ind w:left="580" w:hanging="572"/>
        <w:spacing w:after="0"/>
        <w:tabs>
          <w:tab w:leader="none" w:pos="5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Please advise where the funds were derived from to make the proposed investment:</w:t>
      </w:r>
    </w:p>
    <w:p>
      <w:pPr>
        <w:spacing w:after="0" w:line="131" w:lineRule="exact"/>
        <w:rPr>
          <w:sz w:val="20"/>
          <w:szCs w:val="20"/>
          <w:color w:val="auto"/>
        </w:rPr>
      </w:pPr>
    </w:p>
    <w:p>
      <w:pPr>
        <w:ind w:left="1360"/>
        <w:spacing w:after="0"/>
        <w:tabs>
          <w:tab w:leader="none" w:pos="3840" w:val="left"/>
          <w:tab w:leader="none" w:pos="5880" w:val="left"/>
          <w:tab w:leader="none" w:pos="7680" w:val="left"/>
        </w:tabs>
        <w:rPr>
          <w:sz w:val="20"/>
          <w:szCs w:val="20"/>
          <w:color w:val="auto"/>
        </w:rPr>
      </w:pPr>
      <w:r>
        <w:rPr>
          <w:rFonts w:ascii="Arial" w:cs="Arial" w:eastAsia="Arial" w:hAnsi="Arial"/>
          <w:sz w:val="18"/>
          <w:szCs w:val="18"/>
          <w:color w:val="auto"/>
        </w:rPr>
        <w:t>Investments</w:t>
      </w:r>
      <w:r>
        <w:rPr>
          <w:sz w:val="20"/>
          <w:szCs w:val="20"/>
          <w:color w:val="auto"/>
        </w:rPr>
        <w:tab/>
      </w:r>
      <w:r>
        <w:rPr>
          <w:rFonts w:ascii="Arial" w:cs="Arial" w:eastAsia="Arial" w:hAnsi="Arial"/>
          <w:sz w:val="18"/>
          <w:szCs w:val="18"/>
          <w:color w:val="auto"/>
        </w:rPr>
        <w:t>Savings</w:t>
      </w:r>
      <w:r>
        <w:rPr>
          <w:sz w:val="20"/>
          <w:szCs w:val="20"/>
          <w:color w:val="auto"/>
        </w:rPr>
        <w:tab/>
      </w:r>
      <w:r>
        <w:rPr>
          <w:rFonts w:ascii="Arial" w:cs="Arial" w:eastAsia="Arial" w:hAnsi="Arial"/>
          <w:sz w:val="18"/>
          <w:szCs w:val="18"/>
          <w:color w:val="auto"/>
        </w:rPr>
        <w:t>Proceeds of Sale</w:t>
      </w:r>
      <w:r>
        <w:rPr>
          <w:sz w:val="20"/>
          <w:szCs w:val="20"/>
          <w:color w:val="auto"/>
        </w:rPr>
        <w:tab/>
      </w: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14605</wp:posOffset>
            </wp:positionV>
            <wp:extent cx="151765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(Circle one or more)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1951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17322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type w:val="continuous"/>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is currently negotiating with the holders of 2,499,995 Series A Warrants, 12,019,995 Series C Warrants, 7,319,995 Series D Warrants, 7,319,995 Series E Warrants, 5,000,000 Series A-1 Warrants, 5,000,000 Series C-1 Warrants, 5,000,000 Series D-1 Warrants, and 5,000,000 Series E-1 Warrants, to modify the terms of such warrants in order that such warrants will no longer have to be accounted for as derivative liabilities on the Company’s balance sheet. It is expected that if such warrants are modified as currently anticipated, the Company will reduce its derivative liability by approximately $21,091,740 (based upon the Black Scholes valuation of such warrants as of June 30, 2016).</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such warrant modification, the warrant holders have agreed to exercise 12 million of the Series C and Series C-1 warrants and acquire 12 million shares of Company Common Stock at $0.50 per share, for a total of $6 million. GP Nurmenkari will be paid a fee of $245,000 by the Company in connection with its solicitation of certain of the warrant holders for such warrant modification.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for the warrant modification and exercise, the Company will issue to such warrant holders:</w:t>
      </w:r>
    </w:p>
    <w:p>
      <w:pPr>
        <w:spacing w:after="0" w:line="131" w:lineRule="exact"/>
        <w:rPr>
          <w:sz w:val="20"/>
          <w:szCs w:val="20"/>
          <w:color w:val="auto"/>
        </w:rPr>
      </w:pPr>
    </w:p>
    <w:p>
      <w:pPr>
        <w:ind w:left="900" w:right="360" w:hanging="325"/>
        <w:spacing w:after="0" w:line="264"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 aggregate of 12 million warrants to purchase an aggregate of 12 million shares of Company Common Stock. The exercise price for such warrants will be $0.60 per share, and such warrants will have a term of 5 years. Such warrants will not contain provisions that would prevent them from being accounted for as equity instruments.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 aggregate of 8 million shares of Company Common Stock.</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Upon the consummation of the warrant modification and exercise and the closing of this Offering, the Company intends to seek to have the Company Common Stock listed on the Nasdaq Capital Market. In connection with such a listing, a reverse stock split would likely be necessary to meet the minimum closing price requirement for such a listing.</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warrant modification, each of the warrant holders will agree that (i) for a period commencing on the date the warrant modification agreement is entered into and ending three (3) Trading Days following the NASDAQ Stock Market’s approval of the Company’s application for initial listing of its Common Stock on the NASDAQ Capital Market (the “</w:t>
      </w:r>
      <w:r>
        <w:rPr>
          <w:rFonts w:ascii="Arial" w:cs="Arial" w:eastAsia="Arial" w:hAnsi="Arial"/>
          <w:sz w:val="16"/>
          <w:szCs w:val="16"/>
          <w:b w:val="1"/>
          <w:bCs w:val="1"/>
          <w:color w:val="auto"/>
        </w:rPr>
        <w:t>Leak-Out Period</w:t>
      </w:r>
      <w:r>
        <w:rPr>
          <w:rFonts w:ascii="Arial" w:cs="Arial" w:eastAsia="Arial" w:hAnsi="Arial"/>
          <w:sz w:val="16"/>
          <w:szCs w:val="16"/>
          <w:color w:val="auto"/>
        </w:rPr>
        <w:t>”), the warrant holder, on behalf of itself and each affiliate (as defined in Rule 405 under the Securities Act) of such holder which (x) had knowledge of the warrant modification transactions, (y) has or shares discretion relating to such warrant holder’s investments or trading or information concerning such warrant holder’s investments, including in respect of the securities issuable hereunder, or (z) is subject to such warrant holder’s review or input concerning such affiliate’s investments or trading (collectively, “</w:t>
      </w:r>
      <w:r>
        <w:rPr>
          <w:rFonts w:ascii="Arial" w:cs="Arial" w:eastAsia="Arial" w:hAnsi="Arial"/>
          <w:sz w:val="16"/>
          <w:szCs w:val="16"/>
          <w:b w:val="1"/>
          <w:bCs w:val="1"/>
          <w:color w:val="auto"/>
        </w:rPr>
        <w:t>Trading Affiliates</w:t>
      </w:r>
      <w:r>
        <w:rPr>
          <w:rFonts w:ascii="Arial" w:cs="Arial" w:eastAsia="Arial" w:hAnsi="Arial"/>
          <w:sz w:val="16"/>
          <w:szCs w:val="16"/>
          <w:color w:val="auto"/>
        </w:rPr>
        <w:t xml:space="preserve">”), will not sell, dispose or otherwise transfer shares of Company Common Stock on any Trading Day during the Leak-Out Period and (ii) the warrant holder, on behalf of itself and each Trading Affiliates, for a period commencing on the date following the expiration of the Leak-Out Period and ending 30 Trading Days thereafter, will not sell, dispose or otherwise transfer shares of Common Stock which represent more than five percent (5%) of the Company’s daily trading volume;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these trading restrictions shall not apply to any sale, disposal or other transfer at a price at or greater than $0.75 (appropriately adjusted for any stock split, reverse stock split, stock dividend or other reclassification or combination of the Common Stock occurring after the date of the warrant modification agreement). As used herein, “</w:t>
      </w:r>
      <w:r>
        <w:rPr>
          <w:rFonts w:ascii="Arial" w:cs="Arial" w:eastAsia="Arial" w:hAnsi="Arial"/>
          <w:sz w:val="16"/>
          <w:szCs w:val="16"/>
          <w:b w:val="1"/>
          <w:bCs w:val="1"/>
          <w:color w:val="auto"/>
        </w:rPr>
        <w:t>Trading Day</w:t>
      </w:r>
      <w:r>
        <w:rPr>
          <w:rFonts w:ascii="Arial" w:cs="Arial" w:eastAsia="Arial" w:hAnsi="Arial"/>
          <w:sz w:val="16"/>
          <w:szCs w:val="16"/>
          <w:color w:val="auto"/>
        </w:rPr>
        <w:t>” means a day on which the principal Trading Market is open for trading and</w:t>
      </w:r>
    </w:p>
    <w:p>
      <w:pPr>
        <w:sectPr>
          <w:pgSz w:w="11900" w:h="16838" w:orient="portrait"/>
          <w:cols w:equalWidth="0" w:num="1">
            <w:col w:w="11400"/>
          </w:cols>
          <w:pgMar w:left="240" w:top="270" w:right="259" w:bottom="1440" w:gutter="0" w:footer="0" w:header="0"/>
        </w:sectPr>
      </w:pPr>
    </w:p>
    <w:bookmarkStart w:id="189" w:name="page190"/>
    <w:bookmarkEnd w:id="189"/>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MKT, the NASDAQ Stock Market, the New York Stock Exchange, OTCQB or OTCQX (or any successors to any of the foregoing). These restrictions will terminate if the NASDAQ Stock Market does not approve the Company’s application for initial listing of its Common Stock on The NASDAQ Capital Market by October 15,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the warrant modification transaction described above will be completed.</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can be no assurance that even if the warrant modification transaction described above is completed, that the Company Common Stock will become listed on the Nasdaq Capital Market.</w:t>
      </w:r>
    </w:p>
    <w:p>
      <w:pPr>
        <w:sectPr>
          <w:pgSz w:w="11900" w:h="16838" w:orient="portrait"/>
          <w:cols w:equalWidth="0" w:num="1">
            <w:col w:w="11380"/>
          </w:cols>
          <w:pgMar w:left="240" w:top="270" w:right="27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Registration Rights Agreement</w:t>
      </w:r>
    </w:p>
    <w:p>
      <w:pPr>
        <w:sectPr>
          <w:pgSz w:w="11900" w:h="16838" w:orient="portrait"/>
          <w:cols w:equalWidth="0" w:num="1">
            <w:col w:w="9019"/>
          </w:cols>
          <w:pgMar w:left="1440" w:top="270" w:right="1440"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Investor Warrant</w:t>
      </w:r>
    </w:p>
    <w:p>
      <w:pPr>
        <w:sectPr>
          <w:pgSz w:w="11900" w:h="16838" w:orient="portrait"/>
          <w:cols w:equalWidth="0" w:num="1">
            <w:col w:w="9019"/>
          </w:cols>
          <w:pgMar w:left="1440" w:top="270" w:right="1440"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August 10, 2016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 TapImmune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persons who have executed the omnibus or counterpart signature page(s) hereto (each, a “</w:t>
      </w:r>
      <w:r>
        <w:rPr>
          <w:rFonts w:ascii="Arial" w:cs="Arial" w:eastAsia="Arial" w:hAnsi="Arial"/>
          <w:sz w:val="18"/>
          <w:szCs w:val="18"/>
          <w:b w:val="1"/>
          <w:bCs w:val="1"/>
          <w:color w:val="auto"/>
        </w:rPr>
        <w:t>Purchaser</w:t>
      </w:r>
      <w:r>
        <w:rPr>
          <w:rFonts w:ascii="Arial" w:cs="Arial" w:eastAsia="Arial" w:hAnsi="Arial"/>
          <w:sz w:val="18"/>
          <w:szCs w:val="18"/>
          <w:color w:val="auto"/>
        </w:rPr>
        <w:t>” and collectively, the “</w:t>
      </w:r>
      <w:r>
        <w:rPr>
          <w:rFonts w:ascii="Arial" w:cs="Arial" w:eastAsia="Arial" w:hAnsi="Arial"/>
          <w:sz w:val="18"/>
          <w:szCs w:val="18"/>
          <w:b w:val="1"/>
          <w:bCs w:val="1"/>
          <w:color w:val="auto"/>
        </w:rPr>
        <w:t>Purchasers</w:t>
      </w:r>
      <w:r>
        <w:rPr>
          <w:rFonts w:ascii="Arial" w:cs="Arial" w:eastAsia="Arial" w:hAnsi="Arial"/>
          <w:sz w:val="18"/>
          <w:szCs w:val="18"/>
          <w:color w:val="auto"/>
        </w:rPr>
        <w:t>”), and the persons or entities identified in Schedule 1 hereto holding Placement Agent Warrants (as defined below) (collectively the “</w:t>
      </w:r>
      <w:r>
        <w:rPr>
          <w:rFonts w:ascii="Arial" w:cs="Arial" w:eastAsia="Arial" w:hAnsi="Arial"/>
          <w:sz w:val="18"/>
          <w:szCs w:val="18"/>
          <w:b w:val="1"/>
          <w:bCs w:val="1"/>
          <w:color w:val="auto"/>
        </w:rPr>
        <w:t>Brokers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offered and sold in compliance with Rule 506 of Regulation D promulgated under the Securities Act (as defined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to accredited investors in a private placement offering (the “</w:t>
      </w:r>
      <w:r>
        <w:rPr>
          <w:rFonts w:ascii="Arial" w:cs="Arial" w:eastAsia="Arial" w:hAnsi="Arial"/>
          <w:sz w:val="18"/>
          <w:szCs w:val="18"/>
          <w:b w:val="1"/>
          <w:bCs w:val="1"/>
          <w:color w:val="auto"/>
        </w:rPr>
        <w:t>Offering</w:t>
      </w:r>
      <w:r>
        <w:rPr>
          <w:rFonts w:ascii="Arial" w:cs="Arial" w:eastAsia="Arial" w:hAnsi="Arial"/>
          <w:sz w:val="18"/>
          <w:szCs w:val="18"/>
          <w:color w:val="auto"/>
        </w:rPr>
        <w:t>”) Units (“</w:t>
      </w:r>
      <w:r>
        <w:rPr>
          <w:rFonts w:ascii="Arial" w:cs="Arial" w:eastAsia="Arial" w:hAnsi="Arial"/>
          <w:sz w:val="18"/>
          <w:szCs w:val="18"/>
          <w:b w:val="1"/>
          <w:bCs w:val="1"/>
          <w:color w:val="auto"/>
        </w:rPr>
        <w:t>Unit</w:t>
      </w:r>
      <w:r>
        <w:rPr>
          <w:rFonts w:ascii="Arial" w:cs="Arial" w:eastAsia="Arial" w:hAnsi="Arial"/>
          <w:sz w:val="18"/>
          <w:szCs w:val="18"/>
          <w:color w:val="auto"/>
        </w:rPr>
        <w:t>”), each Unit consisting of (i) one share of the Company’s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 par value $0.001 per share (each, a “</w:t>
      </w:r>
      <w:r>
        <w:rPr>
          <w:rFonts w:ascii="Arial" w:cs="Arial" w:eastAsia="Arial" w:hAnsi="Arial"/>
          <w:sz w:val="18"/>
          <w:szCs w:val="18"/>
          <w:b w:val="1"/>
          <w:bCs w:val="1"/>
          <w:color w:val="auto"/>
        </w:rPr>
        <w:t>Share</w:t>
      </w:r>
      <w:r>
        <w:rPr>
          <w:rFonts w:ascii="Arial" w:cs="Arial" w:eastAsia="Arial" w:hAnsi="Arial"/>
          <w:sz w:val="18"/>
          <w:szCs w:val="18"/>
          <w:color w:val="auto"/>
        </w:rPr>
        <w:t>”) and (ii) one warrant to purchase one share of Common Stock, with an exercise price equal to 125% of the Unit Offering Price (each a “</w:t>
      </w:r>
      <w:r>
        <w:rPr>
          <w:rFonts w:ascii="Arial" w:cs="Arial" w:eastAsia="Arial" w:hAnsi="Arial"/>
          <w:sz w:val="18"/>
          <w:szCs w:val="18"/>
          <w:b w:val="1"/>
          <w:bCs w:val="1"/>
          <w:color w:val="auto"/>
        </w:rPr>
        <w:t>Warrant</w:t>
      </w:r>
      <w:r>
        <w:rPr>
          <w:rFonts w:ascii="Arial" w:cs="Arial" w:eastAsia="Arial" w:hAnsi="Arial"/>
          <w:sz w:val="18"/>
          <w:szCs w:val="18"/>
          <w:color w:val="auto"/>
        </w:rPr>
        <w:t>”), pursuant to that certain Subscription Agreement entered into by and between the Company and each of the subscribers for the Units set forth on the signature pages affixed thereto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as well as a warrant (the “</w:t>
      </w:r>
      <w:r>
        <w:rPr>
          <w:rFonts w:ascii="Arial" w:cs="Arial" w:eastAsia="Arial" w:hAnsi="Arial"/>
          <w:sz w:val="18"/>
          <w:szCs w:val="18"/>
          <w:b w:val="1"/>
          <w:bCs w:val="1"/>
          <w:color w:val="auto"/>
        </w:rPr>
        <w:t>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Agent Warrant</w:t>
      </w:r>
      <w:r>
        <w:rPr>
          <w:rFonts w:ascii="Arial" w:cs="Arial" w:eastAsia="Arial" w:hAnsi="Arial"/>
          <w:sz w:val="18"/>
          <w:szCs w:val="18"/>
          <w:color w:val="auto"/>
        </w:rPr>
        <w:t>”) to purchase shares of Common Stock (the “</w:t>
      </w:r>
      <w:r>
        <w:rPr>
          <w:rFonts w:ascii="Arial" w:cs="Arial" w:eastAsia="Arial" w:hAnsi="Arial"/>
          <w:sz w:val="18"/>
          <w:szCs w:val="18"/>
          <w:b w:val="1"/>
          <w:bCs w:val="1"/>
          <w:color w:val="auto"/>
        </w:rPr>
        <w:t>Placement Agent Shares</w:t>
      </w:r>
      <w:r>
        <w:rPr>
          <w:rFonts w:ascii="Arial" w:cs="Arial" w:eastAsia="Arial" w:hAnsi="Arial"/>
          <w:sz w:val="18"/>
          <w:szCs w:val="18"/>
          <w:color w:val="auto"/>
        </w:rPr>
        <w:t>”) issued to the placement agent (the “</w:t>
      </w:r>
      <w:r>
        <w:rPr>
          <w:rFonts w:ascii="Arial" w:cs="Arial" w:eastAsia="Arial" w:hAnsi="Arial"/>
          <w:sz w:val="18"/>
          <w:szCs w:val="18"/>
          <w:b w:val="1"/>
          <w:bCs w:val="1"/>
          <w:color w:val="auto"/>
        </w:rPr>
        <w:t>Placement Agent</w:t>
      </w:r>
      <w:r>
        <w:rPr>
          <w:rFonts w:ascii="Arial" w:cs="Arial" w:eastAsia="Arial" w:hAnsi="Arial"/>
          <w:sz w:val="18"/>
          <w:szCs w:val="18"/>
          <w:color w:val="auto"/>
        </w:rPr>
        <w: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the Company has agreed to enter into a registration rights agreement with each of the Purchasers in the Offering who purchased the Units and with the Brokers who hold Placement Agent Warrants;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NOW, THEREFORE, in consideration of the mutual promises, representations, warranties, covenants, and conditions set forth herein, the parties mutually agree as follows:</w:t>
      </w:r>
    </w:p>
    <w:p>
      <w:pPr>
        <w:spacing w:after="0" w:line="170" w:lineRule="exact"/>
        <w:rPr>
          <w:sz w:val="20"/>
          <w:szCs w:val="20"/>
          <w:color w:val="auto"/>
        </w:rPr>
      </w:pPr>
    </w:p>
    <w:p>
      <w:pPr>
        <w:ind w:left="460" w:right="2560" w:firstLine="4"/>
        <w:spacing w:after="0" w:line="501" w:lineRule="auto"/>
        <w:tabs>
          <w:tab w:leader="none" w:pos="64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following respective meanings: “</w:t>
      </w:r>
      <w:r>
        <w:rPr>
          <w:rFonts w:ascii="Arial" w:cs="Arial" w:eastAsia="Arial" w:hAnsi="Arial"/>
          <w:sz w:val="18"/>
          <w:szCs w:val="18"/>
          <w:u w:val="single" w:color="auto"/>
          <w:color w:val="auto"/>
        </w:rPr>
        <w:t>Allowed Delay</w:t>
      </w:r>
      <w:r>
        <w:rPr>
          <w:rFonts w:ascii="Arial" w:cs="Arial" w:eastAsia="Arial" w:hAnsi="Arial"/>
          <w:sz w:val="18"/>
          <w:szCs w:val="18"/>
          <w:color w:val="auto"/>
        </w:rPr>
        <w:t>” has the meaning set forth in Section 3(e)(2).</w:t>
      </w: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Market</w:t>
      </w:r>
      <w:r>
        <w:rPr>
          <w:rFonts w:ascii="Arial" w:cs="Arial" w:eastAsia="Arial" w:hAnsi="Arial"/>
          <w:sz w:val="18"/>
          <w:szCs w:val="18"/>
          <w:color w:val="auto"/>
        </w:rPr>
        <w:t>” means the Over-the-Counter Bulletin Board, the OTC Markets, the Pink Sheets, the Nasdaq Stock Market, the New York Stock Exchange or the NYSE MKT.</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Blackout Period</w:t>
      </w:r>
      <w:r>
        <w:rPr>
          <w:rFonts w:ascii="Arial" w:cs="Arial" w:eastAsia="Arial" w:hAnsi="Arial"/>
          <w:sz w:val="18"/>
          <w:szCs w:val="18"/>
          <w:color w:val="auto"/>
        </w:rPr>
        <w:t>” means, with respect to a registration, a period, in each case commencing on the day immediately after the Company notifies the Purchasers that they are required, because of the occurrence of an event of the kind described in Section 4(f) hereof, to suspend offers and sales of Registrable Securities during which the Company, in the good faith judgment of its board of directors, determines (because of the existence of, or in anticipation of, any acquisition, financing activity, or other transaction involving the Company, or the unavailability for reasons beyond the Company’s control of any required financial statements, disclosure of information which is in its best interest not to publicly disclose, or any other event or condition of similar significance to the Company) that the registration and distribution of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93" w:name="page194"/>
    <w:bookmarkEnd w:id="193"/>
    <w:p>
      <w:pPr>
        <w:ind w:right="2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Registrable Securities to be covered by such Registration Statement, if any, would be seriously detrimental to the Company and its stockholders and ending on the earlier of (1) the date upon which the material non-public information commencing the Blackout Period is disclosed to the public or ceases to be material and (2) such time as the Company notifies the selling Holders that the Company will no longer delay such filing of the Registration Statement, recommence taking steps to make such Registration Statement effective, or allow sales pursuant to such Registration Statement to resume.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of the year, other than a Saturday, Sunday, or other day on which the Commission is required or authorized to close.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means the U. S. Securities and Exchange Commission or any other federal agency at the time administering the Securities Act.</w:t>
      </w:r>
    </w:p>
    <w:p>
      <w:pPr>
        <w:spacing w:after="0" w:line="23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par value $0.001 per share, of the Company and any and all shares of capital stock or other equity securities of: (i) the Company which are added to or exchanged or substituted for the Common Stock by reason of the declaration of any stock dividend or stock split, the issuance of any distribution or the reclassification, readjustment, recapitalization or other such modification of the capital structure of the Company; and (ii) any other corporation, now or hereafter organized under the laws of any state or other governmental authority, with which the Company is merged, which results from any consolidation or reorganization to which the Company is a party, or to which is sold all or substantially all of the shares or assets of the Company, if immediately after such merger, consolidation, reorganization or sale, the Company or the stockholders of the Company own equity securities having in the aggregate more than 50% of the total voting power of such other 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given it in the preamble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 thereunder.</w:t>
      </w:r>
    </w:p>
    <w:p>
      <w:pPr>
        <w:spacing w:after="0" w:line="24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(a) with respect to any individual, such individual’s spouse, any descendants (whether natural or adopted), any trust all of the beneficial interests of which are owned by any of such individuals or by any of such individuals together with any organization described in Section 501(c)(3) of the Internal Revenue Code of 1986, as amended, the estate of any such individual, and any corporation, association, partnership or limited liability company all of the equity interests of which are owned by those above described individuals, trusts or organizations and (b) with respect to any trust, the owners of the beneficial interests of such trust.</w:t>
      </w:r>
    </w:p>
    <w:p>
      <w:pPr>
        <w:spacing w:after="0" w:line="188"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each Purchaser or any of such Purchaser’s respective successors and Permitted Assignees who acquire rights in accordance with this Agreement with respect to any Registrable Securities directly or indirectly from a Purchaser or from any Permitted Assignee.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means the initial Registration Statement filed pursuant to this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94" w:name="page195"/>
    <w:bookmarkEnd w:id="1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Majority Holders</w:t>
      </w:r>
      <w:r>
        <w:rPr>
          <w:rFonts w:ascii="Arial" w:cs="Arial" w:eastAsia="Arial" w:hAnsi="Arial"/>
          <w:sz w:val="18"/>
          <w:szCs w:val="18"/>
          <w:color w:val="auto"/>
        </w:rPr>
        <w:t>” means at any time Holders representing a majority of the Registrable Securities.</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Assignee</w:t>
      </w:r>
      <w:r>
        <w:rPr>
          <w:rFonts w:ascii="Arial" w:cs="Arial" w:eastAsia="Arial" w:hAnsi="Arial"/>
          <w:sz w:val="18"/>
          <w:szCs w:val="18"/>
          <w:color w:val="auto"/>
        </w:rPr>
        <w:t>” means (a) with respect to a partnership, its partners or former partners, (b) with respect to a corporation, its stockholders, (c) with respect to a limited liability company, its members or former members, (d) with respect to an individual party, any Family Member of such party, (e) an entity that is controlled by, controls, or is under common control with a transferor, or (f) a party to this Agreement.</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means, in any registration of Common Stock as set forth in Section 3(b), the ability of holders of Registrable Securities to include Registrable Securities in such registration.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 Warrant</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the Shares and the Registrable Warrant Shares but excluding, subject to Section 3(e), (i) any Registrable Securities that have been publicly sold or may be sold immediately without registration under the Securities Act either pursuant to Rule 144 of the Securities Act or otherwise, without any limitations or restrictions; (ii) any Registrable Securities sold by a person in a transaction pursuant to a registration statement filed under the Securities Act, or (iii) any Registrable Securities that are at the time subject to an effective registration statement under the Securities Act.</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Warrant Shares</w:t>
      </w:r>
      <w:r>
        <w:rPr>
          <w:rFonts w:ascii="Arial" w:cs="Arial" w:eastAsia="Arial" w:hAnsi="Arial"/>
          <w:sz w:val="18"/>
          <w:szCs w:val="18"/>
          <w:color w:val="auto"/>
        </w:rPr>
        <w:t>” means (i) the shares of Common Stock issuable upon the exercise of the Warrants, and (ii) the shares of Common issuable upon the exercise of the Placement Agent Warrants.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Default Date</w:t>
      </w:r>
      <w:r>
        <w:rPr>
          <w:rFonts w:ascii="Arial" w:cs="Arial" w:eastAsia="Arial" w:hAnsi="Arial"/>
          <w:sz w:val="18"/>
          <w:szCs w:val="18"/>
          <w:color w:val="auto"/>
        </w:rPr>
        <w:t>” means the date that is 90 days after the date the Registration Statement is actually filed with the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Event</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left="1160" w:hanging="239"/>
        <w:spacing w:after="0"/>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Company fails to file with the Commission the Registration Statement on or before the Registration Filing Date;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Registration Statement is not declared effective by the Commission on or before the Registration Effectiveness Date;</w:t>
      </w:r>
    </w:p>
    <w:p>
      <w:pPr>
        <w:spacing w:after="0" w:line="225" w:lineRule="exact"/>
        <w:rPr>
          <w:rFonts w:ascii="Arial" w:cs="Arial" w:eastAsia="Arial" w:hAnsi="Arial"/>
          <w:sz w:val="18"/>
          <w:szCs w:val="18"/>
          <w:color w:val="auto"/>
        </w:rPr>
      </w:pPr>
    </w:p>
    <w:p>
      <w:pPr>
        <w:ind w:right="160" w:firstLine="921"/>
        <w:spacing w:after="0" w:line="264" w:lineRule="auto"/>
        <w:tabs>
          <w:tab w:leader="none" w:pos="115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after the SEC Effective Date, the Registration Statement ceases for any reason to remain continuously effective or the Holders are otherwise not permitted to utilize the prospectus therein to resell the Registrable Securities (including a Blackout Period) for a period of more than twenty (20) consecutive Trading Days;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95" w:name="page196"/>
    <w:bookmarkEnd w:id="195"/>
    <w:p>
      <w:pPr>
        <w:ind w:right="40" w:firstLine="921"/>
        <w:spacing w:after="0" w:line="264" w:lineRule="auto"/>
        <w:tabs>
          <w:tab w:leader="none" w:pos="1168"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Registrable Securities, if issued, are not listed or included for quotation on an Approved Market, or trading of the Common Stock is suspended or halted on the Approved Market, which at the time constitutes the principal market for the Common Stock, for more than three (3) consecutive Trading Days; or</w:t>
      </w:r>
    </w:p>
    <w:p>
      <w:pPr>
        <w:spacing w:after="0" w:line="181" w:lineRule="exact"/>
        <w:rPr>
          <w:rFonts w:ascii="Arial" w:cs="Arial" w:eastAsia="Arial" w:hAnsi="Arial"/>
          <w:sz w:val="18"/>
          <w:szCs w:val="18"/>
          <w:color w:val="auto"/>
        </w:rPr>
      </w:pPr>
    </w:p>
    <w:p>
      <w:pPr>
        <w:ind w:right="260" w:firstLine="921"/>
        <w:spacing w:after="0" w:line="277" w:lineRule="auto"/>
        <w:tabs>
          <w:tab w:leader="none" w:pos="115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Company does not comply with the information requirements of Rule 144, so long as such non-compliance prevents the resale of the Registrable Securities pursuant to such rule.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Filing Date</w:t>
      </w:r>
      <w:r>
        <w:rPr>
          <w:rFonts w:ascii="Arial" w:cs="Arial" w:eastAsia="Arial" w:hAnsi="Arial"/>
          <w:sz w:val="18"/>
          <w:szCs w:val="18"/>
          <w:color w:val="auto"/>
        </w:rPr>
        <w:t>” means the date that is 120 days after date of the final closing of the Offering.</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that the Company is required to file pursuant to this Agreement to register the Registrable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145</w:t>
      </w:r>
      <w:r>
        <w:rPr>
          <w:rFonts w:ascii="Arial" w:cs="Arial" w:eastAsia="Arial" w:hAnsi="Arial"/>
          <w:sz w:val="18"/>
          <w:szCs w:val="18"/>
          <w:color w:val="auto"/>
        </w:rPr>
        <w:t>” means Rule 145 promulgated by the Commission under the Securities Act.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from time to time, or any similar rule or regulation hereafter adopted by the SEC having substantially the same purpose and effect as such Rule.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similar federal statute promulgated in replacement thereof, and the rules and regulations of the Commission thereunder, all as the same shall be in effect at the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Effective Date</w:t>
      </w:r>
      <w:r>
        <w:rPr>
          <w:rFonts w:ascii="Arial" w:cs="Arial" w:eastAsia="Arial" w:hAnsi="Arial"/>
          <w:sz w:val="18"/>
          <w:szCs w:val="18"/>
          <w:color w:val="auto"/>
        </w:rPr>
        <w:t>” means the date the Registration Statement is declared effective by the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if the Common Stock is listed or quoted on an Approved Market, then any day during which securities are generally eligible for trading on the Approved Market, or (b) if the Common Stock is not then listed or quoted and traded on an Approved Market, then any business day.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ind w:right="40" w:firstLine="464"/>
        <w:spacing w:after="0" w:line="277" w:lineRule="auto"/>
        <w:tabs>
          <w:tab w:leader="none" w:pos="636"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continue in full force and effect until the one (1) year anniversary of the SEC Effective Date, unless terminated sooner hereunder.</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6" w:lineRule="auto"/>
        <w:tabs>
          <w:tab w:leader="none" w:pos="1157"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Registration on Form S-1</w:t>
      </w:r>
      <w:r>
        <w:rPr>
          <w:rFonts w:ascii="Arial" w:cs="Arial" w:eastAsia="Arial" w:hAnsi="Arial"/>
          <w:sz w:val="17"/>
          <w:szCs w:val="17"/>
          <w:color w:val="auto"/>
        </w:rPr>
        <w:t>. Not later than the Registration Filing Date, the Company shall file with the Commission a Registration Statement on Form S-1, or other applicable form, relating to the resale by the Holders of all of the Registrable Securities, and the Company shall use its commercially reasonably efforts to cause such Registration Statement to be declared effective prior to the Registration Default Date.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74" w:right="399" w:bottom="1440" w:gutter="0" w:footer="0" w:header="0"/>
        </w:sectPr>
      </w:pPr>
    </w:p>
    <w:bookmarkStart w:id="196" w:name="page197"/>
    <w:bookmarkEnd w:id="196"/>
    <w:p>
      <w:pPr>
        <w:ind w:left="-20" w:right="40" w:firstLine="921"/>
        <w:spacing w:after="0" w:line="270" w:lineRule="auto"/>
        <w:tabs>
          <w:tab w:leader="none" w:pos="1148"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Piggyback Registration</w:t>
      </w:r>
      <w:r>
        <w:rPr>
          <w:rFonts w:ascii="Arial" w:cs="Arial" w:eastAsia="Arial" w:hAnsi="Arial"/>
          <w:sz w:val="17"/>
          <w:szCs w:val="17"/>
          <w:color w:val="auto"/>
        </w:rPr>
        <w:t>. In addition to the Company agreement pursuant to Section 3(a) above, if the Company shall determine to register for sale for cash any of its Common Stock, for its own account or for the account of others (other than the Holders), other than (i) a registration relating solely to employee benefit plans or securities issued or issuable to employees, consultants (to the extent the securities owned or to be owned by such consultants could be registered on Form S-8) or any of their Family Members (including a registration on Form S-8) or (ii) a registration relating solely to a Securities Act Rule 145 transaction or a registration on Form S-4 in connection with a merger, acquisition, divestiture, reorganization or similar event, the Company shall promptly give to the Holders written notice thereof (and in no event shall such notice be given less than 20 calendar days prior to the filing of such registration statement), and shall, subject to Section 3(c), include as a Piggyback Registration all of the Registrable Securities specified in a written request delivered by the Holder thereof within 10 calendar days after receipt of such written notice from the Company. However, the Company may, without the consent of the Holders, withdraw such registration statement prior to its becoming effective if the Company or such other stockholders have elected to abandon the proposal to register the securities proposed to be registered thereby.</w:t>
      </w:r>
    </w:p>
    <w:p>
      <w:pPr>
        <w:spacing w:after="0" w:line="177" w:lineRule="exact"/>
        <w:rPr>
          <w:rFonts w:ascii="Arial" w:cs="Arial" w:eastAsia="Arial" w:hAnsi="Arial"/>
          <w:sz w:val="17"/>
          <w:szCs w:val="17"/>
          <w:color w:val="auto"/>
        </w:rPr>
      </w:pPr>
    </w:p>
    <w:p>
      <w:pPr>
        <w:ind w:left="-20" w:right="40" w:firstLine="921"/>
        <w:spacing w:after="0" w:line="269" w:lineRule="auto"/>
        <w:tabs>
          <w:tab w:leader="none" w:pos="1137"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Underwriting</w:t>
      </w:r>
      <w:r>
        <w:rPr>
          <w:rFonts w:ascii="Arial" w:cs="Arial" w:eastAsia="Arial" w:hAnsi="Arial"/>
          <w:sz w:val="17"/>
          <w:szCs w:val="17"/>
          <w:color w:val="auto"/>
        </w:rPr>
        <w:t>. If a Piggyback Registration is for a registered public offering that is to be made by an underwriting, the Company shall so advise the Holders of the Registrable Securities eligible for inclusion in such Registration Statement pursuant to Sections 3(b). In that event, the right of any Holder to Piggyback Registration shall be conditioned upon such Holder’s participation in such underwriting and the inclusion of such Holder’s Registrable Securities in the underwriting to the extent provided herein. All Holders proposing to sell any of their Registrable Securities through such underwriting shall (together with the Company and any other stockholders of the Company selling their securities through such underwriting) enter into an underwriting agreement in customary form with the underwriter selected for such underwriting by the Company or the selling stockholders, as applicable. Notwithstanding any other provision of this Section, if the underwriter or the Company determines that marketing factors require a limitation on the number of shares of Common Stock or the amount of other securities to be underwritten, the underwriter may exclude some or all Registrable Securities from such registration and underwriting. The Company shall so advise all Holders (except those Holders who failed to timely elect to include their Registrable Securities through such underwriting or have indicated to the Company their decision not to do so), and indicate to each such Holder the number of shares of Registrable Securities that may be included in the registration and underwriting, if any. The number of shares of Registrable Securities to be included in such registration and underwriting shall be allocated among such Holders as follows:</w:t>
      </w:r>
    </w:p>
    <w:p>
      <w:pPr>
        <w:spacing w:after="0" w:line="71" w:lineRule="exact"/>
        <w:rPr>
          <w:rFonts w:ascii="Arial" w:cs="Arial" w:eastAsia="Arial" w:hAnsi="Arial"/>
          <w:sz w:val="17"/>
          <w:szCs w:val="17"/>
          <w:color w:val="auto"/>
        </w:rPr>
      </w:pPr>
    </w:p>
    <w:p>
      <w:pPr>
        <w:ind w:left="900" w:firstLine="421"/>
        <w:spacing w:after="0" w:line="259" w:lineRule="auto"/>
        <w:tabs>
          <w:tab w:leader="none" w:pos="1535"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If the Piggyback Registration was initiated by the Company, the number of shares that may be included in the registration and underwriting shall be allocated first to the Company and then, subject to obligations and commitments existing as of the date hereof, to all selling stockholders, including the Holders, who have requested to sell in the registration on a pro rata basis according to the number of shares requested to be included therein; and</w:t>
      </w:r>
    </w:p>
    <w:p>
      <w:pPr>
        <w:spacing w:after="0" w:line="78" w:lineRule="exact"/>
        <w:rPr>
          <w:rFonts w:ascii="Arial" w:cs="Arial" w:eastAsia="Arial" w:hAnsi="Arial"/>
          <w:sz w:val="18"/>
          <w:szCs w:val="18"/>
          <w:color w:val="auto"/>
        </w:rPr>
      </w:pPr>
    </w:p>
    <w:p>
      <w:pPr>
        <w:ind w:left="900" w:firstLine="421"/>
        <w:spacing w:after="0" w:line="257" w:lineRule="auto"/>
        <w:tabs>
          <w:tab w:leader="none" w:pos="1585"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If the Piggyback Registration was initiated by the exercise of demand registration rights by a stockholder or stockholders of the Company (other than the Holders), then the number of shares that may be included in the registration and underwriting shall be allocated first to such selling stockholders who exercised such demand and then, subject to obligations and commitments existing as of the date hereof, to all other selling stockholders, including the Holders, who have requested to sell in the registration on a pro rata basis according to the number of shares requested to be included therein.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197" w:name="page198"/>
    <w:bookmarkEnd w:id="19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Registrable Securities excluded from the underwriting by reason of the underwriter’s marketing limitation shall be included in such registration and no liquidated damages as set forth in Section 3(d) shall accrue with respect to such excluded securities. If any Holder disapproves of the terms of any such underwriting, such Holder may elect to withdraw such Holder’s Registrable Securities therefrom by delivering a written notice to the Company and the underwriter. The Registrable Securities so withdrawn from such underwriting shall also be withdrawn from such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by the withdrawal of such Registrable Securities, a greater number of Registrable Securities held by other Holders may be included in such registration (up to the maximum of any limitation imposed by the underwriters), then the Company shall offer to all Holders who have included Registrable Securities in the registration the right to include additional Registrable Securities pursuant to the terms and limitations set forth herein in the same proportion used above in determining the underwriter limitation.</w:t>
      </w:r>
    </w:p>
    <w:p>
      <w:pPr>
        <w:spacing w:after="0" w:line="192" w:lineRule="exact"/>
        <w:rPr>
          <w:sz w:val="20"/>
          <w:szCs w:val="20"/>
          <w:color w:val="auto"/>
        </w:rPr>
      </w:pPr>
    </w:p>
    <w:p>
      <w:pPr>
        <w:ind w:firstLine="921"/>
        <w:spacing w:after="0" w:line="286" w:lineRule="auto"/>
        <w:tabs>
          <w:tab w:leader="none" w:pos="1168"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Liquidated Damages</w:t>
      </w:r>
      <w:r>
        <w:rPr>
          <w:rFonts w:ascii="Arial" w:cs="Arial" w:eastAsia="Arial" w:hAnsi="Arial"/>
          <w:sz w:val="16"/>
          <w:szCs w:val="16"/>
          <w:color w:val="auto"/>
        </w:rPr>
        <w:t>. If a Registration Event occurs, then the Company will make payments to each Holder of Registrable Securities, as liquidated damages to such Holder by reason of the Registration Event, a cash sum calculated at a rate of ten percent (10%) per annum of the aggregate purchase price for such Registrable Securities pursuant to the Subscription Agreement or upon exercise of Placement Agent Warrants (or in the case of unexercised Placement Agent Warrants, of the exercise price thereof) with respect to such Holder’s Registrable Securities that are affected by such Registration Event, for the period during which such Registration Event continues to affect such Registrable Securities (the “</w:t>
      </w:r>
      <w:r>
        <w:rPr>
          <w:rFonts w:ascii="Arial" w:cs="Arial" w:eastAsia="Arial" w:hAnsi="Arial"/>
          <w:sz w:val="16"/>
          <w:szCs w:val="16"/>
          <w:b w:val="1"/>
          <w:bCs w:val="1"/>
          <w:color w:val="auto"/>
        </w:rPr>
        <w:t>Registration Default</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Each payment of liquidated damages pursuant to this Section 3(d) shall be due and payable in arrears within five (5) days after the end of each full</w:t>
      </w:r>
      <w:r>
        <w:rPr>
          <w:rFonts w:ascii="Arial" w:cs="Arial" w:eastAsia="Arial" w:hAnsi="Arial"/>
          <w:sz w:val="16"/>
          <w:szCs w:val="16"/>
          <w:b w:val="1"/>
          <w:bCs w:val="1"/>
          <w:color w:val="auto"/>
        </w:rPr>
        <w:t xml:space="preserve"> </w:t>
      </w:r>
      <w:r>
        <w:rPr>
          <w:rFonts w:ascii="Arial" w:cs="Arial" w:eastAsia="Arial" w:hAnsi="Arial"/>
          <w:sz w:val="16"/>
          <w:szCs w:val="16"/>
          <w:color w:val="auto"/>
        </w:rPr>
        <w:t>30-day period of the Registration Default Period until the termination of the Registration Default Period and within five (5) days after such termination. The Registration Default Period shall terminate upon the earlier of such time as the Registrable Securities that are affected by the Registration Event cease to be Registrable Securities or (i) the filing of the Registration Statement in the case of clause (a) of the definition of Registration Event, (ii) the SEC Effective Date in the case of clause (b) of the definition of Registration Event, (iii) the ability of the Holders to effect sales pursuant to the Registration Statement in the case of clause (c) of the definition of Registration Event, (iv) the listing or inclusion and/or trading of the Common Stock on an Approved Market, as the case may be, in the case of clause (d) of the definition of Registration Event and (v) for each Holder, such Holder’s Registrable Securities become eligible for resale pursuant to Rule 144 in the case of clause (e) of the definition of Registration Event. The amounts payable as liquidated damages pursuant to this Section 3(d) shall be payable in cash in lawful money of the United States. Notwithstanding the foregoing, the Company will not be liable for the payment of liquidated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98" w:name="page199"/>
    <w:bookmarkEnd w:id="19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damages described in this Section 3(d) for any delay in registration of Registrable Securities that would otherwise be includable in the Registration Statement solely as a result of a comment received by the Staff requiring a limit on the number of Registrable Securities included in such Registration Statement in order for such Registration Statement to be able to avail itself of Rule 415 (a “</w:t>
      </w:r>
      <w:r>
        <w:rPr>
          <w:rFonts w:ascii="Arial" w:cs="Arial" w:eastAsia="Arial" w:hAnsi="Arial"/>
          <w:sz w:val="18"/>
          <w:szCs w:val="18"/>
          <w:b w:val="1"/>
          <w:bCs w:val="1"/>
          <w:color w:val="auto"/>
        </w:rPr>
        <w:t>Cutback Comment</w:t>
      </w:r>
      <w:r>
        <w:rPr>
          <w:rFonts w:ascii="Arial" w:cs="Arial" w:eastAsia="Arial" w:hAnsi="Arial"/>
          <w:sz w:val="18"/>
          <w:szCs w:val="18"/>
          <w:color w:val="auto"/>
        </w:rPr>
        <w:t>”). In the event of any such Cutback Comment, the Company will use its commercially reasonable efforts at the first opportunity that is permitted by the Commission to register for resale the Registrable Securities that have been cut back from being registered pursuant to Cutback Comment only with respect to that portion of the Holders’ Registrable Securities that are then Registrable Securities.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Cutbacks:</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(1)(a) if the Commission does not declare the Registration Statement effective on or before the Registration Default Date, or (b) if the Commission allows the Registration Statement to be declared effective at any time before or after the Registration Default Date, subject to the withdrawal of certain Registrable Securities from the Registration Statement, and the reason for (a) or (b) is the Commission’s determination that (x) the offering of any of the Registrable Securities constitutes a primary offering of securities by the Company, (y) Rule 415 may not be relied upon for the registration of the resale of any or all of the Registrable Securities, and/or (z) a Holder of any Registrable Securities must be named as an underwriter, the Holders understand and agree that in the case of (b) the Company may reduce,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the total number of Registrable Securities to be registered on behalf of each such Holder. In any such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reduction, the number of Registrable Securities to be registered on such Registration Statement will first be reduced by (i) first, the Registrable Securities represented by the Registrable Warrant Shares (applied, in the case that some Registrable Warrant Shares may be registered, to the Holders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total number of unregistered Registrable Warrant Shares held by such Holders on a fully diluted basis), and (ii) second, Registrable Securities represented by Shares (applied, in the case that some Shares may be registered, to the Holders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total number of unregistered Shares held by such Holders). In addition, any such affected Holder shall be entitled to Piggyback Registration rights after the Registration Statement is declared effective by the Commission until such time as: (AA) all Registrable Securities have been registered pursuant to an effective Registration Statement, (BB) the Registrable Securities may be resold without restriction pursuant to Rule 144 of the Securities Act, or (CC) the Holder agrees to be named as an underwriter in any such registration statement. The Holders acknowledge and agree the provisions of this paragraph may apply to more than one Registration Statement; and</w:t>
      </w:r>
    </w:p>
    <w:p>
      <w:pPr>
        <w:spacing w:after="0" w:line="183" w:lineRule="exact"/>
        <w:rPr>
          <w:sz w:val="20"/>
          <w:szCs w:val="20"/>
          <w:color w:val="auto"/>
        </w:rPr>
      </w:pPr>
    </w:p>
    <w:p>
      <w:pPr>
        <w:ind w:firstLine="464"/>
        <w:spacing w:after="0" w:line="297" w:lineRule="auto"/>
        <w:tabs>
          <w:tab w:leader="none" w:pos="71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For not more than twenty (20) consecutive days or for a total of not more than forty-five (45) days in any twelve (12) 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99" w:name="page200"/>
    <w:bookmarkEnd w:id="19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omit to state a material fact required to be stated therein or necessary to make the statements therein, in the case of the prospectus in light of the circumstances under which they were made, not misleading, including in connection with the filing of a post-effective amendment to such Registration Statement in connection with the Company’s filing of an Annual Report on Form 10-K for any fiscal year (an “</w:t>
      </w:r>
      <w:r>
        <w:rPr>
          <w:rFonts w:ascii="Arial" w:cs="Arial" w:eastAsia="Arial" w:hAnsi="Arial"/>
          <w:sz w:val="18"/>
          <w:szCs w:val="18"/>
          <w:b w:val="1"/>
          <w:bCs w:val="1"/>
          <w:color w:val="auto"/>
        </w:rPr>
        <w:t>Allowed Delay</w:t>
      </w:r>
      <w:r>
        <w:rPr>
          <w:rFonts w:ascii="Arial" w:cs="Arial" w:eastAsia="Arial" w:hAnsi="Arial"/>
          <w:sz w:val="18"/>
          <w:szCs w:val="18"/>
          <w:color w:val="auto"/>
        </w:rPr>
        <w:t>”); provided, that the Company shall promptly (a) notify each Holder in writing of the commencement of an Allowed Delay, but shall not (without the prior written consent of an Holder) disclose to such Holder any material non-public information giving rise to an Allowed Delay, (b) advise the Holders in writing to cease all sales under the Registration Statement until the end of the Allowed Delay and (c) use commercially reasonable efforts to terminate an Allowed Delay as promptly as practicable.</w:t>
      </w:r>
    </w:p>
    <w:p>
      <w:pPr>
        <w:spacing w:after="0" w:line="189" w:lineRule="exact"/>
        <w:rPr>
          <w:sz w:val="20"/>
          <w:szCs w:val="20"/>
          <w:color w:val="auto"/>
        </w:rPr>
      </w:pPr>
    </w:p>
    <w:p>
      <w:pPr>
        <w:ind w:right="200" w:firstLine="464"/>
        <w:spacing w:after="0" w:line="277" w:lineRule="auto"/>
        <w:tabs>
          <w:tab w:leader="none" w:pos="636"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Registration Procedures for Registrable Securities</w:t>
      </w:r>
      <w:r>
        <w:rPr>
          <w:rFonts w:ascii="Arial" w:cs="Arial" w:eastAsia="Arial" w:hAnsi="Arial"/>
          <w:sz w:val="18"/>
          <w:szCs w:val="18"/>
          <w:color w:val="auto"/>
        </w:rPr>
        <w:t>. The Company will keep each Holder reasonably advised as to the filing and effectiveness of the Registration Statement. At its expense with respect to the Registration Statement, the Company will:</w:t>
      </w:r>
    </w:p>
    <w:p>
      <w:pPr>
        <w:spacing w:after="0" w:line="170" w:lineRule="exact"/>
        <w:rPr>
          <w:rFonts w:ascii="Arial" w:cs="Arial" w:eastAsia="Arial" w:hAnsi="Arial"/>
          <w:sz w:val="18"/>
          <w:szCs w:val="18"/>
          <w:color w:val="auto"/>
        </w:rPr>
      </w:pPr>
    </w:p>
    <w:p>
      <w:pPr>
        <w:ind w:firstLine="921"/>
        <w:spacing w:after="0" w:line="270" w:lineRule="auto"/>
        <w:tabs>
          <w:tab w:leader="none" w:pos="1158" w:val="left"/>
        </w:tabs>
        <w:numPr>
          <w:ilvl w:val="1"/>
          <w:numId w:val="222"/>
        </w:numPr>
        <w:rPr>
          <w:rFonts w:ascii="Arial" w:cs="Arial" w:eastAsia="Arial" w:hAnsi="Arial"/>
          <w:sz w:val="17"/>
          <w:szCs w:val="17"/>
          <w:color w:val="auto"/>
        </w:rPr>
      </w:pPr>
      <w:r>
        <w:rPr>
          <w:rFonts w:ascii="Arial" w:cs="Arial" w:eastAsia="Arial" w:hAnsi="Arial"/>
          <w:sz w:val="17"/>
          <w:szCs w:val="17"/>
          <w:color w:val="auto"/>
        </w:rPr>
        <w:t>prepare and file with the Commission with respect to the Registrable Securities, a Registration Statement on Form S-1, or any other form for which the Company then qualifies or which counsel for the Company shall deem appropriate and which form shall be available for the sale of the Registrable Securities in accordance with the intended methods of distribution thereof, and use its commercially reasonable efforts to cause such Registration Statement to become effective and shall remain effective for a period of one year or for such shorter period ending on the earlier to occur of (i) the date as of which all of the Holders as selling stockholders thereunder may sell all of the Registrable Securities registered for resale thereon without restriction pursuant to Rule 144 (or any successor rule thereto) promulgated under the Securities Act or (ii) the date when all of the Registrable Securities registered thereunder shall have been sold (the “</w:t>
      </w:r>
      <w:r>
        <w:rPr>
          <w:rFonts w:ascii="Arial" w:cs="Arial" w:eastAsia="Arial" w:hAnsi="Arial"/>
          <w:sz w:val="17"/>
          <w:szCs w:val="17"/>
          <w:b w:val="1"/>
          <w:bCs w:val="1"/>
          <w:color w:val="auto"/>
        </w:rPr>
        <w:t>Effectiveness Period</w:t>
      </w:r>
      <w:r>
        <w:rPr>
          <w:rFonts w:ascii="Arial" w:cs="Arial" w:eastAsia="Arial" w:hAnsi="Arial"/>
          <w:sz w:val="17"/>
          <w:szCs w:val="17"/>
          <w:color w:val="auto"/>
        </w:rPr>
        <w:t>”). Thereafter, the Company shall be entitled to withdraw such Registration Statement and the Purchasers shall have no further right to offer or sell any of the Registrable Securities registered for resale thereon pursuant to the respective Registration Statement (or any prospectus relating thereto);</w:t>
      </w:r>
    </w:p>
    <w:p>
      <w:pPr>
        <w:spacing w:after="0" w:line="181" w:lineRule="exact"/>
        <w:rPr>
          <w:rFonts w:ascii="Arial" w:cs="Arial" w:eastAsia="Arial" w:hAnsi="Arial"/>
          <w:sz w:val="17"/>
          <w:szCs w:val="17"/>
          <w:color w:val="auto"/>
        </w:rPr>
      </w:pPr>
    </w:p>
    <w:p>
      <w:pPr>
        <w:ind w:right="400" w:firstLine="921"/>
        <w:spacing w:after="0" w:line="277" w:lineRule="auto"/>
        <w:tabs>
          <w:tab w:leader="none" w:pos="116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if the Registration Statement is subject to review by the Commission, respond in a commercially reasonable manner to all comments and diligently pursue resolution of any comments to the satisfaction of the Commission;</w:t>
      </w:r>
    </w:p>
    <w:p>
      <w:pPr>
        <w:spacing w:after="0" w:line="170" w:lineRule="exact"/>
        <w:rPr>
          <w:rFonts w:ascii="Arial" w:cs="Arial" w:eastAsia="Arial" w:hAnsi="Arial"/>
          <w:sz w:val="18"/>
          <w:szCs w:val="18"/>
          <w:color w:val="auto"/>
        </w:rPr>
      </w:pPr>
    </w:p>
    <w:p>
      <w:pPr>
        <w:ind w:right="260" w:firstLine="921"/>
        <w:spacing w:after="0" w:line="277" w:lineRule="auto"/>
        <w:tabs>
          <w:tab w:leader="none" w:pos="115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such Registration Statement as may be necessary to keep such Registration Statement effective during the Effectiveness Period;</w:t>
      </w:r>
    </w:p>
    <w:p>
      <w:pPr>
        <w:spacing w:after="0" w:line="170" w:lineRule="exact"/>
        <w:rPr>
          <w:rFonts w:ascii="Arial" w:cs="Arial" w:eastAsia="Arial" w:hAnsi="Arial"/>
          <w:sz w:val="18"/>
          <w:szCs w:val="18"/>
          <w:color w:val="auto"/>
        </w:rPr>
      </w:pPr>
    </w:p>
    <w:p>
      <w:pPr>
        <w:ind w:right="60" w:firstLine="921"/>
        <w:spacing w:after="0" w:line="255" w:lineRule="auto"/>
        <w:tabs>
          <w:tab w:leader="none" w:pos="116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furnish, without charge, to each Holder of Registrable Securities covered by such Registration Statement (i) a reasonable number of copies of such Registration Statement (including any exhibits thereto other than exhibits incorporated by reference), each amendment and supplement thereto as such Holder may reasonably request, (ii) such number of copies of the prospectus included in such Registration Statement (including each preliminary prospectus and any other prospectus filed under Rule 424 of the Securities Act) as such Holders may reasonably request, in conformity with the requirements of the Securities Act, and (iii) such other documents as such Holder may require to consummate the disposition of the Registrable Securities owned by such Holder, but only during the Effectiveness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0" w:name="page201"/>
    <w:bookmarkEnd w:id="200"/>
    <w:p>
      <w:pPr>
        <w:ind w:left="-40" w:firstLine="921"/>
        <w:spacing w:after="0" w:line="293" w:lineRule="auto"/>
        <w:tabs>
          <w:tab w:leader="none" w:pos="1118" w:val="left"/>
        </w:tabs>
        <w:numPr>
          <w:ilvl w:val="0"/>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use its commercially reasonable efforts to register or qualify such registration under such other applicable securities laws of such jurisdictions as any Holder of Registrable Securities covered by such Registration Statement reasonably requests and as may be necessary for the marketability of the Registrable Securities (such request to be made by the time the applicable Registration Statement is deemed effective by the Commission) and do any and all other acts and things necessary to enable such Holder to consummate the disposition in such jurisdictions of the Registrable Securities owned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be required to (i) qualify generally to do business in any jurisdiction where it would not otherwise be required to qualify but for this paragraph, (ii) subject itself to taxation in any such jurisdiction, or (iii) consent to general service of process in any such jurisdiction.</w:t>
      </w:r>
    </w:p>
    <w:p>
      <w:pPr>
        <w:spacing w:after="0" w:line="164" w:lineRule="exact"/>
        <w:rPr>
          <w:rFonts w:ascii="Arial" w:cs="Arial" w:eastAsia="Arial" w:hAnsi="Arial"/>
          <w:sz w:val="16"/>
          <w:szCs w:val="16"/>
          <w:color w:val="auto"/>
        </w:rPr>
      </w:pPr>
    </w:p>
    <w:p>
      <w:pPr>
        <w:ind w:left="-40" w:right="20" w:firstLine="921"/>
        <w:spacing w:after="0" w:line="289" w:lineRule="auto"/>
        <w:tabs>
          <w:tab w:leader="none" w:pos="109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notify each Holder of Registrable Securities, the disposition of which requires delivery of a prospectus relating thereto under the Securities Act, of the happening of any event (as promptly as practicable after becoming aware of such event), which comes to the Company’s attention, that will after the occurrence of such event cause the prospectus included in such Registration Statement, if not amended or supplemented, to contain an untrue statement of a material fact or an omission to state a material fact required to be stated therein or necessary to make the statements therein not misleading and the Company shall promptly thereafter prepare and furnish to such Holder a supplement or amendment to such prospectus (or prepare and file appropriate reports under the Exchange Act) so that, as thereafter delivered to the purchasers of such Registrable Securities, such prospectus shall not contain an untrue statement of a material fact or omit to state any material fact required to be stated therein or necessary to make the statements therein not misleading, unless suspension of the use of such prospectus otherwise is authorized herein or in the event of a Blackout Period, in which case no supplement or amendment need be furnished (or Exchange Act filing made) until the termination of such suspension or Blackout Period;</w:t>
      </w:r>
    </w:p>
    <w:p>
      <w:pPr>
        <w:spacing w:after="0" w:line="166" w:lineRule="exact"/>
        <w:rPr>
          <w:rFonts w:ascii="Arial" w:cs="Arial" w:eastAsia="Arial" w:hAnsi="Arial"/>
          <w:sz w:val="16"/>
          <w:szCs w:val="16"/>
          <w:color w:val="auto"/>
        </w:rPr>
      </w:pPr>
    </w:p>
    <w:p>
      <w:pPr>
        <w:ind w:left="-40" w:right="260" w:firstLine="921"/>
        <w:spacing w:after="0" w:line="342" w:lineRule="auto"/>
        <w:tabs>
          <w:tab w:leader="none" w:pos="112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comply, and continue to comply during the Effectiveness Period, in all material respects with the Securities Act and the Exchange Act and with all applicable rules and regulations of the Commission with respect to the disposition of all securities covered by such Registration Statement;</w:t>
      </w:r>
    </w:p>
    <w:p>
      <w:pPr>
        <w:spacing w:after="0" w:line="123" w:lineRule="exact"/>
        <w:rPr>
          <w:rFonts w:ascii="Arial" w:cs="Arial" w:eastAsia="Arial" w:hAnsi="Arial"/>
          <w:sz w:val="16"/>
          <w:szCs w:val="16"/>
          <w:color w:val="auto"/>
        </w:rPr>
      </w:pPr>
    </w:p>
    <w:p>
      <w:pPr>
        <w:ind w:left="-40" w:right="80" w:firstLine="921"/>
        <w:spacing w:after="0" w:line="342" w:lineRule="auto"/>
        <w:tabs>
          <w:tab w:leader="none" w:pos="112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as promptly as practicable after becoming aware of such event, notify each Holder of Registrable Securities being offered or sold pursuant to the Registration Statement of the issuance by the Commission of any stop order or other suspension of effectiveness of the Registration Statement;</w:t>
      </w:r>
    </w:p>
    <w:p>
      <w:pPr>
        <w:spacing w:after="0" w:line="123" w:lineRule="exact"/>
        <w:rPr>
          <w:rFonts w:ascii="Arial" w:cs="Arial" w:eastAsia="Arial" w:hAnsi="Arial"/>
          <w:sz w:val="16"/>
          <w:szCs w:val="16"/>
          <w:color w:val="auto"/>
        </w:rPr>
      </w:pPr>
    </w:p>
    <w:p>
      <w:pPr>
        <w:ind w:left="-40" w:right="80" w:firstLine="921"/>
        <w:spacing w:after="0" w:line="342" w:lineRule="auto"/>
        <w:tabs>
          <w:tab w:leader="none" w:pos="108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use its commercially reasonable efforts to cause all the Registrable Securities covered by the Registration Statement to be quoted on the OTC Bulletin Board or such other Approved Market on which securities of the same class or series issued by the Company are then listed or traded;</w:t>
      </w:r>
    </w:p>
    <w:p>
      <w:pPr>
        <w:spacing w:after="0" w:line="123" w:lineRule="exact"/>
        <w:rPr>
          <w:rFonts w:ascii="Arial" w:cs="Arial" w:eastAsia="Arial" w:hAnsi="Arial"/>
          <w:sz w:val="16"/>
          <w:szCs w:val="16"/>
          <w:color w:val="auto"/>
        </w:rPr>
      </w:pPr>
    </w:p>
    <w:p>
      <w:pPr>
        <w:ind w:left="1100" w:hanging="219"/>
        <w:spacing w:after="0"/>
        <w:tabs>
          <w:tab w:leader="none" w:pos="11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provide a transfer agent and registrar, which may be a single entity, for the shares of Common Stock at all times;</w:t>
      </w:r>
    </w:p>
    <w:p>
      <w:pPr>
        <w:spacing w:after="0" w:line="225" w:lineRule="exact"/>
        <w:rPr>
          <w:rFonts w:ascii="Arial" w:cs="Arial" w:eastAsia="Arial" w:hAnsi="Arial"/>
          <w:sz w:val="18"/>
          <w:szCs w:val="18"/>
          <w:color w:val="auto"/>
        </w:rPr>
      </w:pPr>
    </w:p>
    <w:p>
      <w:pPr>
        <w:ind w:left="-40" w:right="840" w:firstLine="921"/>
        <w:spacing w:after="0" w:line="277" w:lineRule="auto"/>
        <w:tabs>
          <w:tab w:leader="none" w:pos="112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requested by the Holders, cooperate with the Holders to facilitate the timely preparation and delivery of certificates representing Registrable Securities to be delivered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74" w:right="259" w:bottom="1440" w:gutter="0" w:footer="0" w:header="0"/>
        </w:sectPr>
      </w:pPr>
    </w:p>
    <w:bookmarkStart w:id="201" w:name="page202"/>
    <w:bookmarkEnd w:id="201"/>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 transferee pursuant to the Registration Statement, which certificates shall be free, to the extent permitted by applicable law, of all restrictive legends, and to enable such Registrable Securities to be in such denominations and registered in such names as any such Holders may request;</w:t>
      </w:r>
    </w:p>
    <w:p>
      <w:pPr>
        <w:spacing w:after="0" w:line="147" w:lineRule="exact"/>
        <w:rPr>
          <w:sz w:val="20"/>
          <w:szCs w:val="20"/>
          <w:color w:val="auto"/>
        </w:rPr>
      </w:pPr>
    </w:p>
    <w:p>
      <w:pPr>
        <w:ind w:right="120" w:firstLine="921"/>
        <w:spacing w:after="0" w:line="264" w:lineRule="auto"/>
        <w:tabs>
          <w:tab w:leader="none" w:pos="112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during the Effectiveness Period, refrain from bidding for or purchasing any Common Stock or any right to purchase Common Stock or attempting to induce any person to purchase any such security or right if such bid, purchase or attempt would in any way limit the right of the Holders to sell Registrable Securities by reason of the limitations set forth in Regulation M of the Exchange Act; and</w:t>
      </w:r>
    </w:p>
    <w:p>
      <w:pPr>
        <w:spacing w:after="0" w:line="181" w:lineRule="exact"/>
        <w:rPr>
          <w:rFonts w:ascii="Arial" w:cs="Arial" w:eastAsia="Arial" w:hAnsi="Arial"/>
          <w:sz w:val="18"/>
          <w:szCs w:val="18"/>
          <w:color w:val="auto"/>
        </w:rPr>
      </w:pPr>
    </w:p>
    <w:p>
      <w:pPr>
        <w:ind w:right="180" w:firstLine="921"/>
        <w:spacing w:after="0" w:line="277" w:lineRule="auto"/>
        <w:tabs>
          <w:tab w:leader="none" w:pos="121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take all other reasonable actions necessary to expedite and facilitate the disposition by the Holders of the Registrable Securities pursuant to the Registration Statement.</w:t>
      </w:r>
    </w:p>
    <w:p>
      <w:pPr>
        <w:spacing w:after="0" w:line="170" w:lineRule="exact"/>
        <w:rPr>
          <w:rFonts w:ascii="Arial" w:cs="Arial" w:eastAsia="Arial" w:hAnsi="Arial"/>
          <w:sz w:val="18"/>
          <w:szCs w:val="18"/>
          <w:color w:val="auto"/>
        </w:rPr>
      </w:pPr>
    </w:p>
    <w:p>
      <w:pPr>
        <w:ind w:right="100" w:firstLine="464"/>
        <w:spacing w:after="0" w:line="255" w:lineRule="auto"/>
        <w:tabs>
          <w:tab w:leader="none" w:pos="63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Suspension of Offers and Sales</w:t>
      </w:r>
      <w:r>
        <w:rPr>
          <w:rFonts w:ascii="Arial" w:cs="Arial" w:eastAsia="Arial" w:hAnsi="Arial"/>
          <w:sz w:val="18"/>
          <w:szCs w:val="18"/>
          <w:color w:val="auto"/>
        </w:rPr>
        <w:t>. Each Holder agrees that, upon receipt of any notice from the Company of the happening of any event of the kind described in Section 4(f) hereof or of the commencement of a Blackout Period, such Holder shall discontinue the disposition of Registrable Securities included in the Registration Statement until such Holder’s receipt of the copies of the supplemented or amended prospectus contemplated by Section 4(f) hereof or notice of the end of the Blackout Period, and, if so directed by the Company, such Holder shall deliver to the Company (at the Company’s expense) all copies (including, without limitation, any and all drafts), other than permanent file copies, then in such Holder’s possession, of the prospectus covering such Registrable Securities current at the time of receipt of such notice.</w:t>
      </w:r>
    </w:p>
    <w:p>
      <w:pPr>
        <w:spacing w:after="0" w:line="193" w:lineRule="exact"/>
        <w:rPr>
          <w:rFonts w:ascii="Arial" w:cs="Arial" w:eastAsia="Arial" w:hAnsi="Arial"/>
          <w:sz w:val="18"/>
          <w:szCs w:val="18"/>
          <w:color w:val="auto"/>
        </w:rPr>
      </w:pPr>
    </w:p>
    <w:p>
      <w:pPr>
        <w:ind w:right="100" w:firstLine="464"/>
        <w:spacing w:after="0" w:line="257" w:lineRule="auto"/>
        <w:tabs>
          <w:tab w:leader="none" w:pos="63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The Company shall pay all expenses in connection with any registration obligation provided herein, including, without limitation, all registration, filing, stock exchange fees, printing expenses, all fees and expenses of complying with applicable securities laws, and the fees and disbursements of counsel for the Company and of its independent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registration, each party shall pay for its own underwriting discounts and commissions and transfer taxes. Except as provided in this Section and Section 9, the Company shall not be responsible for the expenses of any attorney or other advisor employed by a Holder.</w:t>
      </w:r>
    </w:p>
    <w:p>
      <w:pPr>
        <w:spacing w:after="0" w:line="188" w:lineRule="exact"/>
        <w:rPr>
          <w:rFonts w:ascii="Arial" w:cs="Arial" w:eastAsia="Arial" w:hAnsi="Arial"/>
          <w:sz w:val="18"/>
          <w:szCs w:val="18"/>
          <w:color w:val="auto"/>
        </w:rPr>
      </w:pPr>
    </w:p>
    <w:p>
      <w:pPr>
        <w:ind w:firstLine="464"/>
        <w:spacing w:after="0" w:line="276" w:lineRule="auto"/>
        <w:tabs>
          <w:tab w:leader="none" w:pos="636"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Assignment of Rights</w:t>
      </w:r>
      <w:r>
        <w:rPr>
          <w:rFonts w:ascii="Arial" w:cs="Arial" w:eastAsia="Arial" w:hAnsi="Arial"/>
          <w:sz w:val="17"/>
          <w:szCs w:val="17"/>
          <w:color w:val="auto"/>
        </w:rPr>
        <w:t xml:space="preserve">. No Holder may assign its rights under this Agreement to any party without the prior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Holder may assign its rights under this Agreement without such consent to a Permitted Assignee as long as (a) such transfer or assignment is effected in accordance with applicable securities laws; (b) such transferee or assignee agrees in writing to become subject to the terms of this Agreement; and (c) such Holder notifies the Company in writing of such transfer or assignment, stating the name and address of the transferee or assignee and identifying the Registrable Securities with respect to which such rights are being transferred or assigned.</w:t>
      </w:r>
    </w:p>
    <w:p>
      <w:pPr>
        <w:spacing w:after="0" w:line="172" w:lineRule="exact"/>
        <w:rPr>
          <w:rFonts w:ascii="Arial" w:cs="Arial" w:eastAsia="Arial" w:hAnsi="Arial"/>
          <w:sz w:val="17"/>
          <w:szCs w:val="17"/>
          <w:color w:val="auto"/>
        </w:rPr>
      </w:pPr>
    </w:p>
    <w:p>
      <w:pPr>
        <w:ind w:right="20" w:firstLine="464"/>
        <w:spacing w:after="0" w:line="259" w:lineRule="auto"/>
        <w:tabs>
          <w:tab w:leader="none" w:pos="63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Information by Holder</w:t>
      </w:r>
      <w:r>
        <w:rPr>
          <w:rFonts w:ascii="Arial" w:cs="Arial" w:eastAsia="Arial" w:hAnsi="Arial"/>
          <w:sz w:val="18"/>
          <w:szCs w:val="18"/>
          <w:color w:val="auto"/>
        </w:rPr>
        <w:t>. A Holder of Registrable Securities included in any registration shall furnish to the Company such information regarding itself, the Registrable Securities held by it, and the intended method of disposition of such securities as shall be required in order to comply with any applicable law or regulation in connection with the registration of such Holder’s Registrable Securities or any qualification or compliance with respect to such Holder’s Registrable Securities and referred to in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02" w:name="page203"/>
    <w:bookmarkEnd w:id="202"/>
    <w:p>
      <w:pPr>
        <w:ind w:left="600" w:hanging="176"/>
        <w:spacing w:after="0"/>
        <w:tabs>
          <w:tab w:leader="none" w:pos="60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921"/>
        <w:spacing w:after="0" w:line="285" w:lineRule="auto"/>
        <w:tabs>
          <w:tab w:leader="none" w:pos="1118" w:val="left"/>
        </w:tabs>
        <w:numPr>
          <w:ilvl w:val="1"/>
          <w:numId w:val="226"/>
        </w:numPr>
        <w:rPr>
          <w:rFonts w:ascii="Arial" w:cs="Arial" w:eastAsia="Arial" w:hAnsi="Arial"/>
          <w:sz w:val="16"/>
          <w:szCs w:val="16"/>
          <w:color w:val="auto"/>
        </w:rPr>
      </w:pPr>
      <w:r>
        <w:rPr>
          <w:rFonts w:ascii="Arial" w:cs="Arial" w:eastAsia="Arial" w:hAnsi="Arial"/>
          <w:sz w:val="16"/>
          <w:szCs w:val="16"/>
          <w:color w:val="auto"/>
        </w:rPr>
        <w:t xml:space="preserve">In the event of the offer and sale of Registrable Securities under the Securities Act, the Company shall, and hereby does, indemnify and hold harmless, to the fullest extent permitted by law, each Holder, its directors, officers, partners, each other person who participates as an underwriter in the offering or sale of such securities, and each other person, if any, who controls or is under common control with such Holder or any such underwriter within the meaning of Section 15 of the Securities Act, against any losses, claims, damages or liabilities, joint or several, and expenses to which the Holder or any such director, officer, partner or underwriter or controlling person may become subject under the Securities Act, the Exchange Act, or any other federal or state law, insofar as such losses, claims, damages, liabilities or expenses (or actions or proceedings, whether commenced or threatened, in respect thereof) arise out of or are based upon any untrue statement of any material fact contained in any registration statement prepared and filed by the Company under which Registrable Securities were registered under the Securities Act, any preliminary prospectus, final prospectus or summary prospectus contained therein, or any amendment or supplement thereto, or any omission to state therein a material fact required to be stated or necessary to make the statements therein in light of the circumstances in which they were made not misleading, or any violation or alleged violation of the Securities Act, the Exchange Act, any state securities law or any rule or regulation promulgated under the Securities Act, the Exchange Act or any state securities law in connection with this Agreement; and the Company shall reimburse the Holder, and each such director, officer, partner, underwriter and controlling person for any legal or any other expenses reasonably incurred by them in connection with investigating, defending or settling any such loss, claim, damage, liability, action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agreement found in this Section 9(a) shall in no event exceed the net proceeds from the Offering received by the Company;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liable in any such case to the extent that any such loss, claim, damage, liability (or action or proceeding in respect thereof) or expense arises out of or is based upon an untrue statement in or omission from such registration statement, any such preliminary prospectus, final prospectus, summary prospectus, amendment or supplement in reliance upon and in conformity with written information furnished to the Company by the Holder specifically for use in the preparation thereof. Such indemnity shall remain in full force and effect regardless of any investigation made by or on behalf of the Holders, or any such director, officer, partner, underwriter or controlling person and shall survive the transfer of such shares by the Holder.</w:t>
      </w:r>
    </w:p>
    <w:p>
      <w:pPr>
        <w:spacing w:after="0" w:line="170" w:lineRule="exact"/>
        <w:rPr>
          <w:rFonts w:ascii="Arial" w:cs="Arial" w:eastAsia="Arial" w:hAnsi="Arial"/>
          <w:sz w:val="16"/>
          <w:szCs w:val="16"/>
          <w:color w:val="auto"/>
        </w:rPr>
      </w:pPr>
    </w:p>
    <w:p>
      <w:pPr>
        <w:ind w:left="-40" w:firstLine="921"/>
        <w:spacing w:after="0" w:line="255" w:lineRule="auto"/>
        <w:tabs>
          <w:tab w:leader="none" w:pos="112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As a condition to including Registrable Securities in any registration statement filed pursuant to this Agreement, each Holder agrees to be bound by the terms of this Section 9 and to indemnify and hold harmless, to the fullest extent permitted by law, the Company, its directors and officers, and each other person, if any, who controls the Company within the meaning of Section 15 of the Securities Act, against any losses, claims, damages or liabilities, joint or several, to which the Company or any such director or officer or controlling person may become subject under the Securities Act, the Exchange Act, or any other federal or state law, to the extent arising out of or based solely upon: any untrue or alleged untrue statement of a material fact contained in any registration statement, any prospectus, or any form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74" w:right="279" w:bottom="1440" w:gutter="0" w:footer="0" w:header="0"/>
        </w:sectPr>
      </w:pPr>
    </w:p>
    <w:bookmarkStart w:id="203" w:name="page204"/>
    <w:bookmarkEnd w:id="203"/>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the registration statement or such prospectus or (ii) to the extent that (1)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the Registration Statement, such prospectus or such form of prospectus or in any amendment or supplement thereto or (2) in the case of an occurrence of an event of the type specified in Section 4(f) hereof, the use by such Holder of an outdated or defective prospectus after the Company has notified such Holder in writing that the prospectus is outdated or defective and prior to the receipt by such Holder of the advice contemplated in Section 4(f).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83" w:lineRule="exact"/>
        <w:rPr>
          <w:sz w:val="20"/>
          <w:szCs w:val="20"/>
          <w:color w:val="auto"/>
        </w:rPr>
      </w:pPr>
    </w:p>
    <w:p>
      <w:pPr>
        <w:ind w:firstLine="921"/>
        <w:spacing w:after="0" w:line="285" w:lineRule="auto"/>
        <w:tabs>
          <w:tab w:leader="none" w:pos="115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of notice of the commencement of any action or proceeding involving a claim referred to in this Section (including any governmental action), such indemnified party shall, if a claim in respect thereof is to be made against an indemnifying party, give written notice to the indemnifying party of the commencement of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any indemnified party to give notice as provided herein shall not relieve the indemnifying party of its obligations under this Section, except to the extent that the indemnifying party is actually prejudiced by such failure to give notice. In case any such action is brought against an indemnified party, unless in the reasonable judgment of counsel to such indemnified party a conflict of interest between such indemnified and indemnifying parties may exist or the indemnified party may have defenses not available to the indemnifying party in respect of such claim, the indemnifying party shall be entitled to participate in and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unless in such indemnified party’s reasonable judgment a conflict of interest between such indemnified and indemnifying parties arises in respect of such claim after the assumption of the defenses thereof or the indemnifying party fails to defend such claim in a diligent manner, other than reasonable costs of investigation. Neither an indemnified nor an indemnifying party shall be liable for any settlement of any action or proceeding effected without its consent. No indemnifying party shall, without the consent of the indemnified party, consent to entry of any judgment or enter into any settlement, which does not include as an unconditional term thereof the giving by the claimant or plaintiff to such indemnified party of a release from all liability in respect of such claim or litigation. Notwithstanding anything to the contrary set forth herein, and without limiting any of the rights set forth above, in any event any party shall have the right to retain, at its own expense, counsel with respect to the defense of a claim.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04" w:name="page205"/>
    <w:bookmarkEnd w:id="204"/>
    <w:p>
      <w:pPr>
        <w:ind w:left="-100" w:right="120" w:firstLine="921"/>
        <w:spacing w:after="0" w:line="287" w:lineRule="auto"/>
        <w:tabs>
          <w:tab w:leader="none" w:pos="1068" w:val="left"/>
        </w:tabs>
        <w:numPr>
          <w:ilvl w:val="1"/>
          <w:numId w:val="2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indemnification provided for in Section 9(a) or 9(b) is held by a court of competent jurisdiction to be unavailable to an indemnified party with respect to any loss, liability, claim, damage or expense referred to herein, the indemnifying party, in lieu of indemnifying such indemnified party hereunder, shall (i) contribute to the amount paid or payable by such indemnified party as a result of such loss, liability, claim, damage or expense as is appropriate to reflect the proportionate relative fault of the indemnifying party on the one hand and the indemnified party on the other (determined by reference to, among other things, whether the untrue or alleged untrue statement of a material fact or omission relates to information supplied by the indemnifying party or the indemnified party and the parties’ relative intent, knowledge, access to information and opportunity to correct or prevent such untrue statement or omission), or (ii) if the allocation provided by clause (i) above is not permitted by applicable law or provides a lesser sum to the indemnified party than the amount hereinafter calculated, not only the proportionate relative fault of the indemnifying party and the indemnified party, but also the relative benefits received by the indemnifying party on the one hand and the indemnified party on the other, as well as any other relevant equitable considerations. No indemnified party guilty of fraudulent misrepresentation (within the meaning of Section 11(f) of the Securities Act) shall be entitled to contribution from any indemnifying party who was not guilty of such fraudulent misrepresentation.</w:t>
      </w:r>
    </w:p>
    <w:p>
      <w:pPr>
        <w:spacing w:after="0" w:line="172" w:lineRule="exact"/>
        <w:rPr>
          <w:rFonts w:ascii="Arial" w:cs="Arial" w:eastAsia="Arial" w:hAnsi="Arial"/>
          <w:sz w:val="16"/>
          <w:szCs w:val="16"/>
          <w:color w:val="auto"/>
        </w:rPr>
      </w:pPr>
    </w:p>
    <w:p>
      <w:pPr>
        <w:ind w:left="-100" w:firstLine="921"/>
        <w:spacing w:after="0" w:line="264" w:lineRule="auto"/>
        <w:tabs>
          <w:tab w:leader="none" w:pos="1057"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Indemnification similar to that specified in this Section (with appropriate modifications) shall be given by the Company and each Holder of Registrable Securities with respect to any required registration or other qualification of securities under any federal or state law or regulation or governmental authority other than the Securities Act.</w:t>
      </w:r>
    </w:p>
    <w:p>
      <w:pPr>
        <w:spacing w:after="0" w:line="181" w:lineRule="exact"/>
        <w:rPr>
          <w:rFonts w:ascii="Arial" w:cs="Arial" w:eastAsia="Arial" w:hAnsi="Arial"/>
          <w:sz w:val="18"/>
          <w:szCs w:val="18"/>
          <w:color w:val="auto"/>
        </w:rPr>
      </w:pPr>
    </w:p>
    <w:p>
      <w:pPr>
        <w:ind w:left="-100" w:firstLine="464"/>
        <w:spacing w:after="0" w:line="270" w:lineRule="auto"/>
        <w:tabs>
          <w:tab w:leader="none" w:pos="626"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Rule 144</w:t>
      </w:r>
      <w:r>
        <w:rPr>
          <w:rFonts w:ascii="Arial" w:cs="Arial" w:eastAsia="Arial" w:hAnsi="Arial"/>
          <w:sz w:val="17"/>
          <w:szCs w:val="17"/>
          <w:color w:val="auto"/>
        </w:rPr>
        <w:t>. With a view to making available to the Holders the benefits of Rule 144 and any other rule or regulation of the Commission that may at any time permit the Holders to sell the Registrable Securities to the public without registration, the Company agrees: (i) to make and keep public information available as those terms are understood in Rule 144, (ii) to file with the Commission in a timely manner all reports and other documents required to be filed by an issuer of securities registered under the Securities Act or the Exchange Act pursuant to Rule 144, (iii) as long as any Holder owns any Registrable Securities, to furnish in writing upon such Holder’s request a written statement by the Company that it has complied with the reporting requirements of Rule 144 and of the Securities Act and the Exchange Act, and to furnish to such Holder a copy of the most recent annual or quarterly report of the Company, and such other reports and documents so filed by the Company as may be reasonably requested in availing such Holder of any rule or regulation of the Commission permitting the selling of any such Registrable Securities without registration and (iv) undertake any additional actions commercially reasonably necessary to maintain the availability of the use of Rule 144.</w:t>
      </w:r>
    </w:p>
    <w:p>
      <w:pPr>
        <w:spacing w:after="0" w:line="181" w:lineRule="exact"/>
        <w:rPr>
          <w:rFonts w:ascii="Arial" w:cs="Arial" w:eastAsia="Arial" w:hAnsi="Arial"/>
          <w:sz w:val="17"/>
          <w:szCs w:val="17"/>
          <w:color w:val="auto"/>
        </w:rPr>
      </w:pPr>
    </w:p>
    <w:p>
      <w:pPr>
        <w:ind w:left="-100" w:right="60" w:firstLine="464"/>
        <w:spacing w:after="0" w:line="257" w:lineRule="auto"/>
        <w:tabs>
          <w:tab w:leader="none" w:pos="62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Independent Nature of Each Purchaser’s Obligations and Rights</w:t>
      </w:r>
      <w:r>
        <w:rPr>
          <w:rFonts w:ascii="Arial" w:cs="Arial" w:eastAsia="Arial" w:hAnsi="Arial"/>
          <w:sz w:val="18"/>
          <w:szCs w:val="18"/>
          <w:color w:val="auto"/>
        </w:rPr>
        <w:t>. The obligations of each Purchaser under this Agreement are several and not joint with the obligations of any other Purchaser, and each Purchaser shall not be responsible in any way for the performance of the obligations of any other Purchaser under this Agreement. Nothing contained herein and no action taken by any Purchaser pursuant hereto, shall be deemed to constitute such Purchasers as a partnership, an association, a joint venture, or any other kind of entity, or create a presumption that the Purchasers are in any way acting in concert or as a group with respect to such obligations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40" w:top="274" w:right="339" w:bottom="1440" w:gutter="0" w:footer="0" w:header="0"/>
        </w:sectPr>
      </w:pPr>
    </w:p>
    <w:bookmarkStart w:id="205" w:name="page206"/>
    <w:bookmarkEnd w:id="205"/>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w:t>
      </w:r>
    </w:p>
    <w:p>
      <w:pPr>
        <w:spacing w:after="0" w:line="181" w:lineRule="exact"/>
        <w:rPr>
          <w:sz w:val="20"/>
          <w:szCs w:val="20"/>
          <w:color w:val="auto"/>
        </w:rPr>
      </w:pPr>
    </w:p>
    <w:p>
      <w:pPr>
        <w:ind w:right="40" w:firstLine="464"/>
        <w:spacing w:after="0" w:line="257" w:lineRule="auto"/>
        <w:tabs>
          <w:tab w:leader="none" w:pos="726"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shall not grant any additional registration rights other than those contemplated herein without the consent of the Majority Holders prior to the effectiveness of the Registration Statement other than, in the case of the Company (i) a registration relating solely to employee benefit plans or securities issued or issuable to employees, consultants (to the extent the securities owned or to be owned by such consultants could be registered on Form S-8) or any of their Family Members (including a registration on Form S-8) or (ii) a registration on Form S-4 or Form F-4 in connection with a merger, acquisition, divestiture, reorganization or similar event.</w:t>
      </w:r>
    </w:p>
    <w:p>
      <w:pPr>
        <w:spacing w:after="0" w:line="188" w:lineRule="exact"/>
        <w:rPr>
          <w:rFonts w:ascii="Arial" w:cs="Arial" w:eastAsia="Arial" w:hAnsi="Arial"/>
          <w:sz w:val="18"/>
          <w:szCs w:val="18"/>
          <w:color w:val="auto"/>
        </w:rPr>
      </w:pPr>
    </w:p>
    <w:p>
      <w:pPr>
        <w:ind w:left="740" w:hanging="276"/>
        <w:spacing w:after="0"/>
        <w:tabs>
          <w:tab w:leader="none" w:pos="74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21"/>
        <w:spacing w:after="0" w:line="255" w:lineRule="auto"/>
        <w:tabs>
          <w:tab w:leader="none" w:pos="1157"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United States of America and the State of New York, both substantive and remedial, without regard to New York conflicts of law principles. Any judicial proceeding brought against either of the parties to this Agreement or any dispute arising out of this Agreement or any matter related hereto shall be brought in the courts of the State of New York, New York County, or in the United States District Court for the Southern District of New York and, by its execution and delivery of this Agreement, each party to this Agreement accepts the jurisdiction of such courts. The foregoing consent to jurisdiction shall not be deemed to confer rights on any person other than the parties to this Agreement.</w:t>
      </w:r>
    </w:p>
    <w:p>
      <w:pPr>
        <w:spacing w:after="0" w:line="193" w:lineRule="exact"/>
        <w:rPr>
          <w:rFonts w:ascii="Arial" w:cs="Arial" w:eastAsia="Arial" w:hAnsi="Arial"/>
          <w:sz w:val="18"/>
          <w:szCs w:val="18"/>
          <w:color w:val="auto"/>
        </w:rPr>
      </w:pPr>
    </w:p>
    <w:p>
      <w:pPr>
        <w:ind w:right="60" w:firstLine="921"/>
        <w:spacing w:after="0" w:line="255" w:lineRule="auto"/>
        <w:tabs>
          <w:tab w:leader="none" w:pos="1168"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93" w:lineRule="exact"/>
        <w:rPr>
          <w:rFonts w:ascii="Arial" w:cs="Arial" w:eastAsia="Arial" w:hAnsi="Arial"/>
          <w:sz w:val="18"/>
          <w:szCs w:val="18"/>
          <w:color w:val="auto"/>
        </w:rPr>
      </w:pPr>
    </w:p>
    <w:p>
      <w:pPr>
        <w:ind w:right="320" w:firstLine="921"/>
        <w:spacing w:after="0" w:line="277" w:lineRule="auto"/>
        <w:tabs>
          <w:tab w:leader="none" w:pos="1157"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herein, the provisions hereof shall inure to the benefit of, and be binding upon, the successors, Permitted Assignees, executors and administrators of the parties hereto.</w:t>
      </w:r>
    </w:p>
    <w:p>
      <w:pPr>
        <w:spacing w:after="0" w:line="170" w:lineRule="exact"/>
        <w:rPr>
          <w:rFonts w:ascii="Arial" w:cs="Arial" w:eastAsia="Arial" w:hAnsi="Arial"/>
          <w:sz w:val="18"/>
          <w:szCs w:val="18"/>
          <w:color w:val="auto"/>
        </w:rPr>
      </w:pPr>
    </w:p>
    <w:p>
      <w:pPr>
        <w:ind w:right="120" w:firstLine="921"/>
        <w:spacing w:after="0" w:line="264" w:lineRule="auto"/>
        <w:tabs>
          <w:tab w:leader="none" w:pos="1168"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has not entered, as of the date hereof, and shall not enter, on or after the date of this Agreement, into any agreement with respect to its securities that would have the effect of impairing the rights granted to the Holders in this Agreement or otherwise conflicts with the provisions hereof.</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full and entire understanding and agreement between the parties with regard to the subjects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06" w:name="page207"/>
    <w:bookmarkEnd w:id="206"/>
    <w:p>
      <w:pPr>
        <w:ind w:right="20" w:firstLine="921"/>
        <w:spacing w:after="0" w:line="259" w:lineRule="auto"/>
        <w:tabs>
          <w:tab w:leader="none" w:pos="1138"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etc</w:t>
      </w:r>
      <w:r>
        <w:rPr>
          <w:rFonts w:ascii="Arial" w:cs="Arial" w:eastAsia="Arial" w:hAnsi="Arial"/>
          <w:sz w:val="18"/>
          <w:szCs w:val="18"/>
          <w:color w:val="auto"/>
        </w:rPr>
        <w:t>. All notices or other communications which are required or permitted under this Agreement shall be in writing and sufficient if delivered by hand, by facsimile transmission, by registered or certified mail, postage pre-paid, by electronic mail, or by courier or overnight carrier, to the persons at the addresses set forth below (or at such other address as may be provided hereunder), and shall be deemed to have been delivered as of the date so delivered: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 North Laura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Mr. Glynn Wilson, Ph.D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gwilson@tapimmune.com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Shumaker, Loop &amp; Kendrick,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 E. Kennedy Blvd.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Tampa, FL 33602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Mark A. Catchur,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mcatchur@slk-law.com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Purchasers: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To each Purchaser at the address set forth on the signature page hereto or at such other address as any party shall have furnished to the other parties in writing.</w:t>
      </w:r>
    </w:p>
    <w:p>
      <w:pPr>
        <w:spacing w:after="0" w:line="170" w:lineRule="exact"/>
        <w:rPr>
          <w:sz w:val="20"/>
          <w:szCs w:val="20"/>
          <w:color w:val="auto"/>
        </w:rPr>
      </w:pPr>
    </w:p>
    <w:p>
      <w:pPr>
        <w:ind w:right="40" w:firstLine="921"/>
        <w:spacing w:after="0" w:line="272" w:lineRule="auto"/>
        <w:tabs>
          <w:tab w:leader="none" w:pos="1168"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Holder, upon any breach or default of the Company under this Agreement, shall impair any such right, power or remedy of such Holder nor shall it be construed to be a waiver of any such breach or default, or an acquiescence therein, or of any similar breach or default thereunder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All remedies, either under this Agreement, or by law or otherwise afforded to any holder, shall be cumulative and not alternative.</w:t>
      </w:r>
    </w:p>
    <w:p>
      <w:pPr>
        <w:spacing w:after="0" w:line="177" w:lineRule="exact"/>
        <w:rPr>
          <w:rFonts w:ascii="Arial" w:cs="Arial" w:eastAsia="Arial" w:hAnsi="Arial"/>
          <w:sz w:val="17"/>
          <w:szCs w:val="17"/>
          <w:color w:val="auto"/>
        </w:rPr>
      </w:pPr>
    </w:p>
    <w:p>
      <w:pPr>
        <w:jc w:val="both"/>
        <w:ind w:firstLine="921"/>
        <w:spacing w:after="0" w:line="279" w:lineRule="auto"/>
        <w:tabs>
          <w:tab w:leader="none" w:pos="1168"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enforceable against the parties actually executing such counterparts, and all of which together shall constitute one instrument. In the event that any signature is delivered by facsimile transmission or electronic transmission via .PDF file, such signature shall create a valid and binding obligation of the party executing (or on whose behalf such signature is executed) with the same force and effect as if such facsimile or electronic signature page were an original thereof.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07" w:name="page208"/>
    <w:bookmarkEnd w:id="207"/>
    <w:p>
      <w:pPr>
        <w:ind w:left="-180" w:firstLine="921"/>
        <w:spacing w:after="0" w:line="277" w:lineRule="auto"/>
        <w:tabs>
          <w:tab w:leader="none" w:pos="948"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8"/>
          <w:szCs w:val="18"/>
          <w:color w:val="auto"/>
        </w:rPr>
        <w:t>. In the case any provision of this Agreement shall be invalid, illegal or unenforceable, the validity, legality and enforceability of the remaining provisions shall not in any way be affected or impaired thereby.</w:t>
      </w:r>
    </w:p>
    <w:p>
      <w:pPr>
        <w:spacing w:after="0" w:line="170" w:lineRule="exact"/>
        <w:rPr>
          <w:rFonts w:ascii="Arial" w:cs="Arial" w:eastAsia="Arial" w:hAnsi="Arial"/>
          <w:sz w:val="18"/>
          <w:szCs w:val="18"/>
          <w:color w:val="auto"/>
        </w:rPr>
      </w:pPr>
    </w:p>
    <w:p>
      <w:pPr>
        <w:jc w:val="both"/>
        <w:ind w:left="-180" w:right="160" w:firstLine="921"/>
        <w:spacing w:after="0" w:line="259" w:lineRule="auto"/>
        <w:tabs>
          <w:tab w:leader="none" w:pos="948"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provisions of this Agreement may be amended at any time and from time to time, and particular provisions of this Agreement may be waived, with and only with an agreement or consent in writing signed by the Company and the Majority Holders. The Purchasers acknowledge that by the operation of this Section, the Majority Holders may have the right and power to diminish or eliminate all rights of the Purchasers under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420" w:top="274" w:right="399" w:bottom="1440" w:gutter="0" w:footer="0" w:header="0"/>
        </w:sectPr>
      </w:pPr>
    </w:p>
    <w:bookmarkStart w:id="208" w:name="page209"/>
    <w:bookmarkEnd w:id="208"/>
    <w:p>
      <w:pPr>
        <w:ind w:left="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Registration Rights Agreement is hereby executed as of the date first above written.</w:t>
      </w:r>
    </w:p>
    <w:p>
      <w:pPr>
        <w:spacing w:after="0" w:line="248"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AP</w:t>
      </w:r>
      <w:r>
        <w:rPr>
          <w:rFonts w:ascii="Arial" w:cs="Arial" w:eastAsia="Arial" w:hAnsi="Arial"/>
          <w:sz w:val="18"/>
          <w:szCs w:val="18"/>
          <w:b w:val="1"/>
          <w:bCs w:val="1"/>
          <w:color w:val="auto"/>
        </w:rPr>
        <w:t>I</w:t>
      </w:r>
      <w:r>
        <w:rPr>
          <w:rFonts w:ascii="Arial" w:cs="Arial" w:eastAsia="Arial" w:hAnsi="Arial"/>
          <w:sz w:val="15"/>
          <w:szCs w:val="15"/>
          <w:b w:val="1"/>
          <w:bCs w:val="1"/>
          <w:color w:val="auto"/>
        </w:rPr>
        <w:t>MMUNE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8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4615815</wp:posOffset>
            </wp:positionH>
            <wp:positionV relativeFrom="paragraph">
              <wp:posOffset>14605</wp:posOffset>
            </wp:positionV>
            <wp:extent cx="252158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Glynn Wilson, Ph.D</w:t>
      </w:r>
    </w:p>
    <w:p>
      <w:pPr>
        <w:spacing w:after="0" w:line="23" w:lineRule="exact"/>
        <w:rPr>
          <w:sz w:val="20"/>
          <w:szCs w:val="20"/>
          <w:color w:val="auto"/>
        </w:rPr>
      </w:pPr>
    </w:p>
    <w:p>
      <w:pPr>
        <w:ind w:left="6680"/>
        <w:spacing w:after="0"/>
        <w:tabs>
          <w:tab w:leader="none" w:pos="724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EACH PURCHASER’S SIGNATURE TO THE OMNIBUS SIGNATURE PAGE TO THE SUBSCRIPTION AGREEMENT DATED OF EVEN DATE HEREWITH SHALL CONSTITUTE THE PURCHASER’S SIGNATURE TO THIS REGISTRATION RIGHTS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420" w:top="274" w:right="4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10.3</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AMENDMENT AGREEMENT</w:t>
      </w:r>
    </w:p>
    <w:p>
      <w:pPr>
        <w:spacing w:after="0" w:line="225" w:lineRule="exact"/>
        <w:rPr>
          <w:sz w:val="20"/>
          <w:szCs w:val="20"/>
          <w:color w:val="auto"/>
        </w:rPr>
      </w:pPr>
    </w:p>
    <w:p>
      <w:pPr>
        <w:ind w:right="20" w:firstLine="913"/>
        <w:spacing w:after="0" w:line="281" w:lineRule="auto"/>
        <w:rPr>
          <w:sz w:val="20"/>
          <w:szCs w:val="20"/>
          <w:color w:val="auto"/>
        </w:rPr>
      </w:pPr>
      <w:r>
        <w:rPr>
          <w:rFonts w:ascii="Arial" w:cs="Arial" w:eastAsia="Arial" w:hAnsi="Arial"/>
          <w:sz w:val="17"/>
          <w:szCs w:val="17"/>
          <w:color w:val="auto"/>
        </w:rPr>
        <w:t>This Warrant Amendment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as of August 10, 2016, by and between TapImmune Inc.,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each of the warrant holders (each, including its successors and assigns, a “</w:t>
      </w:r>
      <w:r>
        <w:rPr>
          <w:rFonts w:ascii="Arial" w:cs="Arial" w:eastAsia="Arial" w:hAnsi="Arial"/>
          <w:sz w:val="17"/>
          <w:szCs w:val="17"/>
          <w:b w:val="1"/>
          <w:b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color w:val="auto"/>
        </w:rPr>
        <w:t>Holders</w:t>
      </w:r>
      <w:r>
        <w:rPr>
          <w:rFonts w:ascii="Arial" w:cs="Arial" w:eastAsia="Arial" w:hAnsi="Arial"/>
          <w:sz w:val="17"/>
          <w:szCs w:val="17"/>
          <w:color w:val="auto"/>
        </w:rPr>
        <w:t>”), identified on the signature pages hereto, of certain Series A Warrants, Series C Warrants, Series D Warrants and Series E Warrants to purchase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originally issued by the Company on January 12, 2015.</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WHEREAS, the Company, each of the Holders and certain other holders are parties to that certain Securities Purchase Agreement, dated as of January 12, 2015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pursuant to which, among other things, the Holders purchased from the Company certain Series A Warrants, Series B Warrants, Series C Warrants, Series D Warrants and Series E Warrants (collectively with Eastern Capital Limited, the “</w:t>
      </w:r>
      <w:r>
        <w:rPr>
          <w:rFonts w:ascii="Arial" w:cs="Arial" w:eastAsia="Arial" w:hAnsi="Arial"/>
          <w:sz w:val="16"/>
          <w:szCs w:val="16"/>
          <w:b w:val="1"/>
          <w:bCs w:val="1"/>
          <w:color w:val="auto"/>
        </w:rPr>
        <w:t>Other Holders</w:t>
      </w:r>
      <w:r>
        <w:rPr>
          <w:rFonts w:ascii="Arial" w:cs="Arial" w:eastAsia="Arial" w:hAnsi="Arial"/>
          <w:sz w:val="16"/>
          <w:szCs w:val="16"/>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the Company’s outstanding Series A Warrants, Series C Warrants, Series D Warrants and Series E Warrants (collectively,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contain certain provisions relating to anti-dilution and other provisions that create accounting treatment of the Warrants as a derivative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balance sheets of the Company;</w:t>
      </w:r>
    </w:p>
    <w:p>
      <w:pPr>
        <w:spacing w:after="0" w:line="21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WHEREAS, Section 9 of each of the Series A Warrants, Series C Warrants, Series D Warrants and Series E Warrants, respectively, requires the written consent of the Holder to amend the terms thereof;</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WHEREAS, the Company and each of the Holders wish to enter into this Agreement, pursuant to which, among other things, (i) the Holders agree to amend the Warrants and remove such provisions so that the Warrants will be classified as equity instruments on the balance sheets of the Company and (ii) the Company shall issue to the Holders additional shares of Common Stock and warrants to purchase Common Stock as set forth next to the Holder’s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NOW, THEREFORE, IT IS RESOLVED, in consideration of mutual covenants herein contained and other good and valuable consideration, the mutual receipt and legal sufficiency of which are hereby acknowledged, the undersigned hereby agree as follows:</w:t>
      </w:r>
    </w:p>
    <w:p>
      <w:pPr>
        <w:spacing w:after="0" w:line="76"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Amendment of the Warrants; Exercise of Warrants and PIPE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40" w:firstLine="443"/>
        <w:spacing w:after="0" w:line="279" w:lineRule="auto"/>
        <w:tabs>
          <w:tab w:leader="none" w:pos="1143" w:val="left"/>
        </w:tabs>
        <w:numPr>
          <w:ilvl w:val="1"/>
          <w:numId w:val="234"/>
        </w:numPr>
        <w:rPr>
          <w:rFonts w:ascii="Arial" w:cs="Arial" w:eastAsia="Arial" w:hAnsi="Arial"/>
          <w:sz w:val="17"/>
          <w:szCs w:val="17"/>
          <w:color w:val="auto"/>
        </w:rPr>
      </w:pPr>
      <w:r>
        <w:rPr>
          <w:rFonts w:ascii="Arial" w:cs="Arial" w:eastAsia="Arial" w:hAnsi="Arial"/>
          <w:sz w:val="17"/>
          <w:szCs w:val="17"/>
          <w:color w:val="auto"/>
        </w:rPr>
        <w:t xml:space="preserve">Subject to the satisfaction (or waiver) of the closing conditions set forth in Section 10 hereof, upon the Closing (as herein defined) the Series A Warrants, Series C Warrants, Series D Warrants and Series E Warrants will be amended as set forth in </w:t>
      </w:r>
      <w:r>
        <w:rPr>
          <w:rFonts w:ascii="Arial" w:cs="Arial" w:eastAsia="Arial" w:hAnsi="Arial"/>
          <w:sz w:val="17"/>
          <w:szCs w:val="17"/>
          <w:u w:val="single" w:color="auto"/>
          <w:color w:val="auto"/>
        </w:rPr>
        <w:t>Exhibit A-1, Exhibit A-2</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A-3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A-4</w:t>
      </w:r>
      <w:r>
        <w:rPr>
          <w:rFonts w:ascii="Arial" w:cs="Arial" w:eastAsia="Arial" w:hAnsi="Arial"/>
          <w:sz w:val="17"/>
          <w:szCs w:val="17"/>
          <w:color w:val="auto"/>
        </w:rPr>
        <w:t xml:space="preserve"> hereto, respectively (the “</w:t>
      </w:r>
      <w:r>
        <w:rPr>
          <w:rFonts w:ascii="Arial" w:cs="Arial" w:eastAsia="Arial" w:hAnsi="Arial"/>
          <w:sz w:val="17"/>
          <w:szCs w:val="17"/>
          <w:b w:val="1"/>
          <w:bCs w:val="1"/>
          <w:color w:val="auto"/>
        </w:rPr>
        <w:t>Amended Series A Warrants</w:t>
      </w:r>
      <w:r>
        <w:rPr>
          <w:rFonts w:ascii="Arial" w:cs="Arial" w:eastAsia="Arial" w:hAnsi="Arial"/>
          <w:sz w:val="17"/>
          <w:szCs w:val="17"/>
          <w:color w:val="auto"/>
        </w:rPr>
        <w:t>,” the “</w:t>
      </w:r>
      <w:r>
        <w:rPr>
          <w:rFonts w:ascii="Arial" w:cs="Arial" w:eastAsia="Arial" w:hAnsi="Arial"/>
          <w:sz w:val="17"/>
          <w:szCs w:val="17"/>
          <w:b w:val="1"/>
          <w:bCs w:val="1"/>
          <w:color w:val="auto"/>
        </w:rPr>
        <w:t>Amended Series C Warrants</w:t>
      </w:r>
      <w:r>
        <w:rPr>
          <w:rFonts w:ascii="Arial" w:cs="Arial" w:eastAsia="Arial" w:hAnsi="Arial"/>
          <w:sz w:val="17"/>
          <w:szCs w:val="17"/>
          <w:color w:val="auto"/>
        </w:rPr>
        <w:t>,” the “</w:t>
      </w:r>
      <w:r>
        <w:rPr>
          <w:rFonts w:ascii="Arial" w:cs="Arial" w:eastAsia="Arial" w:hAnsi="Arial"/>
          <w:sz w:val="17"/>
          <w:szCs w:val="17"/>
          <w:b w:val="1"/>
          <w:bCs w:val="1"/>
          <w:color w:val="auto"/>
        </w:rPr>
        <w:t>Amended Series D Warrants</w:t>
      </w:r>
      <w:r>
        <w:rPr>
          <w:rFonts w:ascii="Arial" w:cs="Arial" w:eastAsia="Arial" w:hAnsi="Arial"/>
          <w:sz w:val="17"/>
          <w:szCs w:val="17"/>
          <w:color w:val="auto"/>
        </w:rPr>
        <w:t>” and the “</w:t>
      </w:r>
      <w:r>
        <w:rPr>
          <w:rFonts w:ascii="Arial" w:cs="Arial" w:eastAsia="Arial" w:hAnsi="Arial"/>
          <w:sz w:val="17"/>
          <w:szCs w:val="17"/>
          <w:b w:val="1"/>
          <w:bCs w:val="1"/>
          <w:color w:val="auto"/>
        </w:rPr>
        <w:t>Amended Series E Warrants</w:t>
      </w:r>
      <w:r>
        <w:rPr>
          <w:rFonts w:ascii="Arial" w:cs="Arial" w:eastAsia="Arial" w:hAnsi="Arial"/>
          <w:sz w:val="17"/>
          <w:szCs w:val="17"/>
          <w:color w:val="auto"/>
        </w:rPr>
        <w:t>,” respectively, and collectively the “</w:t>
      </w:r>
      <w:r>
        <w:rPr>
          <w:rFonts w:ascii="Arial" w:cs="Arial" w:eastAsia="Arial" w:hAnsi="Arial"/>
          <w:sz w:val="17"/>
          <w:szCs w:val="17"/>
          <w:b w:val="1"/>
          <w:bCs w:val="1"/>
          <w:color w:val="auto"/>
        </w:rPr>
        <w:t>Amended Warrants</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10" w:name="page211"/>
    <w:bookmarkEnd w:id="210"/>
    <w:p>
      <w:pPr>
        <w:ind w:left="460" w:firstLine="443"/>
        <w:spacing w:after="0" w:line="277" w:lineRule="auto"/>
        <w:tabs>
          <w:tab w:leader="none" w:pos="1153" w:val="left"/>
        </w:tabs>
        <w:numPr>
          <w:ilvl w:val="1"/>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Closing, the Holder shall have the right to exercise the Amended Warrants based on the amended terms without having received a new certificate evidencing such Amended Warrants.</w:t>
      </w:r>
    </w:p>
    <w:p>
      <w:pPr>
        <w:spacing w:after="0" w:line="62" w:lineRule="exact"/>
        <w:rPr>
          <w:rFonts w:ascii="Arial" w:cs="Arial" w:eastAsia="Arial" w:hAnsi="Arial"/>
          <w:sz w:val="18"/>
          <w:szCs w:val="18"/>
          <w:color w:val="auto"/>
        </w:rPr>
      </w:pPr>
    </w:p>
    <w:p>
      <w:pPr>
        <w:ind w:left="460" w:right="200" w:firstLine="443"/>
        <w:spacing w:after="0" w:line="257" w:lineRule="auto"/>
        <w:tabs>
          <w:tab w:leader="none" w:pos="1143"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Before or simultaneous with the execution hereof, the Holders and the Other Holders shall have delivered to the Company duly executed irrevocable notices of exercise,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for the exercise of an aggregate of 12.0 million Series C Warrants and Series C-1 Warrants, as applicable, at the exercise price of $0.50 per share. Subject to the satisfaction or waiver of the closing conditions set forth in Section 10(a) hereof, the exercise price for the warrants being exercised shall be delivered to the Company on the first business day after the date of the execution of this Agreement.</w:t>
      </w:r>
    </w:p>
    <w:p>
      <w:pPr>
        <w:spacing w:after="0" w:line="80" w:lineRule="exact"/>
        <w:rPr>
          <w:rFonts w:ascii="Arial" w:cs="Arial" w:eastAsia="Arial" w:hAnsi="Arial"/>
          <w:sz w:val="18"/>
          <w:szCs w:val="18"/>
          <w:color w:val="auto"/>
        </w:rPr>
      </w:pPr>
    </w:p>
    <w:p>
      <w:pPr>
        <w:ind w:left="460" w:right="120" w:firstLine="443"/>
        <w:spacing w:after="0" w:line="286" w:lineRule="auto"/>
        <w:tabs>
          <w:tab w:leader="none" w:pos="1153" w:val="left"/>
        </w:tabs>
        <w:numPr>
          <w:ilvl w:val="1"/>
          <w:numId w:val="235"/>
        </w:numPr>
        <w:rPr>
          <w:rFonts w:ascii="Arial" w:cs="Arial" w:eastAsia="Arial" w:hAnsi="Arial"/>
          <w:sz w:val="17"/>
          <w:szCs w:val="17"/>
          <w:color w:val="auto"/>
        </w:rPr>
      </w:pPr>
      <w:r>
        <w:rPr>
          <w:rFonts w:ascii="Arial" w:cs="Arial" w:eastAsia="Arial" w:hAnsi="Arial"/>
          <w:sz w:val="17"/>
          <w:szCs w:val="17"/>
          <w:color w:val="auto"/>
        </w:rPr>
        <w:t>Before or simultaneous with the execution hereof, investors in the PIPE (as such term is defined below) shall have delivered to the Company duly executed and acceptable irrevocable subscription agreements in an aggregate amount of at least $2.0 million in gross proceeds to the Company. The purchase price for the securities sold in the PIPE shall be delivered to the Company at or prior to the Closing.</w:t>
      </w:r>
    </w:p>
    <w:p>
      <w:pPr>
        <w:spacing w:after="0" w:line="70" w:lineRule="exact"/>
        <w:rPr>
          <w:rFonts w:ascii="Arial" w:cs="Arial" w:eastAsia="Arial" w:hAnsi="Arial"/>
          <w:sz w:val="17"/>
          <w:szCs w:val="17"/>
          <w:color w:val="auto"/>
        </w:rPr>
      </w:pPr>
    </w:p>
    <w:p>
      <w:pPr>
        <w:ind w:left="460" w:right="120" w:hanging="452"/>
        <w:spacing w:after="0" w:line="276" w:lineRule="auto"/>
        <w:tabs>
          <w:tab w:leader="none" w:pos="460"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Upon the terms and subject to the conditions set forth herein, the closing of this Agreement and the exercise of the Series C Warrants and the Series C-1 Warrants contemplated in Section 1 (the “</w:t>
      </w:r>
      <w:r>
        <w:rPr>
          <w:rFonts w:ascii="Arial" w:cs="Arial" w:eastAsia="Arial" w:hAnsi="Arial"/>
          <w:sz w:val="17"/>
          <w:szCs w:val="17"/>
          <w:b w:val="1"/>
          <w:bCs w:val="1"/>
          <w:color w:val="auto"/>
        </w:rPr>
        <w:t>Closing</w:t>
      </w:r>
      <w:r>
        <w:rPr>
          <w:rFonts w:ascii="Arial" w:cs="Arial" w:eastAsia="Arial" w:hAnsi="Arial"/>
          <w:sz w:val="17"/>
          <w:szCs w:val="17"/>
          <w:color w:val="auto"/>
        </w:rPr>
        <w:t>”) will take place at 2:00 p.m., New York time, on the first business day after the satisfaction or waiver of the closing conditions set forth in Section 10 at Closing, at the offices of Shumaker, Loop &amp; Kendrick, LLP, 101 E. Kennedy Blvd., Suite 2800, Tampa, Florida, unless this Agreement has been terminated pursuant to its terms or unless another time, date or place is agreed to in writing by the parties. The date on which the Closing occurs is referred to herein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460" w:right="280" w:hanging="452"/>
        <w:spacing w:after="0" w:line="290" w:lineRule="auto"/>
        <w:tabs>
          <w:tab w:leader="none" w:pos="460"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Issuance of Additional Shares and Warrants</w:t>
      </w:r>
      <w:r>
        <w:rPr>
          <w:rFonts w:ascii="Arial" w:cs="Arial" w:eastAsia="Arial" w:hAnsi="Arial"/>
          <w:sz w:val="16"/>
          <w:szCs w:val="16"/>
          <w:color w:val="auto"/>
        </w:rPr>
        <w:t>. Within three (3) Trading Days following the Closing Date, the Company shall issue and deliver to the Holders shares of Common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xml:space="preserve">”) and five-year warrants to purchase Common Stock, with an exercise price of $0.60 per share (appropriately adjusted for any stock split, reverse stock split, stock dividend or other reclassification or combination of the Common Stock occurring after the date hereof), in the form of Series F Warrants,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in such amounts as set forth next to the Holder’s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Additional Warrants,</w:t>
      </w:r>
      <w:r>
        <w:rPr>
          <w:rFonts w:ascii="Arial" w:cs="Arial" w:eastAsia="Arial" w:hAnsi="Arial"/>
          <w:sz w:val="16"/>
          <w:szCs w:val="16"/>
          <w:color w:val="auto"/>
        </w:rPr>
        <w:t>” and collectively with the Additional Shares, the “</w:t>
      </w:r>
      <w:r>
        <w:rPr>
          <w:rFonts w:ascii="Arial" w:cs="Arial" w:eastAsia="Arial" w:hAnsi="Arial"/>
          <w:sz w:val="16"/>
          <w:szCs w:val="16"/>
          <w:b w:val="1"/>
          <w:bCs w:val="1"/>
          <w:color w:val="auto"/>
        </w:rPr>
        <w:t>Additional Shares and</w:t>
      </w:r>
      <w:r>
        <w:rPr>
          <w:rFonts w:ascii="Arial" w:cs="Arial" w:eastAsia="Arial" w:hAnsi="Arial"/>
          <w:sz w:val="16"/>
          <w:szCs w:val="16"/>
          <w:color w:val="auto"/>
        </w:rPr>
        <w:t xml:space="preserve"> </w:t>
      </w:r>
      <w:r>
        <w:rPr>
          <w:rFonts w:ascii="Arial" w:cs="Arial" w:eastAsia="Arial" w:hAnsi="Arial"/>
          <w:sz w:val="16"/>
          <w:szCs w:val="16"/>
          <w:b w:val="1"/>
          <w:bCs w:val="1"/>
          <w:color w:val="auto"/>
        </w:rPr>
        <w:t>Warrants</w:t>
      </w:r>
      <w:r>
        <w:rPr>
          <w:rFonts w:ascii="Arial" w:cs="Arial" w:eastAsia="Arial" w:hAnsi="Arial"/>
          <w:sz w:val="16"/>
          <w:szCs w:val="16"/>
          <w:color w:val="auto"/>
        </w:rPr>
        <w:t>”). In addition, within three (3) Trading Days following the Closing Date, the Company shall deliver to the Holder the Amended Series A</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the Amended Series C Warrants, the Amended Series D Warrants and the Amended Series E Warrants. Following the Closing Date, the Holder shall deliver to the Company the outstanding Series A Warrants, Series C Warrants, Series D Warrants and Series E Warrants held by Holder.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11" w:name="page212"/>
    <w:bookmarkEnd w:id="211"/>
    <w:p>
      <w:pPr>
        <w:ind w:left="452" w:hanging="452"/>
        <w:spacing w:after="0"/>
        <w:tabs>
          <w:tab w:leader="none" w:pos="45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Legends</w:t>
      </w:r>
      <w:r>
        <w:rPr>
          <w:rFonts w:ascii="Arial" w:cs="Arial" w:eastAsia="Arial" w:hAnsi="Arial"/>
          <w:sz w:val="18"/>
          <w:szCs w:val="18"/>
          <w:color w:val="auto"/>
        </w:rPr>
        <w:t>.</w:t>
      </w:r>
    </w:p>
    <w:p>
      <w:pPr>
        <w:spacing w:after="0" w:line="117" w:lineRule="exact"/>
        <w:rPr>
          <w:sz w:val="20"/>
          <w:szCs w:val="20"/>
          <w:color w:val="auto"/>
        </w:rPr>
      </w:pPr>
    </w:p>
    <w:p>
      <w:pPr>
        <w:jc w:val="both"/>
        <w:ind w:left="452" w:right="80" w:firstLine="443"/>
        <w:spacing w:after="0" w:line="264" w:lineRule="auto"/>
        <w:tabs>
          <w:tab w:leader="none" w:pos="113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Holder understands that the Additional Shares and Warrants are not, and will not be, registered under the Securities Act, or the securities laws of any state and, accordingly, each certificate, if any, representing such Additional Shares and Warrants shall bear a legend substantially similar to the following:</w:t>
      </w:r>
    </w:p>
    <w:p>
      <w:pPr>
        <w:spacing w:after="0" w:line="73" w:lineRule="exact"/>
        <w:rPr>
          <w:sz w:val="20"/>
          <w:szCs w:val="20"/>
          <w:color w:val="auto"/>
        </w:rPr>
      </w:pPr>
    </w:p>
    <w:p>
      <w:pPr>
        <w:ind w:left="452" w:firstLine="438"/>
        <w:spacing w:after="0" w:line="271" w:lineRule="auto"/>
        <w:rPr>
          <w:sz w:val="20"/>
          <w:szCs w:val="20"/>
          <w:color w:val="auto"/>
        </w:rPr>
      </w:pPr>
      <w:r>
        <w:rPr>
          <w:rFonts w:ascii="Arial" w:cs="Arial" w:eastAsia="Arial" w:hAnsi="Arial"/>
          <w:sz w:val="17"/>
          <w:szCs w:val="17"/>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67" w:lineRule="exact"/>
        <w:rPr>
          <w:sz w:val="20"/>
          <w:szCs w:val="20"/>
          <w:color w:val="auto"/>
        </w:rPr>
      </w:pPr>
    </w:p>
    <w:p>
      <w:pPr>
        <w:ind w:left="452" w:right="40" w:firstLine="443"/>
        <w:spacing w:after="0" w:line="286" w:lineRule="auto"/>
        <w:tabs>
          <w:tab w:leader="none" w:pos="114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Certificates evidencing the Additional Shares and the shares underlying the Additional Warrants (the “</w:t>
      </w:r>
      <w:r>
        <w:rPr>
          <w:rFonts w:ascii="Arial" w:cs="Arial" w:eastAsia="Arial" w:hAnsi="Arial"/>
          <w:sz w:val="16"/>
          <w:szCs w:val="16"/>
          <w:b w:val="1"/>
          <w:bCs w:val="1"/>
          <w:color w:val="auto"/>
        </w:rPr>
        <w:t>Warrant Shares</w:t>
      </w:r>
      <w:r>
        <w:rPr>
          <w:rFonts w:ascii="Arial" w:cs="Arial" w:eastAsia="Arial" w:hAnsi="Arial"/>
          <w:sz w:val="16"/>
          <w:szCs w:val="16"/>
          <w:color w:val="auto"/>
        </w:rPr>
        <w:t>”) shall not contain any legend (including the legend set forth in Section 4(a) hereof), (i) while a registration statement covering the resale of such security is effective under the Securities Act, (ii) following any sale of such Additional Shares or Warrant Shares pursuant to Rule 144, (iii) if such Additional Shares or Warrant Shares are eligible for sale under Rule 144, without the requirement for the Company to be in compliance with the current public information required under Rule 144 as to such Additional Shares and Warrant Shares and without volume or manner-of-sale restrictions, (iv) if such Additional Shares or Warrant Shares may be sold under Rule 144 and the Company is then in compliance with the current public information required under Rule 144 as to such Additional Shares or Warrant Shares (assuming a cashless exercise of the Additional Warrants with respect to the Warrant Shares), or (v) if such legend is not required under applicable requirements of the Securities Act (including judicial interpretations and pronouncements issued by the staff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The Company shall cause its counsel to issue a legal opinion to the transfer agent promptly after the Delegend Date if required by the Company and/or the transfer agent to effect the removal of the legend hereunder, which opinion shall be in form and substance reasonably acceptable to the Holder. If all or any portion of an Additional Warrant is exercised at a time when there is an effective registration statement to cover the resale of the Warrant Shares, or if such Warrant Shares may be sold under Rule 144 and the Company is then in compliance with the current public information required under Rule 144, or if the Additional Shares or Warrant Shares may be sold under Rule 144 without the requirement for the Company to be in compliance with the current public information required under Rule 144 as to such Additional Shares or Warrant Shares or if such legend is not otherwise required under applicable requirements of the Securities Act (including judicial</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212" w:name="page213"/>
    <w:bookmarkEnd w:id="21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interpretations and pronouncements issued by the staff of the Commission) then such Additional Shares and Warrant Shares shall be issued free of all legends. The Company agrees that following the Delegend Date or at such time as such legend is no longer required under this Section 4(b), it will, no later than three (3) Trading Days following the delivery by a Holder to the Company or the transfer agent of a certificate representing Additional Shares or Warrant Shares, as the case may be, issued with a restrictive legend (such third Trading Day, the “</w:t>
      </w:r>
      <w:r>
        <w:rPr>
          <w:rFonts w:ascii="Arial" w:cs="Arial" w:eastAsia="Arial" w:hAnsi="Arial"/>
          <w:sz w:val="16"/>
          <w:szCs w:val="16"/>
          <w:b w:val="1"/>
          <w:bCs w:val="1"/>
          <w:color w:val="auto"/>
        </w:rPr>
        <w:t>Legend Removal Date</w:t>
      </w:r>
      <w:r>
        <w:rPr>
          <w:rFonts w:ascii="Arial" w:cs="Arial" w:eastAsia="Arial" w:hAnsi="Arial"/>
          <w:sz w:val="16"/>
          <w:szCs w:val="16"/>
          <w:color w:val="auto"/>
        </w:rPr>
        <w:t>”), deliver or cause to be delivered to such Holder a certificate representing such shares that is free from all restrictive and other legends. The Company may not make any notation on its records or give instructions to the transfer agent that enlarge the restrictions on transfer set forth in this Section 4. Certificates for Additional Shares or Warrant Shares subject to legend removal hereunder shall be transmitted by the transfer agent to the Holder by crediting the account of the Holder’s prime broker with the Depository Trust Company System as directed by such Holder. “</w:t>
      </w:r>
      <w:r>
        <w:rPr>
          <w:rFonts w:ascii="Arial" w:cs="Arial" w:eastAsia="Arial" w:hAnsi="Arial"/>
          <w:sz w:val="16"/>
          <w:szCs w:val="16"/>
          <w:b w:val="1"/>
          <w:bCs w:val="1"/>
          <w:color w:val="auto"/>
        </w:rPr>
        <w:t>Delegend Date</w:t>
      </w:r>
      <w:r>
        <w:rPr>
          <w:rFonts w:ascii="Arial" w:cs="Arial" w:eastAsia="Arial" w:hAnsi="Arial"/>
          <w:sz w:val="16"/>
          <w:szCs w:val="16"/>
          <w:color w:val="auto"/>
        </w:rPr>
        <w:t>” means the earliest of the date that (a) a registration statement with respect to the Additional Shares and Warrant Shares has been declared effective by the Commission, (b) all of the Additional Shares and Warrant Shares have been sold pursuant to Rule 144 or may be sold pursuant to Rule 144 without the requirement for the Company to be in compliance with the current public information required under Rule 144 and without volume or manner-of-sale restrictions or (c) following the six (6) month anniversary of the Closing Date provided that a Holder of Additional Shares or Warrant Shares is not an Affiliate of the Company, the Company is in compliance with the current public information required under Rule 144 (“</w:t>
      </w:r>
      <w:r>
        <w:rPr>
          <w:rFonts w:ascii="Arial" w:cs="Arial" w:eastAsia="Arial" w:hAnsi="Arial"/>
          <w:sz w:val="16"/>
          <w:szCs w:val="16"/>
          <w:b w:val="1"/>
          <w:bCs w:val="1"/>
          <w:color w:val="auto"/>
        </w:rPr>
        <w:t>Current Public Information Requirement</w:t>
      </w:r>
      <w:r>
        <w:rPr>
          <w:rFonts w:ascii="Arial" w:cs="Arial" w:eastAsia="Arial" w:hAnsi="Arial"/>
          <w:sz w:val="16"/>
          <w:szCs w:val="16"/>
          <w:color w:val="auto"/>
        </w:rPr>
        <w:t>”) and all of the Additional Shares and Warrant Shares may be sold pursuant to Rule 144 or an exemption from registration under Section 4(a)(1) of the Securities Act without volume or manner-of-sale restrictions; provided, further, however, that if the Company fails to comply with the Current Public Information Requirement at any time following the six (6) month anniversary of the Closing Date and the one (1) year anniversary of the Closing Date, the Company shall promptly provide notice to the Holder and the Holder undertakes not to sell any of the Additional Shares and the Additional Warrants pursuant to Rule 144 until the Company notifies the Holder that it has regained compliance with the Current Public Information Requirement.</w:t>
      </w:r>
    </w:p>
    <w:p>
      <w:pPr>
        <w:spacing w:after="0" w:line="65" w:lineRule="exact"/>
        <w:rPr>
          <w:sz w:val="20"/>
          <w:szCs w:val="20"/>
          <w:color w:val="auto"/>
        </w:rPr>
      </w:pPr>
    </w:p>
    <w:p>
      <w:pPr>
        <w:ind w:firstLine="443"/>
        <w:spacing w:after="0" w:line="288" w:lineRule="auto"/>
        <w:tabs>
          <w:tab w:leader="none" w:pos="68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In addition to such Holder’s other available remedies, the Company shall pay to a Holders, in cash, the greater of (A) as partial liquidated damages and not as a penalty, for each $1,000 of Additional Shares (based on the weighted average price of the shares on Common Stock on the date such securities are submitted to the transfer agent) delivered for removal of the restrictive legend and subject to Section 4(b), $5 per Trading Day (increasing to $10 per Trading Day five (5) Trading Days after such damages have begun to accrue) for each Trading Day after (x) the Legend Removal Date until such certificate is delivered without a legend or (y) the Company fails to Comply with the Current Public Information Requirement, and (B) if either (i) the Company fails to issue and deliver (or cause to be delivered) to a Holder by the Legend Removal Date the Additional Shares or the Warrant Shares so delivered to the Company by such Holder electronically without any restrictive and other legends by crediting such aggregate number of shares to such Holder’s or its designee’s balance account with DTC through its Deposit / Withdrawal At Custodian System, or (ii) after the Legend Removal Date such Holder purchases (in an open market transaction or otherwise) shares to deliver in satisfaction of a sale by such Holder of all or any portion of the number of Additional Shares and Warrant Shares, or a sale of a number of Shares and</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213" w:name="page214"/>
    <w:bookmarkEnd w:id="213"/>
    <w:p>
      <w:pPr>
        <w:ind w:left="452"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Shares equal to all or any portion of the number of Shares and Warrant Shares that such Holder anticipated receiving from the Company without any restrictive legend, then, an amount equal to the excess of such Holder’s total purchase price (including brokerage commissions and other out-of-pocket expenses, if any) for the shares so purchased (including brokerage commissions and other out-of-pocket expenses, if any) (the “</w:t>
      </w:r>
      <w:r>
        <w:rPr>
          <w:rFonts w:ascii="Arial" w:cs="Arial" w:eastAsia="Arial" w:hAnsi="Arial"/>
          <w:sz w:val="17"/>
          <w:szCs w:val="17"/>
          <w:b w:val="1"/>
          <w:bCs w:val="1"/>
          <w:color w:val="auto"/>
        </w:rPr>
        <w:t>Buy-In</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over the product of (x) such number of Additional Shares and Warrant Shares that the Company was required to deliver to such Holder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Legend Removal Date multiplied by (y) the lowest closing sale price of the shares of Common Stock on any Trading Day during the period commencing on the date of the delivery by such Holder to the Company of the applicable Additional Shares and Warrant Shares (as the case may be) and ending on the date of such delivery and payment under this clause (c).</w:t>
      </w:r>
    </w:p>
    <w:p>
      <w:pPr>
        <w:spacing w:after="0" w:line="83" w:lineRule="exact"/>
        <w:rPr>
          <w:sz w:val="20"/>
          <w:szCs w:val="20"/>
          <w:color w:val="auto"/>
        </w:rPr>
      </w:pPr>
    </w:p>
    <w:p>
      <w:pPr>
        <w:ind w:left="452" w:hanging="452"/>
        <w:spacing w:after="0" w:line="267" w:lineRule="auto"/>
        <w:tabs>
          <w:tab w:leader="none" w:pos="452"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Public Information</w:t>
      </w:r>
      <w:r>
        <w:rPr>
          <w:rFonts w:ascii="Arial" w:cs="Arial" w:eastAsia="Arial" w:hAnsi="Arial"/>
          <w:sz w:val="17"/>
          <w:szCs w:val="17"/>
          <w:color w:val="auto"/>
        </w:rPr>
        <w:t>. At any time during the period commencing from the six (6) month anniversary of the date hereof and ending at such time that all of the Additional Shares and Warrant Shares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Arial" w:cs="Arial" w:eastAsia="Arial" w:hAnsi="Arial"/>
          <w:sz w:val="17"/>
          <w:szCs w:val="17"/>
          <w:b w:val="1"/>
          <w:bCs w:val="1"/>
          <w:color w:val="auto"/>
        </w:rPr>
        <w:t>Public Information Failure</w:t>
      </w:r>
      <w:r>
        <w:rPr>
          <w:rFonts w:ascii="Arial" w:cs="Arial" w:eastAsia="Arial" w:hAnsi="Arial"/>
          <w:sz w:val="17"/>
          <w:szCs w:val="17"/>
          <w:color w:val="auto"/>
        </w:rPr>
        <w:t>”) then, in addition to such Holder’s other available remedies, the Company shall pay to a Holder, in cash, as partial liquidated damages and not as a penalty, by reason of any such delay in or reduction of its ability to sell the Additional Shares and Warrant Shares, an amount in cash equal to two percent (2.0%) of the aggregate market price of such Holder’s Additional Shares and Warrant Shares on the day of a Public Information Failure and on every thirtieth (30</w:t>
      </w:r>
      <w:r>
        <w:rPr>
          <w:rFonts w:ascii="Arial" w:cs="Arial" w:eastAsia="Arial" w:hAnsi="Arial"/>
          <w:sz w:val="14"/>
          <w:szCs w:val="14"/>
          <w:color w:val="auto"/>
        </w:rPr>
        <w:t>th</w:t>
      </w:r>
      <w:r>
        <w:rPr>
          <w:rFonts w:ascii="Arial" w:cs="Arial" w:eastAsia="Arial" w:hAnsi="Arial"/>
          <w:sz w:val="17"/>
          <w:szCs w:val="17"/>
          <w:color w:val="auto"/>
        </w:rPr>
        <w:t>) day (pro rated for periods totaling less than thirty (30) days) thereafter until the earlier of (a) the date such Public Information Failure is cured and (b) such time that such public information is no longer required for the Holders to transfer the Additional Shares and Warrant Shares pursuant to Rule 144. The payments to which a Purchaser shall be entitled pursuant to this Section 5 are referred to herein as “</w:t>
      </w:r>
      <w:r>
        <w:rPr>
          <w:rFonts w:ascii="Arial" w:cs="Arial" w:eastAsia="Arial" w:hAnsi="Arial"/>
          <w:sz w:val="17"/>
          <w:szCs w:val="17"/>
          <w:b w:val="1"/>
          <w:bCs w:val="1"/>
          <w:color w:val="auto"/>
        </w:rPr>
        <w:t>Public Information Failure Payments</w:t>
      </w:r>
      <w:r>
        <w:rPr>
          <w:rFonts w:ascii="Arial" w:cs="Arial" w:eastAsia="Arial" w:hAnsi="Arial"/>
          <w:sz w:val="17"/>
          <w:szCs w:val="17"/>
          <w:color w:val="auto"/>
        </w:rPr>
        <w:t>.” Public Information Failure Payments shall be paid on the earlier of (i) the last day of the calendar month during which such Public Information Failure Payments are incurred and (ii) the third (3</w:t>
      </w:r>
      <w:r>
        <w:rPr>
          <w:rFonts w:ascii="Arial" w:cs="Arial" w:eastAsia="Arial" w:hAnsi="Arial"/>
          <w:sz w:val="14"/>
          <w:szCs w:val="14"/>
          <w:color w:val="auto"/>
        </w:rPr>
        <w:t>rd</w:t>
      </w:r>
      <w:r>
        <w:rPr>
          <w:rFonts w:ascii="Arial" w:cs="Arial" w:eastAsia="Arial" w:hAnsi="Arial"/>
          <w:sz w:val="17"/>
          <w:szCs w:val="17"/>
          <w:color w:val="auto"/>
        </w:rPr>
        <w:t>) Trading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 rated for partial months) until paid in full. Nothing herein shall limit such Holder’s right to pursue actual damages for the Public Information Failure, and such Holder shall have the right to pursue all remedies available to it at law or in equity including, without limitation, a decree of specific performance and/or injunctive relief.</w:t>
      </w:r>
    </w:p>
    <w:p>
      <w:pPr>
        <w:spacing w:after="0" w:line="98" w:lineRule="exact"/>
        <w:rPr>
          <w:rFonts w:ascii="Arial" w:cs="Arial" w:eastAsia="Arial" w:hAnsi="Arial"/>
          <w:sz w:val="17"/>
          <w:szCs w:val="17"/>
          <w:color w:val="auto"/>
        </w:rPr>
      </w:pPr>
    </w:p>
    <w:p>
      <w:pPr>
        <w:ind w:left="452" w:hanging="452"/>
        <w:spacing w:after="0"/>
        <w:tabs>
          <w:tab w:leader="none" w:pos="45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warrants and covenants to the Holders as follows.</w:t>
      </w:r>
    </w:p>
    <w:p>
      <w:pPr>
        <w:spacing w:after="0" w:line="117" w:lineRule="exact"/>
        <w:rPr>
          <w:rFonts w:ascii="Arial" w:cs="Arial" w:eastAsia="Arial" w:hAnsi="Arial"/>
          <w:sz w:val="18"/>
          <w:szCs w:val="18"/>
          <w:color w:val="auto"/>
        </w:rPr>
      </w:pPr>
    </w:p>
    <w:p>
      <w:pPr>
        <w:jc w:val="both"/>
        <w:ind w:left="452" w:right="120" w:firstLine="443"/>
        <w:spacing w:after="0" w:line="264" w:lineRule="auto"/>
        <w:tabs>
          <w:tab w:leader="none" w:pos="1135" w:val="left"/>
        </w:tabs>
        <w:numPr>
          <w:ilvl w:val="1"/>
          <w:numId w:val="241"/>
        </w:numPr>
        <w:rPr>
          <w:rFonts w:ascii="Arial" w:cs="Arial" w:eastAsia="Arial" w:hAnsi="Arial"/>
          <w:sz w:val="18"/>
          <w:szCs w:val="18"/>
          <w:color w:val="auto"/>
        </w:rPr>
      </w:pPr>
      <w:r>
        <w:rPr>
          <w:rFonts w:ascii="Arial" w:cs="Arial" w:eastAsia="Arial" w:hAnsi="Arial"/>
          <w:sz w:val="18"/>
          <w:szCs w:val="18"/>
          <w:color w:val="auto"/>
        </w:rPr>
        <w:t>Each of the Company and its Subsidiaries (as defined below) are entities duly organized and validly existing and in good standing under the laws of the jurisdiction in which they are formed, and have the requisite power and authorization to own their properties and to carry on their business as now being conducted and as presently proposed</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214" w:name="page215"/>
    <w:bookmarkEnd w:id="21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this Agreement, “</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any material adverse effect on (i) the business, properties, assets, liabilities, operations (including results thereof), condition (financial or otherwise) or prospects of the Company or its Subsidiaries, taken as a whole, (ii) the transactions contemplated hereby or (iii) the authority or ability of the Company to perform any of its obligations hereunder. Other than its Subsidiaries, there is no Person in which the Company, directly or indirectly, (i) owns any of the capital stock or holds an equity or similar interest or (ii) controls or operates all or any part of the business, operations or administration of such Person. A “</w:t>
      </w:r>
      <w:r>
        <w:rPr>
          <w:rFonts w:ascii="Arial" w:cs="Arial" w:eastAsia="Arial" w:hAnsi="Arial"/>
          <w:sz w:val="17"/>
          <w:szCs w:val="17"/>
          <w:b w:val="1"/>
          <w:bCs w:val="1"/>
          <w:color w:val="auto"/>
        </w:rPr>
        <w:t>Subsidiary</w:t>
      </w:r>
      <w:r>
        <w:rPr>
          <w:rFonts w:ascii="Arial" w:cs="Arial" w:eastAsia="Arial" w:hAnsi="Arial"/>
          <w:sz w:val="17"/>
          <w:szCs w:val="17"/>
          <w:color w:val="auto"/>
        </w:rPr>
        <w:t>” means any Person (as defined in the Securities Purchase Agreement) in which the Company, directly or indirectly, (i) owns any of the outstanding capital stock or holds any equity or similar interest of such Person or (ii) controls or operates all or any part of the business, operations or administration of such Person, and all of the foregoing. As of the date of this Agreement, the Company has no Subsidiaries other than GeneMax Pharmaceuticals Inc.</w:t>
      </w:r>
    </w:p>
    <w:p>
      <w:pPr>
        <w:spacing w:after="0" w:line="75" w:lineRule="exact"/>
        <w:rPr>
          <w:sz w:val="20"/>
          <w:szCs w:val="20"/>
          <w:color w:val="auto"/>
        </w:rPr>
      </w:pPr>
    </w:p>
    <w:p>
      <w:pPr>
        <w:ind w:left="700" w:hanging="257"/>
        <w:spacing w:after="0"/>
        <w:tabs>
          <w:tab w:leader="none" w:pos="70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Company has the requisite power and authority to enter into and perform its obligations under this Agreement and to deliver the</w:t>
      </w:r>
    </w:p>
    <w:p>
      <w:pPr>
        <w:spacing w:after="0" w:line="34" w:lineRule="exact"/>
        <w:rPr>
          <w:rFonts w:ascii="Arial" w:cs="Arial" w:eastAsia="Arial" w:hAnsi="Arial"/>
          <w:sz w:val="17"/>
          <w:szCs w:val="17"/>
          <w:color w:val="auto"/>
        </w:rPr>
      </w:pPr>
    </w:p>
    <w:p>
      <w:pPr>
        <w:ind w:right="20"/>
        <w:spacing w:after="0" w:line="287" w:lineRule="auto"/>
        <w:rPr>
          <w:rFonts w:ascii="Arial" w:cs="Arial" w:eastAsia="Arial" w:hAnsi="Arial"/>
          <w:sz w:val="17"/>
          <w:szCs w:val="17"/>
          <w:color w:val="auto"/>
        </w:rPr>
      </w:pPr>
      <w:r>
        <w:rPr>
          <w:rFonts w:ascii="Arial" w:cs="Arial" w:eastAsia="Arial" w:hAnsi="Arial"/>
          <w:sz w:val="16"/>
          <w:szCs w:val="16"/>
          <w:color w:val="auto"/>
        </w:rPr>
        <w:t>Amended Warrants and issue the Additional Shares and Warrants in accordance with the terms hereof. The execution and delivery of this Agreement by the Company, and the consummation by the Company of the transactions contemplated hereby (including, without limitation, the issuance of the Amended Warrants and the Additional Shares and Warrants) have been duly authorized by the Company’s board of directors and (other than filings as may be required by applicable federal and state securities laws regarding the issuance of the Additional Shares and Warrants), no further filing, consent or authorization is required by the Company, its board of directors or its stockholders or other governing body. This Agreement has been and the other documents or instruments to be delivered on or prior to the Closing Date will be duly executed and delivered by the Company, and upon such execution will constitute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spacing w:after="0" w:line="58" w:lineRule="exact"/>
        <w:rPr>
          <w:rFonts w:ascii="Arial" w:cs="Arial" w:eastAsia="Arial" w:hAnsi="Arial"/>
          <w:sz w:val="17"/>
          <w:szCs w:val="17"/>
          <w:color w:val="auto"/>
        </w:rPr>
      </w:pPr>
    </w:p>
    <w:p>
      <w:pPr>
        <w:ind w:right="140" w:firstLine="443"/>
        <w:spacing w:after="0" w:line="272" w:lineRule="auto"/>
        <w:tabs>
          <w:tab w:leader="none" w:pos="683"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issuance of the Additional Shares and the Additional Warrants (and the shares issuable thereunder) have been duly authorized and upon issuance in accordance with the terms of this Agreement shall be validly issued, fully paid and non-assessable and free from all preemptive or similar rights, taxes, liens, charges and other encumbrances with respect to the issuance thereof. The Company shall have reserved from its duly authorized capital stock as of the Closing Date number of shares underlying the Amended Warrants and the Additional Warrants (determined without taking into account any limitations on the exercise of the Amended Warrants and the Additional Warrants set forth therein). Upon exercise in accordance with the Amended Warrants or the Additional Warrants, the underlying shares, when issued, will be validly issued, fully paid and nonassessable and free from all preemptive or similar rights, taxes, liens, charges and other encumbrances with</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215" w:name="page216"/>
    <w:bookmarkEnd w:id="21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issue thereof, with the holders being entitled to all rights accorded to a holder of Common Stock. The offer and issuance by the Company of the Additional Shares and the Additional Warrants (including the shares issuable thereunder) are exempt from registration pursuant to Section 4(a)(2) of the 1933 Act.</w:t>
      </w:r>
    </w:p>
    <w:p>
      <w:pPr>
        <w:spacing w:after="0" w:line="73" w:lineRule="exact"/>
        <w:rPr>
          <w:sz w:val="20"/>
          <w:szCs w:val="20"/>
          <w:color w:val="auto"/>
        </w:rPr>
      </w:pPr>
    </w:p>
    <w:p>
      <w:pPr>
        <w:ind w:right="120" w:firstLine="443"/>
        <w:spacing w:after="0" w:line="287" w:lineRule="auto"/>
        <w:tabs>
          <w:tab w:leader="none" w:pos="69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Company and the consummation by the Company of the transactions contemplated hereby (including, without limitation, the issuance of Additional Shares and the Additional Warrants (including the shares issuable thereunder) and the reservation for issuance of the Amended Warrants (including the shares issuable thereunder), the Additional Shares and the Additional Warrants (including the shares issuable thereunder) as contemplated under Section 6(c) above) will not (i) result in a violation of the Company’s articles of incorporation or other organizational documents of the Company or any of its Subsidiaries, any capital stock of the Company or any of its Subsidiaries or bylaws of the Company or any of its Subsidiaries,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foreign, federal and state securities laws and regulations and the rules and regulations of the principal market on which the Common Stock is quoted or traded and including all applicable federal laws, rules and regulations) applicable to the Company or any of its Subsidiaries or by which any property or asset of the Company or any of its Subsidiaries is bound or affected except, in the case of clause (ii) or (iii) above, to the extent such violations that could not reasonably be expected to have a Material Adverse Effect.</w:t>
      </w:r>
    </w:p>
    <w:p>
      <w:pPr>
        <w:spacing w:after="0" w:line="60" w:lineRule="exact"/>
        <w:rPr>
          <w:rFonts w:ascii="Arial" w:cs="Arial" w:eastAsia="Arial" w:hAnsi="Arial"/>
          <w:sz w:val="16"/>
          <w:szCs w:val="16"/>
          <w:color w:val="auto"/>
        </w:rPr>
      </w:pPr>
    </w:p>
    <w:p>
      <w:pPr>
        <w:ind w:right="140" w:firstLine="443"/>
        <w:spacing w:after="0" w:line="272" w:lineRule="auto"/>
        <w:tabs>
          <w:tab w:leader="none" w:pos="683"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Neither the Company nor any Subsidiary is required to obtain any consent from, authorization or order of, or make any filing or registration with (other than any filings as may be required by any federal and state securities laws), any governmental entity or other self-regulatory organization or body or any other Person in order for it to execute, deliver or perform any of its respective obligations under or contemplated by this Agreement, in each case, in accordance with the terms hereof or thereof. All consents, authorizations, orders, filings and registrations which the Company or any Subsidiary is required to obtain pursuant to the preceding sentence have been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this Agreement.</w:t>
      </w:r>
    </w:p>
    <w:p>
      <w:pPr>
        <w:spacing w:after="0" w:line="69" w:lineRule="exact"/>
        <w:rPr>
          <w:rFonts w:ascii="Arial" w:cs="Arial" w:eastAsia="Arial" w:hAnsi="Arial"/>
          <w:sz w:val="17"/>
          <w:szCs w:val="17"/>
          <w:color w:val="auto"/>
        </w:rPr>
      </w:pPr>
    </w:p>
    <w:p>
      <w:pPr>
        <w:ind w:right="20" w:firstLine="443"/>
        <w:spacing w:after="0" w:line="273" w:lineRule="auto"/>
        <w:tabs>
          <w:tab w:leader="none" w:pos="663"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shall include a complete and final list of all of the Amended Warrants and the Company shall not have entered into or otherwise agreed to any agreement, arrangement or understanding (including, without limitation, any purchase agreement, warrant amendment or other document) with, or issued securities to, or any Other Holders that would provide for different (disproportional or otherwise) rights or consideration than what is being offered to the Holders hereunder nor shall there any be any side or other letters, agreements or understandings with any Other Holder not provided for in this Agreement (adjusted ratably). The Company will file a supplement to the registration statements on Form S-1, Commission File Nos. 333-205757 and 333-196115 (as amended or supplemented</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216" w:name="page217"/>
    <w:bookmarkEnd w:id="216"/>
    <w:p>
      <w:pPr>
        <w:ind w:right="2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any prospectus supplement, including post effective amendments) immediately following the Effective Date to disclose the transactions contemplated hereby, and shall maintain the effectiveness of the registration statements and the availability of the prospectus included therein for the resale of the shares underlying the Amended Series A Warrants, Amended Series C Warrants, Amended Series D Warrants and Amended Series E Warrants. The Company shall use its best efforts to cause such registration statements to remain available to the Holder following the date hereof.</w:t>
      </w:r>
    </w:p>
    <w:p>
      <w:pPr>
        <w:spacing w:after="0" w:line="46" w:lineRule="exact"/>
        <w:rPr>
          <w:sz w:val="20"/>
          <w:szCs w:val="20"/>
          <w:color w:val="auto"/>
        </w:rPr>
      </w:pPr>
    </w:p>
    <w:p>
      <w:pPr>
        <w:ind w:right="320" w:firstLine="443"/>
        <w:spacing w:after="0" w:line="277" w:lineRule="auto"/>
        <w:tabs>
          <w:tab w:leader="none" w:pos="69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6(g)</w:t>
      </w:r>
      <w:r>
        <w:rPr>
          <w:rFonts w:ascii="Arial" w:cs="Arial" w:eastAsia="Arial" w:hAnsi="Arial"/>
          <w:sz w:val="18"/>
          <w:szCs w:val="18"/>
          <w:color w:val="auto"/>
        </w:rPr>
        <w:t xml:space="preserve"> hereof, the Company is not now, and following the Closing Date will not be, liable for any brokerage, finder’s or solicitation fees or commissions with respect to the transactions contemplated by this Agreement.</w:t>
      </w:r>
    </w:p>
    <w:p>
      <w:pPr>
        <w:spacing w:after="0" w:line="62" w:lineRule="exact"/>
        <w:rPr>
          <w:rFonts w:ascii="Arial" w:cs="Arial" w:eastAsia="Arial" w:hAnsi="Arial"/>
          <w:sz w:val="18"/>
          <w:szCs w:val="18"/>
          <w:color w:val="auto"/>
        </w:rPr>
      </w:pPr>
    </w:p>
    <w:p>
      <w:pPr>
        <w:ind w:right="180" w:firstLine="443"/>
        <w:spacing w:after="0" w:line="264" w:lineRule="auto"/>
        <w:tabs>
          <w:tab w:leader="none" w:pos="69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6(h)</w:t>
      </w:r>
      <w:r>
        <w:rPr>
          <w:rFonts w:ascii="Arial" w:cs="Arial" w:eastAsia="Arial" w:hAnsi="Arial"/>
          <w:sz w:val="18"/>
          <w:szCs w:val="18"/>
          <w:color w:val="auto"/>
        </w:rPr>
        <w:t xml:space="preserve"> hereof, immediately after the consummation of the transactions contemplated by this Agreement, the Company shall have no outstanding financial instruments that must be accounted for as derivative liabilities on its balance sheets having a value in an aggregate amount that exceed $50,000.</w:t>
      </w:r>
    </w:p>
    <w:p>
      <w:pPr>
        <w:spacing w:after="0" w:line="73" w:lineRule="exact"/>
        <w:rPr>
          <w:rFonts w:ascii="Arial" w:cs="Arial" w:eastAsia="Arial" w:hAnsi="Arial"/>
          <w:sz w:val="18"/>
          <w:szCs w:val="18"/>
          <w:color w:val="auto"/>
        </w:rPr>
      </w:pPr>
    </w:p>
    <w:p>
      <w:pPr>
        <w:ind w:firstLine="443"/>
        <w:spacing w:after="0" w:line="286" w:lineRule="auto"/>
        <w:tabs>
          <w:tab w:leader="none" w:pos="653"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the Company under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color w:val="auto"/>
        </w:rPr>
        <w:t>SEC Documents</w:t>
      </w:r>
      <w:r>
        <w:rPr>
          <w:rFonts w:ascii="Arial" w:cs="Arial" w:eastAsia="Arial" w:hAnsi="Arial"/>
          <w:sz w:val="16"/>
          <w:szCs w:val="16"/>
          <w:color w:val="auto"/>
        </w:rPr>
        <w:t xml:space="preserve">”) on a timely basis or has received a valid extension of such time of filing and has filed any such SEC Documents prior to the expiration of any such extension. As of their respective dates, the SEC Documents complied in all material respects with the requirements of the Exchange Act, and none of the SEC Documents, except as set forth in </w:t>
      </w:r>
      <w:r>
        <w:rPr>
          <w:rFonts w:ascii="Arial" w:cs="Arial" w:eastAsia="Arial" w:hAnsi="Arial"/>
          <w:sz w:val="16"/>
          <w:szCs w:val="16"/>
          <w:u w:val="single" w:color="auto"/>
          <w:color w:val="auto"/>
        </w:rPr>
        <w:t>Schedule 6(i)</w:t>
      </w:r>
      <w:r>
        <w:rPr>
          <w:rFonts w:ascii="Arial" w:cs="Arial" w:eastAsia="Arial" w:hAnsi="Arial"/>
          <w:sz w:val="16"/>
          <w:szCs w:val="16"/>
          <w:color w:val="auto"/>
        </w:rPr>
        <w:t xml:space="preserve"> hereof,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b w:val="1"/>
          <w:bCs w:val="1"/>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63" w:lineRule="exact"/>
        <w:rPr>
          <w:rFonts w:ascii="Arial" w:cs="Arial" w:eastAsia="Arial" w:hAnsi="Arial"/>
          <w:sz w:val="16"/>
          <w:szCs w:val="16"/>
          <w:color w:val="auto"/>
        </w:rPr>
      </w:pPr>
    </w:p>
    <w:p>
      <w:pPr>
        <w:jc w:val="both"/>
        <w:ind w:right="80" w:firstLine="443"/>
        <w:spacing w:after="0" w:line="279" w:lineRule="auto"/>
        <w:tabs>
          <w:tab w:leader="none" w:pos="65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As of the date hereof, the authorized capital stock of the Company consists of (i) 500,000,000 shares of Common Stock, of which 71,416,267 shares are issued and outstanding and 68,403,289 shares are reserved for issuance pursuant to securities exercisable or exchangeable for, or convertible into, shares of Common Stock (other than the securities issued in connection with the PIPE) and (ii) 5,000,000 shares of preferred stock, of which, (A) 1,250,000 shares have been designated as Series A Preferred Stock, no such</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217" w:name="page218"/>
    <w:bookmarkEnd w:id="21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shares being issued and outstanding, and (B) 1,500,000 shares have been designated as Series B Preferred Stock, no such shares being issued and outstanding. No shares of Common Stock are held in treasury. All of such outstanding shares are duly authorized and have been, or upon issuance will be, validly issued and are fully paid and non-assessable. 21,123,675 shares of the Company’s issued and outstanding Common Stock on the date hereof are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None of the Company’s or any Subsidiary’s capital stock is subject to preemptive rights or any other similar rights or any liens or encumbrances suffered or permitted by the Company or any Subsidiary and, except as set forth in </w:t>
      </w:r>
      <w:r>
        <w:rPr>
          <w:rFonts w:ascii="Arial" w:cs="Arial" w:eastAsia="Arial" w:hAnsi="Arial"/>
          <w:sz w:val="16"/>
          <w:szCs w:val="16"/>
          <w:u w:val="single" w:color="auto"/>
          <w:color w:val="auto"/>
        </w:rPr>
        <w:t>Schedule 6(j)</w:t>
      </w:r>
      <w:r>
        <w:rPr>
          <w:rFonts w:ascii="Arial" w:cs="Arial" w:eastAsia="Arial" w:hAnsi="Arial"/>
          <w:sz w:val="16"/>
          <w:szCs w:val="16"/>
          <w:color w:val="auto"/>
        </w:rPr>
        <w:t xml:space="preserve"> hereof, there are no outstanding options, warrants, scrip, rights to subscribe to, calls or commitments of any character whatsoever relating to, or securities or rights convertible into, or exercisable or exchangeable for, any capital stock of any of the Company or Company’s Subsidiaries, or contracts, commitments, understandings or arrangements by which the Company or any of its Subsidiaries is or may become bound to issue additional capital stock of the Company or any of the Company’s Subsidiaries or options, warrants, scrip, rights to subscribe to, calls or commitments of any character whatsoever relating to, or securities or rights convertible into, or exercisable or exchangeable for, any capital stock of the Company or any of its Subsidiaries with an aggregate value that exceed $50,000. Except as set forth in the SEC Documents, (A) there are no outstanding debt securities, notes, credit agreements, credit facilities or other agreements, documents or instruments evidencing Indebtedness of the Company or any of its Subsidiaries or by which the Company or any of its Subsidiaries is or may become bound; (B) there are no financing statements securing obligations in any amounts filed in connection with the Company or any of its Subsidiaries; (C) there are no agreements or arrangements under which the Company or any of its Subsidiaries is obligated to register the sale of any of their securities under the 1933 Act, except as set forth in </w:t>
      </w:r>
      <w:r>
        <w:rPr>
          <w:rFonts w:ascii="Arial" w:cs="Arial" w:eastAsia="Arial" w:hAnsi="Arial"/>
          <w:sz w:val="16"/>
          <w:szCs w:val="16"/>
          <w:u w:val="single" w:color="auto"/>
          <w:color w:val="auto"/>
        </w:rPr>
        <w:t>Schedule 6(j)</w:t>
      </w:r>
      <w:r>
        <w:rPr>
          <w:rFonts w:ascii="Arial" w:cs="Arial" w:eastAsia="Arial" w:hAnsi="Arial"/>
          <w:sz w:val="16"/>
          <w:szCs w:val="16"/>
          <w:color w:val="auto"/>
        </w:rPr>
        <w:t xml:space="preserve"> hereto;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except as set forth in </w:t>
      </w:r>
      <w:r>
        <w:rPr>
          <w:rFonts w:ascii="Arial" w:cs="Arial" w:eastAsia="Arial" w:hAnsi="Arial"/>
          <w:sz w:val="16"/>
          <w:szCs w:val="16"/>
          <w:u w:val="single" w:color="auto"/>
          <w:color w:val="auto"/>
        </w:rPr>
        <w:t>Schedule 6(j)</w:t>
      </w:r>
      <w:r>
        <w:rPr>
          <w:rFonts w:ascii="Arial" w:cs="Arial" w:eastAsia="Arial" w:hAnsi="Arial"/>
          <w:sz w:val="16"/>
          <w:szCs w:val="16"/>
          <w:color w:val="auto"/>
        </w:rPr>
        <w:t xml:space="preserve"> hereto, there are no securities or instruments containing anti-dilution or similar provisions in an aggregate amount that exceed $50,000 that will be triggered by the issuance of the Securities; (F) neither the Company nor any Subsidiary has any stock appreciation rights or “phantom stock” plans or agreements or any similar plan or agreement; and (G)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would not have a Material Adverse Effect. The SEC Documents contain true, correct and complete copies of the Company’s Articles of Incorporation, as amended and as in effect on the date hereof, and the Company’s bylaws, as amended and as in effect on the date hereof, and the terms of all securities convertible into, or exercisable or exchangeable for, shares of Common Stock and the material rights of the holders thereof in respect thereto.</w:t>
      </w:r>
    </w:p>
    <w:p>
      <w:pPr>
        <w:spacing w:after="0" w:line="62" w:lineRule="exact"/>
        <w:rPr>
          <w:sz w:val="20"/>
          <w:szCs w:val="20"/>
          <w:color w:val="auto"/>
        </w:rPr>
      </w:pPr>
    </w:p>
    <w:p>
      <w:pPr>
        <w:ind w:right="280" w:firstLine="443"/>
        <w:spacing w:after="0" w:line="264" w:lineRule="auto"/>
        <w:tabs>
          <w:tab w:leader="none" w:pos="69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by this Agreement, the Company has sufficient authorized shares of Common Stock to issue upon the conversion of all outstanding shares of the Company’s convertible securities, and the exercise of all Amended Warrants and the Additional Warrants and all outstanding warrants as of the date hereof.</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18" w:name="page219"/>
    <w:bookmarkEnd w:id="218"/>
    <w:p>
      <w:pPr>
        <w:ind w:left="452" w:hanging="452"/>
        <w:spacing w:after="0"/>
        <w:tabs>
          <w:tab w:leader="none" w:pos="452"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 of the Holders</w:t>
      </w:r>
      <w:r>
        <w:rPr>
          <w:rFonts w:ascii="Arial" w:cs="Arial" w:eastAsia="Arial" w:hAnsi="Arial"/>
          <w:sz w:val="18"/>
          <w:szCs w:val="18"/>
          <w:color w:val="auto"/>
        </w:rPr>
        <w:t>. Each Holder represents, warrants and covenants to the Company as follows:</w:t>
      </w:r>
    </w:p>
    <w:p>
      <w:pPr>
        <w:spacing w:after="0" w:line="117" w:lineRule="exact"/>
        <w:rPr>
          <w:rFonts w:ascii="Arial" w:cs="Arial" w:eastAsia="Arial" w:hAnsi="Arial"/>
          <w:sz w:val="18"/>
          <w:szCs w:val="18"/>
          <w:color w:val="auto"/>
        </w:rPr>
      </w:pPr>
    </w:p>
    <w:p>
      <w:pPr>
        <w:ind w:left="452" w:firstLine="443"/>
        <w:spacing w:after="0" w:line="270" w:lineRule="auto"/>
        <w:tabs>
          <w:tab w:leader="none" w:pos="1135"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Holder is either an individual or an entity duly incorporated or formed, validly existing and in good standing under the laws of the jurisdiction of its incorporation or formation with full capacity, right, corporate, partnership, limited liability company or similar power and authority, as applicable, to enter into and to consummate the transactions contemplated by this Agreement and otherwise to carry out its obligations hereunder. The execution and delivery of this Agreement and performance by the Holder of the transactions contemplated by this Agreement have been duly authorized by all necessary corporate, partnership, limited liability company or similar action, as applicable, on the part of the Holder. This Agreement has been duly executed by the Holder, and when delivered by the Holder in accordance with the terms hereof, will constitute the valid and legally binding obligation of the Holder,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69" w:lineRule="exact"/>
        <w:rPr>
          <w:rFonts w:ascii="Arial" w:cs="Arial" w:eastAsia="Arial" w:hAnsi="Arial"/>
          <w:sz w:val="17"/>
          <w:szCs w:val="17"/>
          <w:color w:val="auto"/>
        </w:rPr>
      </w:pPr>
    </w:p>
    <w:p>
      <w:pPr>
        <w:jc w:val="both"/>
        <w:ind w:left="452" w:right="200" w:firstLine="443"/>
        <w:spacing w:after="0" w:line="279" w:lineRule="auto"/>
        <w:tabs>
          <w:tab w:leader="none" w:pos="1145"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Holder is acquiring the Additional Shares and Warrants hereunder as principal for its own account and has no direct or indirect arrangement or understandings with any other persons to distribute or regarding the distribution of such Additional Shares and Warrants (this representation and warranty not limiting the Holder’s right to sell the Additional Shares and Warrants in compliance with applicable federal and state securities laws). The Holder is acquiring the Additional Shares and Warrants hereunder in the ordinary course of its business.</w:t>
      </w:r>
    </w:p>
    <w:p>
      <w:pPr>
        <w:spacing w:after="0" w:line="63" w:lineRule="exact"/>
        <w:rPr>
          <w:rFonts w:ascii="Arial" w:cs="Arial" w:eastAsia="Arial" w:hAnsi="Arial"/>
          <w:sz w:val="17"/>
          <w:szCs w:val="17"/>
          <w:color w:val="auto"/>
        </w:rPr>
      </w:pPr>
    </w:p>
    <w:p>
      <w:pPr>
        <w:ind w:left="452" w:firstLine="443"/>
        <w:spacing w:after="0" w:line="302" w:lineRule="auto"/>
        <w:tabs>
          <w:tab w:leader="none" w:pos="113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Holder understands that the Additional Shares and Warrants are being offered and sold to in reliance upon specific exemptions from the registration requirements of the Securities Act and state securities laws and that the Company is relying upon the truth and accuracy of, and the Holder’s compliance with, the representations, warranties, covenants, agreements, acknowledgments and understandings of the Holder contained in this Agreement in order to determine the availability of such exemptions and the eligibility of the Holder to acquire the Additional Shares and Warrants.</w:t>
      </w:r>
    </w:p>
    <w:p>
      <w:pPr>
        <w:spacing w:after="0" w:line="46" w:lineRule="exact"/>
        <w:rPr>
          <w:rFonts w:ascii="Arial" w:cs="Arial" w:eastAsia="Arial" w:hAnsi="Arial"/>
          <w:sz w:val="16"/>
          <w:szCs w:val="16"/>
          <w:color w:val="auto"/>
        </w:rPr>
      </w:pPr>
    </w:p>
    <w:p>
      <w:pPr>
        <w:ind w:left="452" w:firstLine="443"/>
        <w:spacing w:after="0" w:line="259" w:lineRule="auto"/>
        <w:tabs>
          <w:tab w:leader="none" w:pos="114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Holder understands that its investment in the securities of the Company hereunder involves a significant degree of risk, and the Holder has full cognizance of and understands all of the risk factors related to its purchase of the Additional Shares and Warrants, including, but not limited to, those risk factors including in the SEC Documents. The Holder understands that no representation is being made as to the future value of the Additional Shares and Warrants.</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219" w:name="page220"/>
    <w:bookmarkEnd w:id="219"/>
    <w:p>
      <w:pPr>
        <w:ind w:left="460" w:firstLine="443"/>
        <w:spacing w:after="0" w:line="264" w:lineRule="auto"/>
        <w:tabs>
          <w:tab w:leader="none" w:pos="1143"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time the Holder was offered the Shares hereunder, it was, and as of the date hereof it is, either: (i) an “accredited investor” as defined in Rule 501 of Regulation D promulgated under the Securities Act or (ii) a “qualified institutional buyer” as defined in Rule 144A under the Securities Act. The Holder is not required to be registered as a broker-dealer under Section 15 of the Exchange Act.</w:t>
      </w:r>
    </w:p>
    <w:p>
      <w:pPr>
        <w:spacing w:after="0" w:line="73" w:lineRule="exact"/>
        <w:rPr>
          <w:rFonts w:ascii="Arial" w:cs="Arial" w:eastAsia="Arial" w:hAnsi="Arial"/>
          <w:sz w:val="18"/>
          <w:szCs w:val="18"/>
          <w:color w:val="auto"/>
        </w:rPr>
      </w:pPr>
    </w:p>
    <w:p>
      <w:pPr>
        <w:ind w:left="460" w:right="20" w:firstLine="443"/>
        <w:spacing w:after="0" w:line="259" w:lineRule="auto"/>
        <w:tabs>
          <w:tab w:leader="none" w:pos="112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Holder, either alone or together with its representatives, has such knowledge, sophistication and experience in business and financial matters so as to be capable of evaluating the merits and risks of the prospective investment in the Additional Shares and Warrants, and has so evaluated the merits and risks of such investment. The Holder is able to bear the economic risk of an investment in the Additional Shares and Warrants and, at the present time, is able to afford a complete loss of such investment.</w:t>
      </w:r>
    </w:p>
    <w:p>
      <w:pPr>
        <w:spacing w:after="0" w:line="78" w:lineRule="exact"/>
        <w:rPr>
          <w:rFonts w:ascii="Arial" w:cs="Arial" w:eastAsia="Arial" w:hAnsi="Arial"/>
          <w:sz w:val="18"/>
          <w:szCs w:val="18"/>
          <w:color w:val="auto"/>
        </w:rPr>
      </w:pPr>
    </w:p>
    <w:p>
      <w:pPr>
        <w:ind w:left="460" w:right="60" w:firstLine="443"/>
        <w:spacing w:after="0" w:line="259" w:lineRule="auto"/>
        <w:tabs>
          <w:tab w:leader="none" w:pos="115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Holder owns (i) a number of Series A Warrants, Series D Warrants and Series E Warrants equal to the number of Amended Series A Warrants, Amended Series D Warrants and Amended Series E Warrants reflected on Schedule I attached hereto, and (ii) a number of Series C Warrants equal to the aggregate number of Amended Series C Warrants, if any, and Series C Warrants being exercised simultaneous herewith, both as reflected on Schedule I attached hereto.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representations and warranties of the Holder shall in no way limit or modify the representations and warranties of the Company set forth in Section 5.</w:t>
      </w:r>
    </w:p>
    <w:p>
      <w:pPr>
        <w:spacing w:after="0" w:line="154"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Further Covenants</w:t>
      </w:r>
      <w:r>
        <w:rPr>
          <w:rFonts w:ascii="Arial" w:cs="Arial" w:eastAsia="Arial" w:hAnsi="Arial"/>
          <w:sz w:val="18"/>
          <w:szCs w:val="18"/>
          <w:color w:val="auto"/>
        </w:rPr>
        <w:t>. The Company hereby covenants and agrees that:</w:t>
      </w:r>
    </w:p>
    <w:p>
      <w:pPr>
        <w:spacing w:after="0" w:line="117" w:lineRule="exact"/>
        <w:rPr>
          <w:rFonts w:ascii="Arial" w:cs="Arial" w:eastAsia="Arial" w:hAnsi="Arial"/>
          <w:sz w:val="18"/>
          <w:szCs w:val="18"/>
          <w:color w:val="auto"/>
        </w:rPr>
      </w:pPr>
    </w:p>
    <w:p>
      <w:pPr>
        <w:ind w:left="460" w:right="20" w:firstLine="443"/>
        <w:spacing w:after="0" w:line="271" w:lineRule="auto"/>
        <w:tabs>
          <w:tab w:leader="none" w:pos="1143" w:val="left"/>
        </w:tabs>
        <w:numPr>
          <w:ilvl w:val="1"/>
          <w:numId w:val="248"/>
        </w:numPr>
        <w:rPr>
          <w:rFonts w:ascii="Arial" w:cs="Arial" w:eastAsia="Arial" w:hAnsi="Arial"/>
          <w:sz w:val="17"/>
          <w:szCs w:val="17"/>
          <w:color w:val="auto"/>
        </w:rPr>
      </w:pPr>
      <w:r>
        <w:rPr>
          <w:rFonts w:ascii="Arial" w:cs="Arial" w:eastAsia="Arial" w:hAnsi="Arial"/>
          <w:sz w:val="17"/>
          <w:szCs w:val="17"/>
          <w:color w:val="auto"/>
        </w:rPr>
        <w:t>On or before 9:00 a.m., New York time, on the first (1</w:t>
      </w:r>
      <w:r>
        <w:rPr>
          <w:rFonts w:ascii="Arial" w:cs="Arial" w:eastAsia="Arial" w:hAnsi="Arial"/>
          <w:sz w:val="14"/>
          <w:szCs w:val="14"/>
          <w:color w:val="auto"/>
        </w:rPr>
        <w:t>st</w:t>
      </w:r>
      <w:r>
        <w:rPr>
          <w:rFonts w:ascii="Arial" w:cs="Arial" w:eastAsia="Arial" w:hAnsi="Arial"/>
          <w:sz w:val="17"/>
          <w:szCs w:val="17"/>
          <w:color w:val="auto"/>
        </w:rPr>
        <w:t>) Business Day following the execution of this Agreement by the Company and the Holders, the Company shall file a Current Report on Form 8-K, including the form of this Agreement and all exhibits to this Agreement as exhibits thereto (the “</w:t>
      </w:r>
      <w:r>
        <w:rPr>
          <w:rFonts w:ascii="Arial" w:cs="Arial" w:eastAsia="Arial" w:hAnsi="Arial"/>
          <w:sz w:val="17"/>
          <w:szCs w:val="17"/>
          <w:b w:val="1"/>
          <w:bCs w:val="1"/>
          <w:color w:val="auto"/>
        </w:rPr>
        <w:t>8-K Filing</w:t>
      </w:r>
      <w:r>
        <w:rPr>
          <w:rFonts w:ascii="Arial" w:cs="Arial" w:eastAsia="Arial" w:hAnsi="Arial"/>
          <w:sz w:val="17"/>
          <w:szCs w:val="17"/>
          <w:color w:val="auto"/>
        </w:rPr>
        <w:t>”), with the Commission in the form required by the Securities Exchange Act of 1934, as amended (the “</w:t>
      </w:r>
      <w:r>
        <w:rPr>
          <w:rFonts w:ascii="Arial" w:cs="Arial" w:eastAsia="Arial" w:hAnsi="Arial"/>
          <w:sz w:val="17"/>
          <w:szCs w:val="17"/>
          <w:b w:val="1"/>
          <w:bCs w:val="1"/>
          <w:color w:val="auto"/>
        </w:rPr>
        <w:t>1934 Act”</w:t>
      </w:r>
      <w:r>
        <w:rPr>
          <w:rFonts w:ascii="Arial" w:cs="Arial" w:eastAsia="Arial" w:hAnsi="Arial"/>
          <w:sz w:val="17"/>
          <w:szCs w:val="17"/>
          <w:color w:val="auto"/>
        </w:rPr>
        <w:t>). From and after the 8-K Filing, the Company represents to the Holders that it shall have publicly disclosed all material, non-public information delivered to any of the Holders by the Company or any of its Subsidiaries, or any of their respective officers, directors, employees or agents. In addition, effective upon the 8-K Filing,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Holders or any of their Affiliates on the other hand, shall terminate.</w:t>
      </w:r>
    </w:p>
    <w:p>
      <w:pPr>
        <w:spacing w:after="0" w:line="70" w:lineRule="exact"/>
        <w:rPr>
          <w:rFonts w:ascii="Arial" w:cs="Arial" w:eastAsia="Arial" w:hAnsi="Arial"/>
          <w:sz w:val="17"/>
          <w:szCs w:val="17"/>
          <w:color w:val="auto"/>
        </w:rPr>
      </w:pPr>
    </w:p>
    <w:p>
      <w:pPr>
        <w:ind w:left="460" w:right="40" w:firstLine="443"/>
        <w:spacing w:after="0" w:line="264" w:lineRule="auto"/>
        <w:tabs>
          <w:tab w:leader="none" w:pos="115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Following the consummation of the transactions contemplated by this Agreement and the Company’s raising a minimum of $2.0 million in gross proceeds in the concurrent PIPE offering being conducted by Katalyst Securities LLC and GP Nurmenkari, Inc. (the “</w:t>
      </w:r>
      <w:r>
        <w:rPr>
          <w:rFonts w:ascii="Arial" w:cs="Arial" w:eastAsia="Arial" w:hAnsi="Arial"/>
          <w:sz w:val="18"/>
          <w:szCs w:val="18"/>
          <w:b w:val="1"/>
          <w:bCs w:val="1"/>
          <w:color w:val="auto"/>
        </w:rPr>
        <w:t>PIPE</w:t>
      </w:r>
      <w:r>
        <w:rPr>
          <w:rFonts w:ascii="Arial" w:cs="Arial" w:eastAsia="Arial" w:hAnsi="Arial"/>
          <w:sz w:val="18"/>
          <w:szCs w:val="18"/>
          <w:color w:val="auto"/>
        </w:rPr>
        <w:t>”), the Company shall use its best efforts to have its Common Stock approved for listing on the NASDAQ Capital Market.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20" w:name="page221"/>
    <w:bookmarkEnd w:id="220"/>
    <w:p>
      <w:pPr>
        <w:ind w:left="452" w:right="40" w:firstLine="443"/>
        <w:spacing w:after="0" w:line="293" w:lineRule="auto"/>
        <w:tabs>
          <w:tab w:leader="none" w:pos="1135" w:val="left"/>
        </w:tabs>
        <w:numPr>
          <w:ilvl w:val="0"/>
          <w:numId w:val="2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later than the sixth trading day following the Closing Date, the Company (A) shall have its Board of Directors adopt the appropriate resolutions to effect a reverse stock split of the shares of common stock of the Company, in such ratio as shall be determined by the Board of Directors of the Company (the “</w:t>
      </w:r>
      <w:r>
        <w:rPr>
          <w:rFonts w:ascii="Arial" w:cs="Arial" w:eastAsia="Arial" w:hAnsi="Arial"/>
          <w:sz w:val="16"/>
          <w:szCs w:val="16"/>
          <w:b w:val="1"/>
          <w:bCs w:val="1"/>
          <w:color w:val="auto"/>
        </w:rPr>
        <w:t>Reverse Stock Split</w:t>
      </w:r>
      <w:r>
        <w:rPr>
          <w:rFonts w:ascii="Arial" w:cs="Arial" w:eastAsia="Arial" w:hAnsi="Arial"/>
          <w:sz w:val="16"/>
          <w:szCs w:val="16"/>
          <w:color w:val="auto"/>
        </w:rPr>
        <w:t>”), so that the bid price of the common stock of the Company will comply with the NASDAQ Capital Market’s minimum bid price requirement for initial listing at the effective time of the Reverse Stock Split, and (B) shall submit to the Financial Industry Regulatory Authority, Inc. (FINRA) an application to effect the Reverse Stock Split no later than 40 days following the Closing Date. The Holder acknowledges that the Company will need to effect the Reverse Stock Split in order to list its Common Stock on the NASDAQ Capital Market.</w:t>
      </w:r>
    </w:p>
    <w:p>
      <w:pPr>
        <w:spacing w:after="0" w:line="56" w:lineRule="exact"/>
        <w:rPr>
          <w:rFonts w:ascii="Arial" w:cs="Arial" w:eastAsia="Arial" w:hAnsi="Arial"/>
          <w:sz w:val="16"/>
          <w:szCs w:val="16"/>
          <w:color w:val="auto"/>
        </w:rPr>
      </w:pPr>
    </w:p>
    <w:p>
      <w:pPr>
        <w:ind w:left="452" w:firstLine="443"/>
        <w:spacing w:after="0" w:line="264" w:lineRule="auto"/>
        <w:tabs>
          <w:tab w:leader="none" w:pos="114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Following the Reverse Stock Split, based on the various ratios indicated in the table below (without taking into account additional new stockholders who participated in the PIPE), the Company expects to have such number of Round Lot Holders (as such term is defined by NASDAQ) as indicated in the table below:</w:t>
      </w:r>
    </w:p>
    <w:p>
      <w:pPr>
        <w:spacing w:after="0" w:line="200" w:lineRule="exact"/>
        <w:rPr>
          <w:sz w:val="20"/>
          <w:szCs w:val="20"/>
          <w:color w:val="auto"/>
        </w:rPr>
      </w:pPr>
    </w:p>
    <w:tbl>
      <w:tblPr>
        <w:tblLayout w:type="fixed"/>
        <w:tblInd w:w="1252"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Ratio</w:t>
            </w:r>
          </w:p>
        </w:tc>
        <w:tc>
          <w:tcPr>
            <w:tcW w:w="58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Round Lot Holders</w:t>
            </w:r>
          </w:p>
        </w:tc>
      </w:tr>
      <w:tr>
        <w:trPr>
          <w:trHeight w:val="318"/>
        </w:trPr>
        <w:tc>
          <w:tcPr>
            <w:tcW w:w="6220" w:type="dxa"/>
            <w:vAlign w:val="bottom"/>
            <w:gridSpan w:val="2"/>
          </w:tcPr>
          <w:p>
            <w:pPr>
              <w:spacing w:after="0"/>
              <w:rPr>
                <w:sz w:val="20"/>
                <w:szCs w:val="20"/>
                <w:color w:val="auto"/>
              </w:rPr>
            </w:pPr>
            <w:r>
              <w:rPr>
                <w:rFonts w:ascii="Arial" w:cs="Arial" w:eastAsia="Arial" w:hAnsi="Arial"/>
                <w:sz w:val="18"/>
                <w:szCs w:val="18"/>
                <w:color w:val="auto"/>
              </w:rPr>
              <w:t>1-for-5</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3,193</w:t>
            </w:r>
          </w:p>
        </w:tc>
      </w:tr>
      <w:tr>
        <w:trPr>
          <w:trHeight w:val="324"/>
        </w:trPr>
        <w:tc>
          <w:tcPr>
            <w:tcW w:w="6220" w:type="dxa"/>
            <w:vAlign w:val="bottom"/>
            <w:gridSpan w:val="2"/>
          </w:tcPr>
          <w:p>
            <w:pPr>
              <w:spacing w:after="0"/>
              <w:rPr>
                <w:sz w:val="20"/>
                <w:szCs w:val="20"/>
                <w:color w:val="auto"/>
              </w:rPr>
            </w:pPr>
            <w:r>
              <w:rPr>
                <w:rFonts w:ascii="Arial" w:cs="Arial" w:eastAsia="Arial" w:hAnsi="Arial"/>
                <w:sz w:val="18"/>
                <w:szCs w:val="18"/>
                <w:color w:val="auto"/>
              </w:rPr>
              <w:t>1-for-10</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2,749</w:t>
            </w:r>
          </w:p>
        </w:tc>
      </w:tr>
      <w:tr>
        <w:trPr>
          <w:trHeight w:val="324"/>
        </w:trPr>
        <w:tc>
          <w:tcPr>
            <w:tcW w:w="6220" w:type="dxa"/>
            <w:vAlign w:val="bottom"/>
            <w:gridSpan w:val="2"/>
          </w:tcPr>
          <w:p>
            <w:pPr>
              <w:spacing w:after="0"/>
              <w:rPr>
                <w:sz w:val="20"/>
                <w:szCs w:val="20"/>
                <w:color w:val="auto"/>
              </w:rPr>
            </w:pPr>
            <w:r>
              <w:rPr>
                <w:rFonts w:ascii="Arial" w:cs="Arial" w:eastAsia="Arial" w:hAnsi="Arial"/>
                <w:sz w:val="18"/>
                <w:szCs w:val="18"/>
                <w:color w:val="auto"/>
              </w:rPr>
              <w:t>1-for-15</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2,050</w:t>
            </w:r>
          </w:p>
        </w:tc>
      </w:tr>
      <w:tr>
        <w:trPr>
          <w:trHeight w:val="324"/>
        </w:trPr>
        <w:tc>
          <w:tcPr>
            <w:tcW w:w="6220" w:type="dxa"/>
            <w:vAlign w:val="bottom"/>
            <w:gridSpan w:val="2"/>
          </w:tcPr>
          <w:p>
            <w:pPr>
              <w:spacing w:after="0"/>
              <w:rPr>
                <w:sz w:val="20"/>
                <w:szCs w:val="20"/>
                <w:color w:val="auto"/>
              </w:rPr>
            </w:pPr>
            <w:r>
              <w:rPr>
                <w:rFonts w:ascii="Arial" w:cs="Arial" w:eastAsia="Arial" w:hAnsi="Arial"/>
                <w:sz w:val="18"/>
                <w:szCs w:val="18"/>
                <w:color w:val="auto"/>
              </w:rPr>
              <w:t>1-for-20</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2,050</w:t>
            </w:r>
          </w:p>
        </w:tc>
      </w:tr>
      <w:tr>
        <w:trPr>
          <w:trHeight w:val="324"/>
        </w:trPr>
        <w:tc>
          <w:tcPr>
            <w:tcW w:w="6220" w:type="dxa"/>
            <w:vAlign w:val="bottom"/>
            <w:gridSpan w:val="2"/>
          </w:tcPr>
          <w:p>
            <w:pPr>
              <w:spacing w:after="0"/>
              <w:rPr>
                <w:sz w:val="20"/>
                <w:szCs w:val="20"/>
                <w:color w:val="auto"/>
              </w:rPr>
            </w:pPr>
            <w:r>
              <w:rPr>
                <w:rFonts w:ascii="Arial" w:cs="Arial" w:eastAsia="Arial" w:hAnsi="Arial"/>
                <w:sz w:val="18"/>
                <w:szCs w:val="18"/>
                <w:color w:val="auto"/>
              </w:rPr>
              <w:t>1-for-25</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1,656</w:t>
            </w:r>
          </w:p>
        </w:tc>
      </w:tr>
    </w:tbl>
    <w:p>
      <w:pPr>
        <w:spacing w:after="0" w:line="94" w:lineRule="exact"/>
        <w:rPr>
          <w:sz w:val="20"/>
          <w:szCs w:val="20"/>
          <w:color w:val="auto"/>
        </w:rPr>
      </w:pPr>
    </w:p>
    <w:p>
      <w:pPr>
        <w:ind w:left="452" w:right="140" w:firstLine="443"/>
        <w:spacing w:after="0" w:line="264" w:lineRule="auto"/>
        <w:tabs>
          <w:tab w:leader="none" w:pos="113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Based on the budget which was provided by the Company to NASDAQ in connection with its initial listing application, the Company needs approximately $9,246,461 in working capital to fund its current level of operations and expenditures pursuant to its business plan for at least from August 1, 2016 through December 31, 2017.</w:t>
      </w:r>
    </w:p>
    <w:p>
      <w:pPr>
        <w:spacing w:after="0" w:line="73" w:lineRule="exact"/>
        <w:rPr>
          <w:sz w:val="20"/>
          <w:szCs w:val="20"/>
          <w:color w:val="auto"/>
        </w:rPr>
      </w:pPr>
    </w:p>
    <w:p>
      <w:pPr>
        <w:ind w:left="452" w:firstLine="438"/>
        <w:spacing w:after="0" w:line="259" w:lineRule="auto"/>
        <w:rPr>
          <w:sz w:val="20"/>
          <w:szCs w:val="20"/>
          <w:color w:val="auto"/>
        </w:rPr>
      </w:pPr>
      <w:r>
        <w:rPr>
          <w:rFonts w:ascii="Arial" w:cs="Arial" w:eastAsia="Arial" w:hAnsi="Arial"/>
          <w:sz w:val="18"/>
          <w:szCs w:val="18"/>
          <w:color w:val="auto"/>
        </w:rPr>
        <w:t>[(f) [TO BE ADDED TO IROQUOIS AGREEMENT ONLY]As promptly as practicable following the execution of this Agreement, the Board of Directors of the Company shall take all necessary actions to appoint Mr. Joshua Silverman as a member of the Board of Directors, provided that pursuant to the Company’s background check, none of the events enumerated in Item 401(f) of Regulation S-K of the Securities Act of 1933, as amended, are applicable to Mr. Silverman.]</w:t>
      </w:r>
    </w:p>
    <w:p>
      <w:pPr>
        <w:spacing w:after="0" w:line="92" w:lineRule="exact"/>
        <w:rPr>
          <w:sz w:val="20"/>
          <w:szCs w:val="20"/>
          <w:color w:val="auto"/>
        </w:rPr>
      </w:pPr>
    </w:p>
    <w:p>
      <w:pPr>
        <w:ind w:left="452" w:right="260" w:hanging="452"/>
        <w:spacing w:after="0" w:line="279" w:lineRule="auto"/>
        <w:tabs>
          <w:tab w:leader="none" w:pos="452"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Leak-Out Restrictions</w:t>
      </w:r>
      <w:r>
        <w:rPr>
          <w:rFonts w:ascii="Arial" w:cs="Arial" w:eastAsia="Arial" w:hAnsi="Arial"/>
          <w:sz w:val="17"/>
          <w:szCs w:val="17"/>
          <w:color w:val="auto"/>
        </w:rPr>
        <w:t>. Each of the Holders agrees that for a period commencing on the date hereof and ending three (3) Trading Days following the listing of the Common Stock on the NASDAQ Capital Market (the “</w:t>
      </w:r>
      <w:r>
        <w:rPr>
          <w:rFonts w:ascii="Arial" w:cs="Arial" w:eastAsia="Arial" w:hAnsi="Arial"/>
          <w:sz w:val="17"/>
          <w:szCs w:val="17"/>
          <w:b w:val="1"/>
          <w:bCs w:val="1"/>
          <w:color w:val="auto"/>
        </w:rPr>
        <w:t>Leak-Out Period</w:t>
      </w:r>
      <w:r>
        <w:rPr>
          <w:rFonts w:ascii="Arial" w:cs="Arial" w:eastAsia="Arial" w:hAnsi="Arial"/>
          <w:sz w:val="17"/>
          <w:szCs w:val="17"/>
          <w:color w:val="auto"/>
        </w:rPr>
        <w:t>”), the Holder agrees, on behalf of itself and each affiliate (as defined in Rule 405 under the Securities Act) of such holder which (x) had knowledge of the transactions contemplated hereby, (y) has or shares discretion relating to such Holder’s investments or trading or information concerning such Holder’s</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274" w:right="279" w:bottom="1440" w:gutter="0" w:footer="0" w:header="0"/>
        </w:sectPr>
      </w:pPr>
    </w:p>
    <w:bookmarkStart w:id="221" w:name="page222"/>
    <w:bookmarkEnd w:id="221"/>
    <w:p>
      <w:pPr>
        <w:ind w:left="452"/>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including in respect of the securities issuable hereunder, or (z) is subject to such Holder’s review or input concerning such affiliate’s investments or trading (collectively, “</w:t>
      </w:r>
      <w:r>
        <w:rPr>
          <w:rFonts w:ascii="Arial" w:cs="Arial" w:eastAsia="Arial" w:hAnsi="Arial"/>
          <w:sz w:val="17"/>
          <w:szCs w:val="17"/>
          <w:b w:val="1"/>
          <w:bCs w:val="1"/>
          <w:color w:val="auto"/>
        </w:rPr>
        <w:t>Trading Affiliates</w:t>
      </w:r>
      <w:r>
        <w:rPr>
          <w:rFonts w:ascii="Arial" w:cs="Arial" w:eastAsia="Arial" w:hAnsi="Arial"/>
          <w:sz w:val="17"/>
          <w:szCs w:val="17"/>
          <w:color w:val="auto"/>
        </w:rPr>
        <w:t xml:space="preserve">”), not to sell, dispose or otherwise transfer shares of Common Stock on any Trading Day during the Leak-Out Period and further agrees, on behalf of itself and each Trading Affiliates, that for a period commencing on the date following the expiration of the Leak-Out Period and ending 30 Trading Days thereafter, it will not sell, dispose or otherwise transfer shares of Common Stock which represent more than five percent (5%) of the Company’s daily trading volume;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these trading restrictions shall not apply to any sale, disposal or other transfer at a price at or greater than $0.75 (appropriately adjusted for any stock split, reverse stock split, stock dividend or other reclassification or combination of the Common Stock occurring after the date hereof). As used herein, “</w:t>
      </w:r>
      <w:r>
        <w:rPr>
          <w:rFonts w:ascii="Arial" w:cs="Arial" w:eastAsia="Arial" w:hAnsi="Arial"/>
          <w:sz w:val="17"/>
          <w:szCs w:val="17"/>
          <w:b w:val="1"/>
          <w:bCs w:val="1"/>
          <w:color w:val="auto"/>
        </w:rPr>
        <w:t>Trading Day</w:t>
      </w:r>
      <w:r>
        <w:rPr>
          <w:rFonts w:ascii="Arial" w:cs="Arial" w:eastAsia="Arial" w:hAnsi="Arial"/>
          <w:sz w:val="17"/>
          <w:szCs w:val="17"/>
          <w:color w:val="auto"/>
        </w:rPr>
        <w:t>” means a day on which the principal Trading Market is open for trading and “</w:t>
      </w:r>
      <w:r>
        <w:rPr>
          <w:rFonts w:ascii="Arial" w:cs="Arial" w:eastAsia="Arial" w:hAnsi="Arial"/>
          <w:sz w:val="17"/>
          <w:szCs w:val="17"/>
          <w:b w:val="1"/>
          <w:bCs w:val="1"/>
          <w:color w:val="auto"/>
        </w:rPr>
        <w:t>Trading Market</w:t>
      </w:r>
      <w:r>
        <w:rPr>
          <w:rFonts w:ascii="Arial" w:cs="Arial" w:eastAsia="Arial" w:hAnsi="Arial"/>
          <w:sz w:val="17"/>
          <w:szCs w:val="17"/>
          <w:color w:val="auto"/>
        </w:rPr>
        <w:t>” means any of the following markets or exchanges on which the Common Stock is listed or quoted for trading on the date in question: the NYSE MKT, the NASDAQ Stock Market, the New York Stock Exchange, OTCQB or OTCQX (or any successors to any of the foregoing). It is hereby agreed between the parties that the restrictions contained in this Section 9 shall be terminated if the NASDAQ Stock Market LLC does not approve the Company’s application for initial listing of its Common Stock on the NASDAQ Capital Market by October 30, 2016.</w:t>
      </w:r>
    </w:p>
    <w:p>
      <w:pPr>
        <w:spacing w:after="0" w:line="85" w:lineRule="exact"/>
        <w:rPr>
          <w:sz w:val="20"/>
          <w:szCs w:val="20"/>
          <w:color w:val="auto"/>
        </w:rPr>
      </w:pPr>
    </w:p>
    <w:p>
      <w:pPr>
        <w:ind w:left="452" w:hanging="452"/>
        <w:spacing w:after="0"/>
        <w:tabs>
          <w:tab w:leader="none" w:pos="452"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480" w:hanging="446"/>
        <w:spacing w:after="0" w:line="277" w:lineRule="auto"/>
        <w:tabs>
          <w:tab w:leader="none" w:pos="892"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Holder’s Closing Conditions</w:t>
      </w:r>
      <w:r>
        <w:rPr>
          <w:rFonts w:ascii="Arial" w:cs="Arial" w:eastAsia="Arial" w:hAnsi="Arial"/>
          <w:sz w:val="18"/>
          <w:szCs w:val="18"/>
          <w:color w:val="auto"/>
        </w:rPr>
        <w:t>. Each Holder’s obligations to consummate the transactions contemplated hereby are subject to satisfaction or waiver, in the discretion of the Holder, of the following conditions:</w:t>
      </w:r>
    </w:p>
    <w:p>
      <w:pPr>
        <w:spacing w:after="0" w:line="75" w:lineRule="exact"/>
        <w:rPr>
          <w:rFonts w:ascii="Arial" w:cs="Arial" w:eastAsia="Arial" w:hAnsi="Arial"/>
          <w:sz w:val="18"/>
          <w:szCs w:val="18"/>
          <w:color w:val="auto"/>
        </w:rPr>
      </w:pPr>
    </w:p>
    <w:p>
      <w:pPr>
        <w:ind w:left="1912" w:hanging="440"/>
        <w:spacing w:after="0"/>
        <w:tabs>
          <w:tab w:leader="none" w:pos="191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the Company shall have executed and delivered to each of the Holders this Agreement;</w:t>
      </w:r>
    </w:p>
    <w:p>
      <w:pPr>
        <w:spacing w:after="0" w:line="130" w:lineRule="exact"/>
        <w:rPr>
          <w:rFonts w:ascii="Arial" w:cs="Arial" w:eastAsia="Arial" w:hAnsi="Arial"/>
          <w:sz w:val="18"/>
          <w:szCs w:val="18"/>
          <w:color w:val="auto"/>
        </w:rPr>
      </w:pPr>
    </w:p>
    <w:p>
      <w:pPr>
        <w:ind w:left="1912" w:right="80" w:hanging="440"/>
        <w:spacing w:after="0" w:line="277" w:lineRule="auto"/>
        <w:tabs>
          <w:tab w:leader="none" w:pos="191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a legal opinion of the Company’s counsel, in form and substance reasonably satisfactory to the Holders, shall have been delivered to each of the Holders;</w:t>
      </w:r>
    </w:p>
    <w:p>
      <w:pPr>
        <w:spacing w:after="0" w:line="75" w:lineRule="exact"/>
        <w:rPr>
          <w:rFonts w:ascii="Arial" w:cs="Arial" w:eastAsia="Arial" w:hAnsi="Arial"/>
          <w:sz w:val="18"/>
          <w:szCs w:val="18"/>
          <w:color w:val="auto"/>
        </w:rPr>
      </w:pPr>
    </w:p>
    <w:p>
      <w:pPr>
        <w:jc w:val="both"/>
        <w:ind w:left="1912" w:right="360" w:hanging="440"/>
        <w:spacing w:after="0" w:line="264" w:lineRule="auto"/>
        <w:tabs>
          <w:tab w:leader="none" w:pos="191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 xml:space="preserve">a copy of the irrevocable instructions to the Transfer Agent instructing the Transfer Agent to deliver, on an expedited basis, a certificate evidencing a number of the Additional Shares, registered in the name of the Holders in accordance with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shall have been delivered to the Holders;</w:t>
      </w:r>
    </w:p>
    <w:p>
      <w:pPr>
        <w:spacing w:after="0" w:line="86" w:lineRule="exact"/>
        <w:rPr>
          <w:rFonts w:ascii="Arial" w:cs="Arial" w:eastAsia="Arial" w:hAnsi="Arial"/>
          <w:sz w:val="18"/>
          <w:szCs w:val="18"/>
          <w:color w:val="auto"/>
        </w:rPr>
      </w:pPr>
    </w:p>
    <w:p>
      <w:pPr>
        <w:ind w:left="1912" w:right="200" w:hanging="440"/>
        <w:spacing w:after="0" w:line="259" w:lineRule="auto"/>
        <w:tabs>
          <w:tab w:leader="none" w:pos="191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 xml:space="preserve">Series F Warrants,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registered in the name of each of the Holders in accordance with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executed by the Company, with an exercise price equal to $0.60, subject to adjustment therein shall have been electronically delivered to the Holders (such Warrant certificate shall be delivered physically to the Holder within three (3) Trading Days of the Closing Date);</w:t>
      </w:r>
    </w:p>
    <w:p>
      <w:pPr>
        <w:spacing w:after="0" w:line="92" w:lineRule="exact"/>
        <w:rPr>
          <w:rFonts w:ascii="Arial" w:cs="Arial" w:eastAsia="Arial" w:hAnsi="Arial"/>
          <w:sz w:val="18"/>
          <w:szCs w:val="18"/>
          <w:color w:val="auto"/>
        </w:rPr>
      </w:pPr>
    </w:p>
    <w:p>
      <w:pPr>
        <w:ind w:left="1912" w:right="220" w:hanging="440"/>
        <w:spacing w:after="0" w:line="342" w:lineRule="auto"/>
        <w:tabs>
          <w:tab w:leader="none" w:pos="1912" w:val="left"/>
        </w:tabs>
        <w:numPr>
          <w:ilvl w:val="2"/>
          <w:numId w:val="252"/>
        </w:numPr>
        <w:rPr>
          <w:rFonts w:ascii="Arial" w:cs="Arial" w:eastAsia="Arial" w:hAnsi="Arial"/>
          <w:sz w:val="16"/>
          <w:szCs w:val="16"/>
          <w:color w:val="auto"/>
        </w:rPr>
      </w:pPr>
      <w:r>
        <w:rPr>
          <w:rFonts w:ascii="Arial" w:cs="Arial" w:eastAsia="Arial" w:hAnsi="Arial"/>
          <w:sz w:val="16"/>
          <w:szCs w:val="16"/>
          <w:color w:val="auto"/>
        </w:rPr>
        <w:t xml:space="preserve">Amended Series A Warrants, Amended Series C Warrants, Amended Series D Warrants and Amended Series E Warrants, in the forms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A-4</w:t>
      </w:r>
      <w:r>
        <w:rPr>
          <w:rFonts w:ascii="Arial" w:cs="Arial" w:eastAsia="Arial" w:hAnsi="Arial"/>
          <w:sz w:val="16"/>
          <w:szCs w:val="16"/>
          <w:color w:val="auto"/>
        </w:rPr>
        <w:t>, respectively, registered in the</w:t>
      </w: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32"/>
          </w:cols>
          <w:pgMar w:left="248" w:top="274" w:right="319" w:bottom="1440" w:gutter="0" w:footer="0" w:header="0"/>
        </w:sectPr>
      </w:pPr>
    </w:p>
    <w:bookmarkStart w:id="222" w:name="page223"/>
    <w:bookmarkEnd w:id="222"/>
    <w:p>
      <w:pPr>
        <w:ind w:left="1486"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name of each of the Holders in accordance with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executed by the Company , shall have been electronically delivered to the Holders (such warrant certificates shall be delivered physically to the Holder within three (3) Trading Days of the Closing Date);</w:t>
      </w:r>
    </w:p>
    <w:p>
      <w:pPr>
        <w:spacing w:after="0" w:line="87" w:lineRule="exact"/>
        <w:rPr>
          <w:sz w:val="20"/>
          <w:szCs w:val="20"/>
          <w:color w:val="auto"/>
        </w:rPr>
      </w:pPr>
    </w:p>
    <w:p>
      <w:pPr>
        <w:ind w:left="1466" w:right="100" w:hanging="440"/>
        <w:spacing w:after="0" w:line="259" w:lineRule="auto"/>
        <w:tabs>
          <w:tab w:leader="none" w:pos="146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registration statements on Form S-1, Commission File Nos. 333-205757 and 333-196115 (as amended or supplemented by any prospectus supplement, including post effective amendments) shall remain effective and available for the resale of the shares underlying the Amended Series A Warrants, Amended Series C Warrants and Amended Series D Warrants and Amended Series E Warrants immediately following the Closing Date;</w:t>
      </w:r>
    </w:p>
    <w:p>
      <w:pPr>
        <w:spacing w:after="0" w:line="92" w:lineRule="exact"/>
        <w:rPr>
          <w:rFonts w:ascii="Arial" w:cs="Arial" w:eastAsia="Arial" w:hAnsi="Arial"/>
          <w:sz w:val="18"/>
          <w:szCs w:val="18"/>
          <w:color w:val="auto"/>
        </w:rPr>
      </w:pPr>
    </w:p>
    <w:p>
      <w:pPr>
        <w:jc w:val="both"/>
        <w:ind w:left="1466" w:right="160" w:hanging="440"/>
        <w:spacing w:after="0" w:line="286" w:lineRule="auto"/>
        <w:tabs>
          <w:tab w:leader="none" w:pos="1466"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true and correct as of such date);</w:t>
      </w:r>
    </w:p>
    <w:p>
      <w:pPr>
        <w:spacing w:after="0" w:line="70" w:lineRule="exact"/>
        <w:rPr>
          <w:rFonts w:ascii="Arial" w:cs="Arial" w:eastAsia="Arial" w:hAnsi="Arial"/>
          <w:sz w:val="17"/>
          <w:szCs w:val="17"/>
          <w:color w:val="auto"/>
        </w:rPr>
      </w:pPr>
    </w:p>
    <w:p>
      <w:pPr>
        <w:ind w:left="1466" w:right="260" w:hanging="440"/>
        <w:spacing w:after="0" w:line="277" w:lineRule="auto"/>
        <w:tabs>
          <w:tab w:leader="none" w:pos="146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each of the Other Holders shall have executed and delivered to the Company an agreement, in the form substantially identical to this Agreement;</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Company shall have raised at least $2.0 million in gross proceeds in the PIPE; and</w:t>
      </w:r>
    </w:p>
    <w:p>
      <w:pPr>
        <w:spacing w:after="0" w:line="130" w:lineRule="exact"/>
        <w:rPr>
          <w:rFonts w:ascii="Arial" w:cs="Arial" w:eastAsia="Arial" w:hAnsi="Arial"/>
          <w:sz w:val="18"/>
          <w:szCs w:val="18"/>
          <w:color w:val="auto"/>
        </w:rPr>
      </w:pPr>
    </w:p>
    <w:p>
      <w:pPr>
        <w:ind w:left="1466" w:right="260" w:hanging="440"/>
        <w:spacing w:after="0" w:line="277" w:lineRule="auto"/>
        <w:tabs>
          <w:tab w:leader="none" w:pos="146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Holders and the Other Holders shall have exercised an aggregate of 12 million series C Warrants and Series C-1 Warrants, at the exercise price of $0.50 per share.</w:t>
      </w:r>
    </w:p>
    <w:p>
      <w:pPr>
        <w:spacing w:after="0" w:line="75" w:lineRule="exact"/>
        <w:rPr>
          <w:rFonts w:ascii="Arial" w:cs="Arial" w:eastAsia="Arial" w:hAnsi="Arial"/>
          <w:sz w:val="18"/>
          <w:szCs w:val="18"/>
          <w:color w:val="auto"/>
        </w:rPr>
      </w:pPr>
    </w:p>
    <w:p>
      <w:pPr>
        <w:ind w:left="446" w:right="460" w:hanging="446"/>
        <w:spacing w:after="0" w:line="277" w:lineRule="auto"/>
        <w:tabs>
          <w:tab w:leader="none" w:pos="44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Company Closing Conditions</w:t>
      </w:r>
      <w:r>
        <w:rPr>
          <w:rFonts w:ascii="Arial" w:cs="Arial" w:eastAsia="Arial" w:hAnsi="Arial"/>
          <w:sz w:val="18"/>
          <w:szCs w:val="18"/>
          <w:color w:val="auto"/>
        </w:rPr>
        <w:t>. The Company’s obligation to consummate the transactions contemplated hereby are subject to satisfaction or waiver, in the discretion of the Company, of the following conditions:</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each Holder shall have executed and delivered to the Company this Agreement;</w:t>
      </w:r>
    </w:p>
    <w:p>
      <w:pPr>
        <w:spacing w:after="0" w:line="130" w:lineRule="exact"/>
        <w:rPr>
          <w:rFonts w:ascii="Arial" w:cs="Arial" w:eastAsia="Arial" w:hAnsi="Arial"/>
          <w:sz w:val="18"/>
          <w:szCs w:val="18"/>
          <w:color w:val="auto"/>
        </w:rPr>
      </w:pPr>
    </w:p>
    <w:p>
      <w:pPr>
        <w:ind w:left="1466" w:right="80" w:hanging="440"/>
        <w:spacing w:after="0" w:line="277" w:lineRule="auto"/>
        <w:tabs>
          <w:tab w:leader="none" w:pos="1466"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each of the Other Holders (other than Eastern Capital Limited) shall have executed and delivered to the Company an agreement, in the form substantially identical to this Agreement;</w:t>
      </w:r>
    </w:p>
    <w:p>
      <w:pPr>
        <w:spacing w:after="0" w:line="75" w:lineRule="exact"/>
        <w:rPr>
          <w:rFonts w:ascii="Arial" w:cs="Arial" w:eastAsia="Arial" w:hAnsi="Arial"/>
          <w:sz w:val="18"/>
          <w:szCs w:val="18"/>
          <w:color w:val="auto"/>
        </w:rPr>
      </w:pPr>
    </w:p>
    <w:p>
      <w:pPr>
        <w:ind w:left="1466" w:right="40" w:hanging="440"/>
        <w:spacing w:after="0" w:line="342" w:lineRule="auto"/>
        <w:tabs>
          <w:tab w:leader="none" w:pos="1466"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Eastern Capital Limited shall have entered into an agreement in the form substantially identical to this Agreement providing for the same modifications to the Series A-1 Warrants, Series C-1 Warrants, Series D-1 Warrants and Series E-1 Warrants held by it; and</w:t>
      </w:r>
    </w:p>
    <w:p>
      <w:pPr>
        <w:spacing w:after="0" w:line="29" w:lineRule="exact"/>
        <w:rPr>
          <w:rFonts w:ascii="Arial" w:cs="Arial" w:eastAsia="Arial" w:hAnsi="Arial"/>
          <w:sz w:val="16"/>
          <w:szCs w:val="16"/>
          <w:color w:val="auto"/>
        </w:rPr>
      </w:pPr>
    </w:p>
    <w:p>
      <w:pPr>
        <w:jc w:val="both"/>
        <w:ind w:left="1466" w:hanging="440"/>
        <w:spacing w:after="0" w:line="259" w:lineRule="auto"/>
        <w:tabs>
          <w:tab w:leader="none" w:pos="1466"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Holders and the Other Holders shall have exercised an aggregate of 12.0 million Series C Warrants and Series C-1 Warrants, as applicable, at the exercise price of $0.50 per share, and the exercise price shall be delivered in accordance with the exercise notices to (i) the Company or (ii) Delaware Trust Company, to be held pursuant to the Escrow Agreement, dated July 19, 2016, as amended by</w:t>
      </w:r>
    </w:p>
    <w:p>
      <w:pPr>
        <w:spacing w:after="0" w:line="11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6"/>
          </w:cols>
          <w:pgMar w:left="694" w:top="274" w:right="239" w:bottom="1440" w:gutter="0" w:footer="0" w:header="0"/>
        </w:sectPr>
      </w:pPr>
    </w:p>
    <w:bookmarkStart w:id="223" w:name="page224"/>
    <w:bookmarkEnd w:id="223"/>
    <w:p>
      <w:pPr>
        <w:ind w:left="19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First Amendment dated July 29, 2016, by and among the Company, Delaware Trust Company, Katalyst Securities, LLC and GP Nurmenkari Inc., on or prior to the business day following the date of exercise.</w:t>
      </w:r>
    </w:p>
    <w:p>
      <w:pPr>
        <w:spacing w:after="0" w:line="76" w:lineRule="exact"/>
        <w:rPr>
          <w:sz w:val="20"/>
          <w:szCs w:val="20"/>
          <w:color w:val="auto"/>
        </w:rPr>
      </w:pPr>
    </w:p>
    <w:p>
      <w:pPr>
        <w:ind w:left="452" w:right="120" w:hanging="452"/>
        <w:spacing w:after="0" w:line="255" w:lineRule="auto"/>
        <w:tabs>
          <w:tab w:leader="none" w:pos="452"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Each Holder has reviewed with its own tax advisors the federal, state, local and foreign tax consequences of the transactions contemplated by this Agreement. Each Holder is relying solely on such advisors and not on any statements or representations of the Company or any of its agents. Each Holder understands that it (and not the Company) shall be responsible for the Holder’s own tax liability that may arise as a result of the transactions contemplated by this Agreement, but the Company shall be responsible for any transfer taxes in connection with the amendment of the Amended Warrants (and the issuance of any shares issuable thereunder) and the issuance of the Additional Shares and the Additional Warrants (and any shares issuable thereunder).</w:t>
      </w:r>
    </w:p>
    <w:p>
      <w:pPr>
        <w:spacing w:after="0" w:line="98" w:lineRule="exact"/>
        <w:rPr>
          <w:rFonts w:ascii="Arial" w:cs="Arial" w:eastAsia="Arial" w:hAnsi="Arial"/>
          <w:sz w:val="18"/>
          <w:szCs w:val="18"/>
          <w:color w:val="auto"/>
        </w:rPr>
      </w:pPr>
    </w:p>
    <w:p>
      <w:pPr>
        <w:ind w:left="452" w:hanging="452"/>
        <w:spacing w:after="0"/>
        <w:tabs>
          <w:tab w:leader="none" w:pos="452"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52" w:right="40" w:firstLine="443"/>
        <w:spacing w:after="0" w:line="288" w:lineRule="auto"/>
        <w:tabs>
          <w:tab w:leader="none" w:pos="1135"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w:t>
      </w:r>
    </w:p>
    <w:p>
      <w:pPr>
        <w:ind w:left="452" w:right="60"/>
        <w:spacing w:after="0" w:line="268" w:lineRule="auto"/>
        <w:rPr>
          <w:rFonts w:ascii="Arial" w:cs="Arial" w:eastAsia="Arial" w:hAnsi="Arial"/>
          <w:sz w:val="16"/>
          <w:szCs w:val="16"/>
          <w:color w:val="auto"/>
        </w:rPr>
      </w:pPr>
      <w:r>
        <w:rPr>
          <w:rFonts w:ascii="Arial" w:cs="Arial" w:eastAsia="Arial" w:hAnsi="Arial"/>
          <w:sz w:val="17"/>
          <w:szCs w:val="17"/>
          <w:color w:val="auto"/>
        </w:rPr>
        <w:t>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WITH OR ARISING OUT OF THIS AGREEMENT OR ANY TRANSACTION CONTEMPLATED HEREBY.</w:t>
      </w:r>
    </w:p>
    <w:p>
      <w:pPr>
        <w:spacing w:after="0" w:line="71" w:lineRule="exact"/>
        <w:rPr>
          <w:rFonts w:ascii="Arial" w:cs="Arial" w:eastAsia="Arial" w:hAnsi="Arial"/>
          <w:sz w:val="16"/>
          <w:szCs w:val="16"/>
          <w:color w:val="auto"/>
        </w:rPr>
      </w:pPr>
    </w:p>
    <w:p>
      <w:pPr>
        <w:ind w:left="452" w:right="20" w:firstLine="443"/>
        <w:spacing w:after="0" w:line="257" w:lineRule="auto"/>
        <w:tabs>
          <w:tab w:leader="none" w:pos="1145"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4" w:right="239" w:bottom="1440" w:gutter="0" w:footer="0" w:header="0"/>
        </w:sectPr>
      </w:pPr>
    </w:p>
    <w:bookmarkStart w:id="224" w:name="page225"/>
    <w:bookmarkEnd w:id="224"/>
    <w:p>
      <w:pPr>
        <w:ind w:right="100" w:firstLine="443"/>
        <w:spacing w:after="0" w:line="257" w:lineRule="auto"/>
        <w:tabs>
          <w:tab w:leader="none" w:pos="683"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 Gender</w:t>
      </w:r>
      <w:r>
        <w:rPr>
          <w:rFonts w:ascii="Arial" w:cs="Arial" w:eastAsia="Arial" w:hAnsi="Arial"/>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80" w:lineRule="exact"/>
        <w:rPr>
          <w:rFonts w:ascii="Arial" w:cs="Arial" w:eastAsia="Arial" w:hAnsi="Arial"/>
          <w:sz w:val="18"/>
          <w:szCs w:val="18"/>
          <w:color w:val="auto"/>
        </w:rPr>
      </w:pPr>
    </w:p>
    <w:p>
      <w:pPr>
        <w:ind w:right="200" w:firstLine="443"/>
        <w:spacing w:after="0" w:line="290" w:lineRule="auto"/>
        <w:tabs>
          <w:tab w:leader="none" w:pos="693"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58" w:lineRule="exact"/>
        <w:rPr>
          <w:rFonts w:ascii="Arial" w:cs="Arial" w:eastAsia="Arial" w:hAnsi="Arial"/>
          <w:sz w:val="16"/>
          <w:szCs w:val="16"/>
          <w:color w:val="auto"/>
        </w:rPr>
      </w:pPr>
    </w:p>
    <w:p>
      <w:pPr>
        <w:ind w:firstLine="443"/>
        <w:spacing w:after="0" w:line="268" w:lineRule="auto"/>
        <w:tabs>
          <w:tab w:leader="none" w:pos="683"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Amendments</w:t>
      </w:r>
      <w:r>
        <w:rPr>
          <w:rFonts w:ascii="Arial" w:cs="Arial" w:eastAsia="Arial" w:hAnsi="Arial"/>
          <w:sz w:val="17"/>
          <w:szCs w:val="17"/>
          <w:color w:val="auto"/>
        </w:rPr>
        <w:t>. This Agreement, the other transaction documents and the schedules and exhibits attached hereto and the instruments referenced herein and therein supersede all other prior oral or written agreements between the Holders, the Company, its Subsidiaries, their affiliates and Persons acting on their behalf solely with respect to the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except as specifically set forth herein, nothing contained in this Agreement or any other transaction document shall (or shall be deemed to) (i) have any effect on any agreements a Holder has entered into with, or any instruments a Holder has received from, the Company or any of its Subsidiaries prior to the date hereof with respect to any prior investment made by such Holder in the Company or (ii) waive, alter, modify or amend in any respect any obligations of the Company or any of its Subsidiaries, or any rights of or benefits to a Holder or any other Person, in any agreement entered into prior to the date hereof between or among the Company and/or any of its Subsidiaries and a Holder, or any instruments such Holder received from the Company and/or any of its Subsidiaries prior to the date hereof, and all such agreements and instruments shall continue in full force and effect. Except as specifically set forth herein or therein, neither the Company nor a Holder makes any representation, warranty, covenant or undertaking with respect to such matters. For clarification purposes, the Recitals are part of this Agreement. No provision of this Agreement may be amended other than by an instrument in writing signed by the Company and each Holder. No waiver shall be effective unless it is in writing and signed by an authorized representative of the waiving party. As a material inducement for each Holder to enter into this Agreement, the Company expressly acknowledges and agrees that (i) no due diligence or other investigation or inquiry conducted</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25" w:name="page226"/>
    <w:bookmarkEnd w:id="225"/>
    <w:p>
      <w:pPr>
        <w:ind w:left="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Holder, any of its advisors or any of its representatives shall affect the Holder’s right to rely on, or shall modify or qualify in any manner or be an exception to any of, the Company’s representations and warranties contained in this Agreement and (ii) unless a provision of this Agreement is expressly preceded by the phrase “except as disclosed in the SEC Documents,” nothing contained in any of the SEC Documents shall affect a Holder’s right to rely on, or shall modify or qualify in any manner or be an exception to any of, the Company’s representations and warranties contained in this Agreement.</w:t>
      </w:r>
    </w:p>
    <w:p>
      <w:pPr>
        <w:spacing w:after="0" w:line="80" w:lineRule="exact"/>
        <w:rPr>
          <w:sz w:val="20"/>
          <w:szCs w:val="20"/>
          <w:color w:val="auto"/>
        </w:rPr>
      </w:pPr>
    </w:p>
    <w:p>
      <w:pPr>
        <w:ind w:left="460" w:right="20" w:firstLine="443"/>
        <w:spacing w:after="0" w:line="276" w:lineRule="auto"/>
        <w:tabs>
          <w:tab w:leader="none" w:pos="1123"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by electronic mail; or (iii) one (1) business day after deposit with an overnight courier service with next day delivery specified, in each case, properly addressed to the party to receive the same. The addresses and facsimile numbers for such communications shall be as follows.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Holders at the last address on record with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Company at: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 N. Laura Street, Suite 2500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904-516-5436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gwilson@tapimmune.com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Shumaker, Loop &amp; Kendrick,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E. Kennedy Blvd., Suite 2800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Tampa, Florida 33602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Mark A. Catchur,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813-229-7600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813-229-1660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mcatchur@slk-law.com</w:t>
      </w:r>
    </w:p>
    <w:p>
      <w:pPr>
        <w:spacing w:after="0" w:line="21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26" w:name="page227"/>
    <w:bookmarkEnd w:id="226"/>
    <w:p>
      <w:pPr>
        <w:ind w:right="120" w:firstLine="443"/>
        <w:spacing w:after="0" w:line="255" w:lineRule="auto"/>
        <w:tabs>
          <w:tab w:leader="none" w:pos="693"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 This Agreement shall be binding upon and inure to the benefit of the parties and their respective successors and permitted assigns, including any assignee of any of the securities issuable hereunder. The Company shall not assign this Agreement or any rights or obligations hereunder without the prior written consent of each Holder. Provided a Holder provides the Company with written notice thereof, a Holder may assign some or all of its rights hereunder in connection with any transfer of any of the securities issuable hereunder without the consent of the Company, in which event such assignee shall be deemed to be a holder hereunder with respect to such assigned rights, provided such assignment is in compliance with applicable securities laws.</w:t>
      </w:r>
    </w:p>
    <w:p>
      <w:pPr>
        <w:spacing w:after="0" w:line="85" w:lineRule="exact"/>
        <w:rPr>
          <w:rFonts w:ascii="Arial" w:cs="Arial" w:eastAsia="Arial" w:hAnsi="Arial"/>
          <w:sz w:val="18"/>
          <w:szCs w:val="18"/>
          <w:color w:val="auto"/>
        </w:rPr>
      </w:pPr>
    </w:p>
    <w:p>
      <w:pPr>
        <w:ind w:left="700" w:hanging="257"/>
        <w:spacing w:after="0"/>
        <w:tabs>
          <w:tab w:leader="none" w:pos="700"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Company shall pay the legal fees in connection with the transactions contemplated hereby as set forth in Schedule 12(h)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hereto.</w:t>
      </w:r>
    </w:p>
    <w:p>
      <w:pPr>
        <w:spacing w:after="0" w:line="102" w:lineRule="exact"/>
        <w:rPr>
          <w:rFonts w:ascii="Arial" w:cs="Arial" w:eastAsia="Arial" w:hAnsi="Arial"/>
          <w:sz w:val="17"/>
          <w:szCs w:val="17"/>
          <w:color w:val="auto"/>
        </w:rPr>
      </w:pPr>
    </w:p>
    <w:p>
      <w:pPr>
        <w:ind w:right="300" w:firstLine="443"/>
        <w:spacing w:after="0" w:line="277" w:lineRule="auto"/>
        <w:tabs>
          <w:tab w:leader="none" w:pos="653"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their respective permitted successors and permitted assigns, and is not for the benefit of, nor may any provision hereof be enforced by, any other Person.</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agreements and covenants shall survive the Effective Date.</w:t>
      </w:r>
    </w:p>
    <w:p>
      <w:pPr>
        <w:spacing w:after="0" w:line="117" w:lineRule="exact"/>
        <w:rPr>
          <w:rFonts w:ascii="Arial" w:cs="Arial" w:eastAsia="Arial" w:hAnsi="Arial"/>
          <w:sz w:val="18"/>
          <w:szCs w:val="18"/>
          <w:color w:val="auto"/>
        </w:rPr>
      </w:pPr>
    </w:p>
    <w:p>
      <w:pPr>
        <w:ind w:firstLine="443"/>
        <w:spacing w:after="0" w:line="286" w:lineRule="auto"/>
        <w:tabs>
          <w:tab w:leader="none" w:pos="693"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57" w:lineRule="exact"/>
        <w:rPr>
          <w:rFonts w:ascii="Arial" w:cs="Arial" w:eastAsia="Arial" w:hAnsi="Arial"/>
          <w:sz w:val="17"/>
          <w:szCs w:val="17"/>
          <w:color w:val="auto"/>
        </w:rPr>
      </w:pPr>
    </w:p>
    <w:p>
      <w:pPr>
        <w:ind w:right="40" w:firstLine="443"/>
        <w:spacing w:after="0" w:line="264" w:lineRule="auto"/>
        <w:tabs>
          <w:tab w:leader="none" w:pos="653"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w:t>
      </w:r>
    </w:p>
    <w:p>
      <w:pPr>
        <w:spacing w:after="0" w:line="73" w:lineRule="exact"/>
        <w:rPr>
          <w:rFonts w:ascii="Arial" w:cs="Arial" w:eastAsia="Arial" w:hAnsi="Arial"/>
          <w:sz w:val="18"/>
          <w:szCs w:val="18"/>
          <w:color w:val="auto"/>
        </w:rPr>
      </w:pPr>
    </w:p>
    <w:p>
      <w:pPr>
        <w:ind w:right="80" w:firstLine="443"/>
        <w:spacing w:after="0" w:line="288" w:lineRule="auto"/>
        <w:tabs>
          <w:tab w:leader="none" w:pos="743"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Independent Nature of Holder’s Obligations and Rights</w:t>
      </w:r>
      <w:r>
        <w:rPr>
          <w:rFonts w:ascii="Arial" w:cs="Arial" w:eastAsia="Arial" w:hAnsi="Arial"/>
          <w:sz w:val="16"/>
          <w:szCs w:val="16"/>
          <w:color w:val="auto"/>
        </w:rPr>
        <w:t>. The obligations of each Holder under this Agreement are several and not joint with the obligations of any Other Holder, and no Holder shall be responsible in any way for the performance of the obligations of any Other Holder under this Agreement. Nothing contained herein or in the Securities Purchase Agreement or in any other transaction documents relating hereto and thereto, and no action taken by any Holder pursuant hereto or thereto, shall be deemed to constitute the Holders as, and the Company acknowledges that the Holders do not so constitute, a partnership, an association, a joint venture or any other kind of group or entity, or create a presumption that the Holders are in any way acting in concert or as a group or entity with respect to such obligations or the transactions contemplated by the Securities Purchase Agreement or the transaction documents relating thereto, and the Company acknowledges that the Holders are not acting in concert or as a group, and the Company shall not assert any such claim, with respect to such obligations or the transactions contemplated by this Agreement, the Securities Purchase Agreement or the transaction documents relating hereto or thereto. The decision of each Holder to enter into this Agreement and to effectuate the transactions contemplated by this Agreement has been made by such Holder independently</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227" w:name="page228"/>
    <w:bookmarkEnd w:id="22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Other Holder. Each Holder acknowledges that no Other Holder has acted as agent for such Holder in connection with such Holder making its decision to enter into this Agreement or effectuating the transactions contemplated hereby and hereunder and that no Other Holder will be acting as agent of such Holder in connection with monitoring such Holder’s investment in the Securities or enforcing its rights under this Agreement, the Securities Purchase Agreement or the transaction documents relating thereto. The Company and each Holder confirms that each Holder has independently participated with the Company in the negotiation of the transactions contemplated hereby with the advice of its own counsel and advisors. Each Holder shall be entitled to independently protect and enforce its rights, including, without limitation, the rights arising out of this Agreement or out of any other transaction document, and it shall not be necessary for any Other Holder to be joined as an additional party in any proceeding for such purpose. The use of a single agreement to effectuate the transactions contemplated herein and hereby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and the transaction documents relating thereto is between the Company and a Holder, solely, and not between the Company and the Holders collectively and not between and among the Holders.</w:t>
      </w:r>
    </w:p>
    <w:p>
      <w:pPr>
        <w:spacing w:after="0" w:line="176"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[The next pages are the signature pages]</w:t>
      </w:r>
    </w:p>
    <w:p>
      <w:pPr>
        <w:spacing w:after="0" w:line="16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0"/>
          </w:cols>
          <w:pgMar w:left="700" w:top="274" w:right="339" w:bottom="1440" w:gutter="0" w:footer="0" w:header="0"/>
        </w:sectPr>
      </w:pPr>
    </w:p>
    <w:bookmarkStart w:id="228" w:name="page229"/>
    <w:bookmarkEnd w:id="228"/>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undersigned have executed this Warrant Amendment Agreement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Warrant Amendment Agreement</w:t>
      </w:r>
      <w:r>
        <w:rPr>
          <w:rFonts w:ascii="Arial" w:cs="Arial" w:eastAsia="Arial" w:hAnsi="Arial"/>
          <w:sz w:val="18"/>
          <w:szCs w:val="18"/>
          <w:color w:val="auto"/>
        </w:rPr>
        <w:t>]</w:t>
      </w:r>
    </w:p>
    <w:p>
      <w:pPr>
        <w:spacing w:after="0" w:line="158"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380"/>
          </w:cols>
          <w:pgMar w:left="240" w:top="270" w:right="1279" w:bottom="1440" w:gutter="0" w:footer="0" w:header="0"/>
        </w:sectPr>
      </w:pPr>
    </w:p>
    <w:bookmarkStart w:id="229" w:name="page230"/>
    <w:bookmarkEnd w:id="2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Series A Warrants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019"/>
          </w:cols>
          <w:pgMar w:left="1440" w:top="270" w:right="1440" w:bottom="1440" w:gutter="0" w:footer="0" w:header="0"/>
        </w:sectPr>
      </w:pPr>
    </w:p>
    <w:bookmarkStart w:id="230" w:name="page231"/>
    <w:bookmarkEnd w:id="2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Series C Warrants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019"/>
          </w:cols>
          <w:pgMar w:left="1440" w:top="270" w:right="1440" w:bottom="1440" w:gutter="0" w:footer="0" w:header="0"/>
        </w:sectPr>
      </w:pPr>
    </w:p>
    <w:bookmarkStart w:id="231" w:name="page232"/>
    <w:bookmarkEnd w:id="2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Series D Warrants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019"/>
          </w:cols>
          <w:pgMar w:left="1440" w:top="270" w:right="1440"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A-4</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Series E Warrants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019"/>
          </w:cols>
          <w:pgMar w:left="1440" w:top="270" w:right="1440"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Series F Warrants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019"/>
          </w:cols>
          <w:pgMar w:left="1440" w:top="270" w:right="1440"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r>
        <w:rPr>
          <w:rFonts w:ascii="Arial" w:cs="Arial" w:eastAsia="Arial" w:hAnsi="Arial"/>
          <w:sz w:val="15"/>
          <w:szCs w:val="15"/>
          <w:b w:val="1"/>
          <w:bCs w:val="1"/>
          <w:color w:val="auto"/>
        </w:rPr>
        <w:t>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Series C</w:t>
            </w: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vMerge w:val="continue"/>
          </w:tcPr>
          <w:p>
            <w:pPr>
              <w:spacing w:after="0"/>
              <w:rPr>
                <w:sz w:val="12"/>
                <w:szCs w:val="12"/>
                <w:color w:val="auto"/>
              </w:rPr>
            </w:pPr>
          </w:p>
        </w:tc>
        <w:tc>
          <w:tcPr>
            <w:tcW w:w="14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Warrants</w:t>
            </w:r>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Amended</w:t>
            </w:r>
          </w:p>
        </w:tc>
        <w:tc>
          <w:tcPr>
            <w:tcW w:w="14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Amended</w:t>
            </w: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4"/>
              </w:rPr>
              <w:t>Holder</w:t>
            </w:r>
          </w:p>
        </w:tc>
        <w:tc>
          <w:tcPr>
            <w:tcW w:w="7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Being</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Series F</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Series A</w:t>
            </w: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Amended Series</w:t>
            </w: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Amended Series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Series E</w:t>
            </w:r>
          </w:p>
        </w:tc>
        <w:tc>
          <w:tcPr>
            <w:tcW w:w="0" w:type="dxa"/>
            <w:vAlign w:val="bottom"/>
          </w:tcPr>
          <w:p>
            <w:pPr>
              <w:spacing w:after="0"/>
              <w:rPr>
                <w:sz w:val="1"/>
                <w:szCs w:val="1"/>
                <w:color w:val="auto"/>
              </w:rPr>
            </w:pPr>
          </w:p>
        </w:tc>
      </w:tr>
      <w:tr>
        <w:trPr>
          <w:trHeight w:val="165"/>
        </w:trPr>
        <w:tc>
          <w:tcPr>
            <w:tcW w:w="4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Exercised</w:t>
            </w:r>
          </w:p>
        </w:tc>
        <w:tc>
          <w:tcPr>
            <w:tcW w:w="11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Warrants</w:t>
            </w:r>
          </w:p>
        </w:tc>
        <w:tc>
          <w:tcPr>
            <w:tcW w:w="11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Warrants</w:t>
            </w:r>
          </w:p>
        </w:tc>
        <w:tc>
          <w:tcPr>
            <w:tcW w:w="14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9"/>
              </w:rPr>
              <w:t>C Warrants</w:t>
            </w:r>
          </w:p>
        </w:tc>
        <w:tc>
          <w:tcPr>
            <w:tcW w:w="14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6"/>
              </w:rPr>
              <w:t>D Warrants</w:t>
            </w:r>
          </w:p>
        </w:tc>
        <w:tc>
          <w:tcPr>
            <w:tcW w:w="7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8"/>
              </w:rPr>
              <w:t>Warrants</w:t>
            </w:r>
          </w:p>
        </w:tc>
        <w:tc>
          <w:tcPr>
            <w:tcW w:w="0" w:type="dxa"/>
            <w:vAlign w:val="bottom"/>
          </w:tcPr>
          <w:p>
            <w:pPr>
              <w:spacing w:after="0"/>
              <w:rPr>
                <w:sz w:val="1"/>
                <w:szCs w:val="1"/>
                <w:color w:val="auto"/>
              </w:rPr>
            </w:pPr>
          </w:p>
        </w:tc>
      </w:tr>
      <w:tr>
        <w:trPr>
          <w:trHeight w:val="203"/>
        </w:trPr>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103"/>
              <w:spacing w:after="0"/>
              <w:rPr>
                <w:sz w:val="20"/>
                <w:szCs w:val="20"/>
                <w:color w:val="auto"/>
              </w:rPr>
            </w:pPr>
            <w:r>
              <w:rPr>
                <w:rFonts w:ascii="Arial" w:cs="Arial" w:eastAsia="Arial" w:hAnsi="Arial"/>
                <w:sz w:val="15"/>
                <w:szCs w:val="15"/>
                <w:color w:val="auto"/>
                <w:w w:val="79"/>
              </w:rPr>
              <w:t>1/</w:t>
            </w:r>
          </w:p>
        </w:tc>
        <w:tc>
          <w:tcPr>
            <w:tcW w:w="10720" w:type="dxa"/>
            <w:vAlign w:val="bottom"/>
          </w:tcPr>
          <w:p>
            <w:pPr>
              <w:ind w:left="160"/>
              <w:spacing w:after="0"/>
              <w:rPr>
                <w:sz w:val="20"/>
                <w:szCs w:val="20"/>
                <w:color w:val="auto"/>
              </w:rPr>
            </w:pPr>
            <w:r>
              <w:rPr>
                <w:rFonts w:ascii="Arial" w:cs="Arial" w:eastAsia="Arial" w:hAnsi="Arial"/>
                <w:sz w:val="18"/>
                <w:szCs w:val="18"/>
                <w:color w:val="auto"/>
                <w:w w:val="91"/>
              </w:rPr>
              <w:t>NTD: each investor group will have a separate agreement with the company and therefore Schedule I will only include information regarding such</w:t>
            </w:r>
          </w:p>
        </w:tc>
      </w:tr>
      <w:tr>
        <w:trPr>
          <w:trHeight w:val="230"/>
        </w:trPr>
        <w:tc>
          <w:tcPr>
            <w:tcW w:w="300" w:type="dxa"/>
            <w:vAlign w:val="bottom"/>
          </w:tcPr>
          <w:p>
            <w:pPr>
              <w:spacing w:after="0"/>
              <w:rPr>
                <w:sz w:val="20"/>
                <w:szCs w:val="20"/>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investor group’s entities.</w:t>
            </w:r>
          </w:p>
        </w:tc>
      </w:tr>
      <w:tr>
        <w:trPr>
          <w:trHeight w:val="365"/>
        </w:trPr>
        <w:tc>
          <w:tcPr>
            <w:tcW w:w="300" w:type="dxa"/>
            <w:vAlign w:val="bottom"/>
          </w:tcPr>
          <w:p>
            <w:pPr>
              <w:spacing w:after="0"/>
              <w:rPr>
                <w:sz w:val="24"/>
                <w:szCs w:val="24"/>
                <w:color w:val="auto"/>
              </w:rPr>
            </w:pPr>
          </w:p>
        </w:tc>
        <w:tc>
          <w:tcPr>
            <w:tcW w:w="10720" w:type="dxa"/>
            <w:vAlign w:val="bottom"/>
          </w:tcPr>
          <w:p>
            <w:pPr>
              <w:jc w:val="right"/>
              <w:ind w:right="513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270" w:right="23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left="460"/>
        <w:spacing w:after="0"/>
        <w:tabs>
          <w:tab w:leader="none" w:pos="6860" w:val="left"/>
        </w:tabs>
        <w:rPr>
          <w:sz w:val="20"/>
          <w:szCs w:val="20"/>
          <w:color w:val="auto"/>
        </w:rPr>
      </w:pPr>
      <w:r>
        <w:rPr>
          <w:rFonts w:ascii="Arial" w:cs="Arial" w:eastAsia="Arial" w:hAnsi="Arial"/>
          <w:sz w:val="18"/>
          <w:szCs w:val="18"/>
          <w:color w:val="auto"/>
        </w:rPr>
        <w:t>The undersigned holder (the “</w:t>
      </w:r>
      <w:r>
        <w:rPr>
          <w:rFonts w:ascii="Arial" w:cs="Arial" w:eastAsia="Arial" w:hAnsi="Arial"/>
          <w:sz w:val="18"/>
          <w:szCs w:val="18"/>
          <w:b w:val="1"/>
          <w:bCs w:val="1"/>
          <w:color w:val="auto"/>
        </w:rPr>
        <w:t>Holder</w:t>
      </w:r>
      <w:r>
        <w:rPr>
          <w:rFonts w:ascii="Arial" w:cs="Arial" w:eastAsia="Arial" w:hAnsi="Arial"/>
          <w:sz w:val="18"/>
          <w:szCs w:val="18"/>
          <w:color w:val="auto"/>
        </w:rPr>
        <w:t>”) hereby exercises the right to purchase</w:t>
      </w:r>
      <w:r>
        <w:rPr>
          <w:sz w:val="20"/>
          <w:szCs w:val="20"/>
          <w:color w:val="auto"/>
        </w:rPr>
        <w:tab/>
      </w:r>
      <w:r>
        <w:rPr>
          <w:rFonts w:ascii="Arial" w:cs="Arial" w:eastAsia="Arial" w:hAnsi="Arial"/>
          <w:sz w:val="16"/>
          <w:szCs w:val="16"/>
          <w:color w:val="auto"/>
        </w:rPr>
        <w:t>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w:t>
      </w:r>
    </w:p>
    <w:p>
      <w:pPr>
        <w:spacing w:after="0" w:line="27" w:lineRule="exact"/>
        <w:rPr>
          <w:sz w:val="20"/>
          <w:szCs w:val="20"/>
          <w:color w:val="auto"/>
        </w:rPr>
      </w:pPr>
    </w:p>
    <w:p>
      <w:pPr>
        <w:ind w:right="1120"/>
        <w:spacing w:after="0" w:line="323" w:lineRule="auto"/>
        <w:rPr>
          <w:sz w:val="20"/>
          <w:szCs w:val="20"/>
          <w:color w:val="auto"/>
        </w:rPr>
      </w:pPr>
      <w:r>
        <w:rPr>
          <w:rFonts w:ascii="Arial" w:cs="Arial" w:eastAsia="Arial" w:hAnsi="Arial"/>
          <w:sz w:val="16"/>
          <w:szCs w:val="16"/>
          <w:color w:val="auto"/>
        </w:rPr>
        <w:t>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pursuant to that certain Series C Warrant originally issued on January 12, 2015, as amended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pacing w:after="0" w:line="135" w:lineRule="exact"/>
        <w:rPr>
          <w:sz w:val="20"/>
          <w:szCs w:val="20"/>
          <w:color w:val="auto"/>
        </w:rPr>
      </w:pPr>
    </w:p>
    <w:p>
      <w:pPr>
        <w:ind w:right="460" w:firstLine="456"/>
        <w:spacing w:after="0" w:line="293" w:lineRule="auto"/>
        <w:rPr>
          <w:sz w:val="20"/>
          <w:szCs w:val="20"/>
          <w:color w:val="auto"/>
        </w:rPr>
      </w:pPr>
      <w:r>
        <w:rPr>
          <w:rFonts w:ascii="Arial" w:cs="Arial" w:eastAsia="Arial" w:hAnsi="Arial"/>
          <w:sz w:val="16"/>
          <w:szCs w:val="16"/>
          <w:color w:val="auto"/>
        </w:rPr>
        <w:t>In consideration of the Company entering into that certain Warrant Amendment Agreement of even date herewith with the Holder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 Agreement</w:t>
      </w:r>
      <w:r>
        <w:rPr>
          <w:rFonts w:ascii="Arial" w:cs="Arial" w:eastAsia="Arial" w:hAnsi="Arial"/>
          <w:sz w:val="16"/>
          <w:szCs w:val="16"/>
          <w:color w:val="auto"/>
        </w:rPr>
        <w:t>”) and subject to the satisfaction or waiver by Holder of the conditions set forth in Section 10(a) of the Warrant Amendment</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Agreement, the Holder agrees to pay the aggregate exercise price in the sum of $ to the Company in accordance with the terms of the Warrant not later than 2 p.m. on the first business day hereafter in cash or via wire transfer of immediately available funds.</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 acknowledges that the Company will enter into other agreements with other third parties and incur substantial obligations thereunder in reliance upon the Holder’s execution of this exercise notice, and agrees that the exercise of the Warrant for the number of Warrant Shares set forth above upon the terms set forth herein shall be irrevocable.</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shall deliver to the Holder, or its designee or agent as specified below, shares of Common Stock in respect of the exercise contemplated hereby. Delivery shall be made to the undersigned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260731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26073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717550</wp:posOffset>
            </wp:positionV>
            <wp:extent cx="260731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640" w:val="left"/>
          <w:tab w:leader="none" w:pos="1380" w:val="left"/>
        </w:tabs>
        <w:rPr>
          <w:sz w:val="20"/>
          <w:szCs w:val="20"/>
          <w:color w:val="auto"/>
        </w:rPr>
      </w:pPr>
      <w:r>
        <w:rPr>
          <w:rFonts w:ascii="Arial" w:cs="Arial" w:eastAsia="Arial" w:hAnsi="Arial"/>
          <w:sz w:val="18"/>
          <w:szCs w:val="18"/>
          <w:color w:val="auto"/>
        </w:rPr>
        <w:t>Date:</w:t>
        <w:tab/>
        <w:t>August</w:t>
      </w:r>
      <w:r>
        <w:rPr>
          <w:sz w:val="20"/>
          <w:szCs w:val="20"/>
          <w:color w:val="auto"/>
        </w:rPr>
        <w:tab/>
      </w:r>
      <w:r>
        <w:rPr>
          <w:rFonts w:ascii="Arial" w:cs="Arial" w:eastAsia="Arial" w:hAnsi="Arial"/>
          <w:sz w:val="16"/>
          <w:szCs w:val="16"/>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5715</wp:posOffset>
            </wp:positionV>
            <wp:extent cx="340487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5715</wp:posOffset>
            </wp:positionV>
            <wp:extent cx="34048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0" w:right="259" w:bottom="1440" w:gutter="0" w:footer="0" w:header="0"/>
        </w:sectPr>
      </w:pPr>
    </w:p>
    <w:bookmarkStart w:id="236" w:name="page237"/>
    <w:bookmarkEnd w:id="236"/>
    <w:p>
      <w:pPr>
        <w:ind w:left="10480"/>
        <w:spacing w:after="0"/>
        <w:rPr>
          <w:sz w:val="20"/>
          <w:szCs w:val="20"/>
          <w:color w:val="auto"/>
        </w:rPr>
      </w:pPr>
      <w:r>
        <w:rPr>
          <w:rFonts w:ascii="Arial" w:cs="Arial" w:eastAsia="Arial" w:hAnsi="Arial"/>
          <w:sz w:val="16"/>
          <w:szCs w:val="16"/>
          <w:b w:val="1"/>
          <w:bCs w:val="1"/>
          <w:color w:val="auto"/>
        </w:rPr>
        <w:t>Exhibit 10.4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KATALYST SECURITIES LLC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1330 AVENUE OF THE AMERICAS, 14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212-400-6993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 FINRA &amp; SIPC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GP NUREMENKARI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EAST 41</w:t>
      </w:r>
      <w:r>
        <w:rPr>
          <w:rFonts w:ascii="Arial" w:cs="Arial" w:eastAsia="Arial" w:hAnsi="Arial"/>
          <w:sz w:val="15"/>
          <w:szCs w:val="15"/>
          <w:color w:val="auto"/>
        </w:rPr>
        <w:t>ST</w:t>
      </w:r>
      <w:r>
        <w:rPr>
          <w:rFonts w:ascii="Arial" w:cs="Arial" w:eastAsia="Arial" w:hAnsi="Arial"/>
          <w:sz w:val="18"/>
          <w:szCs w:val="18"/>
          <w:color w:val="auto"/>
        </w:rPr>
        <w:t xml:space="preserve"> STREET, SUITE 1902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212-447-5550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 FINRA &amp; SIPC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AGENCY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Glynn Wilson,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North Laura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 Private placement offering of TapImmune Inc. Units and Exercise of Series C Warrants and Series C-1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Mr. Wilson:</w:t>
      </w:r>
    </w:p>
    <w:p>
      <w:pPr>
        <w:spacing w:after="0" w:line="2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Placement Agency Agreement (“Agreement”) sets forth the terms upon which Katalyst Securities LLC (“Katalyst”) and GP Nurmenkari Inc. (“GPN”), both registered broker-dealers and members of the Financial Industry Regulatory Authority (“FINRA”) (hereinafter referred to as the “Agents”), shall be engaged by TapImmune Inc., a publicly traded Nevada corporation (hereinafter referred to as the “Company”), to act as independent Agents. Each of the Agents shall be engaged by the Company in connection with the private placement (the “Offering”) of the securities of the Company referred to below (the “Securities”), and GPN shall be engaged by the Company in connection with the exercise of up to Six Million Dollars ($6,000,000) of Series C Warrants and Series C-1 Warrants held by certain warrant holders of the Company (the “Warrant Exercise”). The initial closing of the Offering will be conditioned upon and acceptance of subscriptions for the Minimum Amount (as defined below) and the certain other conditions described herein.</w:t>
      </w:r>
    </w:p>
    <w:p>
      <w:pPr>
        <w:spacing w:after="0" w:line="163" w:lineRule="exact"/>
        <w:rPr>
          <w:sz w:val="20"/>
          <w:szCs w:val="20"/>
          <w:color w:val="auto"/>
        </w:rPr>
      </w:pPr>
    </w:p>
    <w:p>
      <w:pPr>
        <w:ind w:left="640" w:hanging="176"/>
        <w:spacing w:after="0"/>
        <w:tabs>
          <w:tab w:leader="none" w:pos="64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of Agents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80" w:firstLine="921"/>
        <w:spacing w:after="0" w:line="272" w:lineRule="auto"/>
        <w:tabs>
          <w:tab w:leader="none" w:pos="1158" w:val="left"/>
        </w:tabs>
        <w:numPr>
          <w:ilvl w:val="1"/>
          <w:numId w:val="259"/>
        </w:numPr>
        <w:rPr>
          <w:rFonts w:ascii="Arial" w:cs="Arial" w:eastAsia="Arial" w:hAnsi="Arial"/>
          <w:sz w:val="17"/>
          <w:szCs w:val="17"/>
          <w:color w:val="auto"/>
        </w:rPr>
      </w:pPr>
      <w:r>
        <w:rPr>
          <w:rFonts w:ascii="Arial" w:cs="Arial" w:eastAsia="Arial" w:hAnsi="Arial"/>
          <w:sz w:val="17"/>
          <w:szCs w:val="17"/>
          <w:color w:val="auto"/>
        </w:rPr>
        <w:t>On the basis of the written and documented representations and warranties of the Company provided herein, and subject to the terms and conditions set forth herein, the Company hereby appoints (i) each Agent as an Agent of the Company during the Offering Period (as defined in Section 1(b) below) to assist the Company in finding qualified subscribers for the Offering and (ii) GPN as an Agent of the Company during the Offering Period to assist the Company with its solicitation of certain of the warrant holders to participate in the Warrant Exercise and to modify other warrants (the “Warrant Modification”) as described in Section 4(c) of the Subscription Agreement (as defined herein). Katalyst may offer the Securities through other broker-dealers who are FINRA members (collectively, the “Sub Agents”) and may reallow all or a portion of Katalyst’s Broker Compensation (as defined in Section 3A below) it receives to such other Sub Agents or pay a finders or consultant fee as allowed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Placement Agency Agreement (PIPE)</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420"/>
          </w:cols>
          <w:pgMar w:left="240" w:top="121" w:right="239" w:bottom="1440" w:gutter="0" w:footer="0" w:header="0"/>
        </w:sectPr>
      </w:pPr>
    </w:p>
    <w:bookmarkStart w:id="237" w:name="page238"/>
    <w:bookmarkEnd w:id="237"/>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law. On the basis of such representations and warranties and subject to such terms and conditions, the Agents hereby accept such appointment and agree to perform the services hereunder diligently and in good faith and in a professional and businesslike manner and in compliance with applicable law and to use its reasonable best efforts to assist the Company in finding subscribers of the Securities who qualify as “accredited investors,” as such term is defined in Rule 501 of Regulation D. The Agents have no obligation to purchase any of the Securities or sell any Securities. Unless sooner terminated in accordance with this Agreement, the engagement of each Agent pursuant to subclause (i) above shall continue until the later of the Termination Date or the Final Closing (as defined below) and the engagement of GPN hereunder shall continue until the earlier of one-year from the date hereof or completion of the Warrant Exercise and the Warrant Modification. The Offering is currently anticipated to be the private placement of Units (“Units”), with each Unit consisting of (i) one share of the Company’s common stock (the “Common Stock”), par value $0.001 (each, a “Share”) and (ii) one warrant to purchase one share of Common Stock with an exercise price equal to 125% of the Purchase Price (defined below) (each, a “Warrant” and collectively with the Shares, the Warrant Shares (as defined herein) and the Units, the “Securities”). The Offering is for a minimum of gross proceeds of Two Million Dollars ($2,000,000) (the “Minimum Offering”) and a maximum of gross proceeds of Four Million Dollars ($4,000,000 (the “Maximum Offering”) through the sale of the Units, with an over-subscription option up to an additional One Million Dollars ($1,000,000). The offering price per Unit will be the lesser of (i) 90% of the weighted average closing prices of the Common Stock for the five (5) trading days preceding Thursday, July 28, 2016, and (ii) Fifty Cents ($0.50)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The minimum subscription is Twenty Five Thousand Dollars ($25,000),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subscriptions in lesser amounts may be accepted by the Company in its sole discretion.</w:t>
      </w:r>
    </w:p>
    <w:p>
      <w:pPr>
        <w:spacing w:after="0" w:line="183" w:lineRule="exact"/>
        <w:rPr>
          <w:sz w:val="20"/>
          <w:szCs w:val="20"/>
          <w:color w:val="auto"/>
        </w:rPr>
      </w:pPr>
    </w:p>
    <w:p>
      <w:pPr>
        <w:ind w:right="60" w:firstLine="921"/>
        <w:spacing w:after="0" w:line="255" w:lineRule="auto"/>
        <w:tabs>
          <w:tab w:leader="none" w:pos="116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Placement of the Securities by the Agents will be made on a reasonable best efforts basis. The Company agrees and acknowledges that the Agents are not acting as an underwriter with respect to the Offering or Warrant Exercise, and the Company shall determine the purchasers in the Offering in its sole discretion. The Securities will be offered by the Company to potential subscribers, which may include related parties of the Agents or the Company, commencing on August 3, 2016 (the “Initial Offering Period”), which date may be extended by the Company and the Agents for a period of up to 30 days from the date of the Initial Closing (as defined below) (this additional period and the Initial Offering Period shall be referred to as the “Offering Period”). The date on which the Offering is terminated shall be referred to as the “Termination Date”. The closing of the Offering may be held up to ten days after the Termination Date.</w:t>
      </w:r>
    </w:p>
    <w:p>
      <w:pPr>
        <w:spacing w:after="0" w:line="189" w:lineRule="exact"/>
        <w:rPr>
          <w:rFonts w:ascii="Arial" w:cs="Arial" w:eastAsia="Arial" w:hAnsi="Arial"/>
          <w:sz w:val="18"/>
          <w:szCs w:val="18"/>
          <w:color w:val="auto"/>
        </w:rPr>
      </w:pPr>
    </w:p>
    <w:p>
      <w:pPr>
        <w:ind w:right="380" w:firstLine="921"/>
        <w:spacing w:after="0" w:line="286" w:lineRule="auto"/>
        <w:tabs>
          <w:tab w:leader="none" w:pos="1158"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Company shall only offer securities to and accept subscriptions from or sell Securities to, persons or entities that qualify as (or are reasonably believed to be) “accredited investors,” as such term is defined in Rule 501(a) of Regulation D (“Regulation D”) as promulgated by the United States Securities and Exchange Commission (the “SEC”) under Section 4(a)(2) of the Securities Act of 1933, as amended (the “Act”).</w:t>
      </w:r>
    </w:p>
    <w:p>
      <w:pPr>
        <w:spacing w:after="0" w:line="165" w:lineRule="exact"/>
        <w:rPr>
          <w:rFonts w:ascii="Arial" w:cs="Arial" w:eastAsia="Arial" w:hAnsi="Arial"/>
          <w:sz w:val="17"/>
          <w:szCs w:val="17"/>
          <w:color w:val="auto"/>
        </w:rPr>
      </w:pPr>
    </w:p>
    <w:p>
      <w:pPr>
        <w:jc w:val="both"/>
        <w:ind w:right="360" w:firstLine="921"/>
        <w:spacing w:after="0" w:line="276" w:lineRule="auto"/>
        <w:tabs>
          <w:tab w:leader="none" w:pos="1168"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offering of Securities will be made by each Agent on behalf of the Company solely pursuant to the Subscription Agreement and the Exhibits to the Subscription Agreement, including, but not limited to, and to the extent applicable, a Registration Rights Agreement, the Warrant and any documents, agreements, supplements and additions thereto (collectively, the “Subscription Documents”), which at all times will be in form and substance reasonably acceptable to the Company and each Agent and their counsel and contain such legends and other information as the Company, the Agents and their counsel, may, from time to time, deem necessary and desirable to be set forth therein.</w:t>
      </w:r>
    </w:p>
    <w:p>
      <w:pPr>
        <w:spacing w:after="0" w:line="172" w:lineRule="exact"/>
        <w:rPr>
          <w:rFonts w:ascii="Arial" w:cs="Arial" w:eastAsia="Arial" w:hAnsi="Arial"/>
          <w:sz w:val="17"/>
          <w:szCs w:val="17"/>
          <w:color w:val="auto"/>
        </w:rPr>
      </w:pPr>
    </w:p>
    <w:p>
      <w:pPr>
        <w:jc w:val="both"/>
        <w:ind w:right="120" w:firstLine="921"/>
        <w:spacing w:after="0" w:line="259" w:lineRule="auto"/>
        <w:tabs>
          <w:tab w:leader="none" w:pos="115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With respect to the Offering, the Company shall provide the Agents, on terms set forth herein, the right to offer all of the available Securities being offered during the Offering Period (subject to prior offer and sale of some of the Securities). It is understood that no sale shall be regarded as effective unless and until accepted by the Company. The Company may, in its sole discretion, accept or reject, in whole or in part, any prospective investment in the Securities or allot to any prospective</w:t>
      </w:r>
    </w:p>
    <w:p>
      <w:pPr>
        <w:spacing w:after="0" w:line="119"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420"/>
          </w:cols>
          <w:pgMar w:left="240" w:top="274" w:right="239" w:bottom="1440" w:gutter="0" w:footer="0" w:header="0"/>
        </w:sectPr>
      </w:pPr>
    </w:p>
    <w:bookmarkStart w:id="238" w:name="page239"/>
    <w:bookmarkEnd w:id="238"/>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subscriber less than the number of Securities that such subscriber desires to purchase. Purchases of Securities may be made by the Agents and any selected sub-dealers and their respective officers, directors, employees and affiliates and by the officers, directors, employees and affiliates of the Company (collectively, the “Affiliates”) for the Offering and such purchases will be made by the Affiliates based solely upon the same information that is provided to the investors in the Offering.</w:t>
      </w:r>
    </w:p>
    <w:p>
      <w:pPr>
        <w:spacing w:after="0" w:line="183" w:lineRule="exact"/>
        <w:rPr>
          <w:sz w:val="20"/>
          <w:szCs w:val="20"/>
          <w:color w:val="auto"/>
        </w:rPr>
      </w:pPr>
    </w:p>
    <w:p>
      <w:pPr>
        <w:ind w:left="640" w:hanging="176"/>
        <w:spacing w:after="0"/>
        <w:tabs>
          <w:tab w:leader="none" w:pos="6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Covenants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40" w:firstLine="913"/>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A. Representations, Warranties and Covenants of the Company</w:t>
      </w:r>
      <w:r>
        <w:rPr>
          <w:rFonts w:ascii="Arial" w:cs="Arial" w:eastAsia="Arial" w:hAnsi="Arial"/>
          <w:sz w:val="18"/>
          <w:szCs w:val="18"/>
          <w:color w:val="auto"/>
        </w:rPr>
        <w:t>. The Company hereby represents and warrants to the Agents that,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set forth in the Company’s SEC Filings (as defined in Section 2(A)(b) below) immediately prior to the closing of the transactions contemplated hereby, each of the representations and warranties contained in this Section 2 is true in all respects as of the date hereof and will be true in all respects as of the Closing Date and any subsequent Closing Dates, as defined under Section 4(e). In addition to the representations and warranties set forth herein, the Agents shall be entitled to rely upon the representations and warranties made or given by the Company to any acquirer of Securities in the Offering in any agreement, certificate, legal opinion or otherwise in connection with an Offering. For purposes of this Section 2(A), the term Company includes all of the Company’s subsidiaries (if any).</w:t>
      </w:r>
    </w:p>
    <w:p>
      <w:pPr>
        <w:spacing w:after="0" w:line="193" w:lineRule="exact"/>
        <w:rPr>
          <w:rFonts w:ascii="Arial" w:cs="Arial" w:eastAsia="Arial" w:hAnsi="Arial"/>
          <w:sz w:val="18"/>
          <w:szCs w:val="18"/>
          <w:b w:val="1"/>
          <w:bCs w:val="1"/>
          <w:color w:val="auto"/>
        </w:rPr>
      </w:pPr>
    </w:p>
    <w:p>
      <w:pPr>
        <w:ind w:firstLine="1492"/>
        <w:spacing w:after="0" w:line="284" w:lineRule="auto"/>
        <w:tabs>
          <w:tab w:leader="none" w:pos="1728" w:val="left"/>
        </w:tabs>
        <w:numPr>
          <w:ilvl w:val="2"/>
          <w:numId w:val="261"/>
        </w:numPr>
        <w:rPr>
          <w:rFonts w:ascii="Arial" w:cs="Arial" w:eastAsia="Arial" w:hAnsi="Arial"/>
          <w:sz w:val="16"/>
          <w:szCs w:val="16"/>
          <w:color w:val="auto"/>
        </w:rPr>
      </w:pPr>
      <w:r>
        <w:rPr>
          <w:rFonts w:ascii="Arial" w:cs="Arial" w:eastAsia="Arial" w:hAnsi="Arial"/>
          <w:sz w:val="16"/>
          <w:szCs w:val="16"/>
          <w:color w:val="auto"/>
        </w:rPr>
        <w:t>The Subscription Documents have been and/or will be prepared by the Company, in conformity with all applicable laws, and in compliance with Regulation D and/or Section 4(a)(2) of the Act and the requirements of all other rules and regulations (the “Regulations”) of the SEC relating to offerings of the type contemplated by the Offering, and the applicable securities laws and the rules and regulations of those jurisdictions wherein the Agents notify the Company that the Securities are to be offered and sold (including U.S. states). The Securities will be offered and sold pursuant to the registration exemption provided by Regulation D and/or Section 4(a)(2) of the Act as a transaction not involving a public offering and the requirements of any other applicable state securities laws and the respective rules and regulations thereunder in those United States jurisdictions in which the Agents notify the Company that the Securities are being offered for sale. None of the Company, its predecessors or its affiliates, or any person acting on its or their behalf (other than the Agents, their affiliates or any person acting on their behalf, in respect of which no representation is made) has taken nor will it take any action that conflicts with the conditions and requirements of, or that would make unavailable with respect to the Offering, the exemption(s) from registration available pursuant to Rule 506(b) of Regulation D and/or Section 4(a)(2) of the Act and applicable state securities laws, or knows of any reason why any such exemption would be otherwise unavailable to it). Neither the Company, nor any of its affiliates, nor any person acting on its or their behalf, has directly or indirectly made any offers or sales of any security or solicited any offers to buy any security under circumstances that would require registration under the Act of the issuance of the Securities or the Brokers Warrants (as hereinafter defined). None of the Company, its predecessors or affiliates has been subject to any order, judgment or decree of any court of competent jurisdiction temporarily, preliminarily or permanently enjoining such person for failing to comply with Section 503 of Regulation D or the equivalent state securities law requirements. The Company has not, for a period of six months prior to the commencement of the Offering sold, offered for sale or solicited any offer to buy any of its securities in a manner that would be integrated with the offer and sale of the Securities pursuant to this Agreement, would cause the exemption from registration set forth in Rule 506 of Regulation D and state securities laws to become unavailable with respect to the offer and sale of the Securities to this Agreement in the United States. The Shares, and the shares issued upon the exercise of the Warrants will be quoted on the OTCQB or the Nasdaq Stock Market (the “</w:t>
      </w:r>
      <w:r>
        <w:rPr>
          <w:rFonts w:ascii="Arial" w:cs="Arial" w:eastAsia="Arial" w:hAnsi="Arial"/>
          <w:sz w:val="16"/>
          <w:szCs w:val="16"/>
          <w:i w:val="1"/>
          <w:iCs w:val="1"/>
          <w:color w:val="auto"/>
        </w:rPr>
        <w:t>Principal Market</w:t>
      </w:r>
      <w:r>
        <w:rPr>
          <w:rFonts w:ascii="Arial" w:cs="Arial" w:eastAsia="Arial" w:hAnsi="Arial"/>
          <w:sz w:val="16"/>
          <w:szCs w:val="16"/>
          <w:color w:val="auto"/>
        </w:rPr>
        <w:t>”). The Company has taken no action designed to, or likely to have the effect of, terminating the quotation of the Common Stock on the Principal Market. The Company, on the Closing Date, will be in compliance with all of the then-applicable requirements for continued quotation of the Common Stock on the Principal Market.</w:t>
      </w:r>
    </w:p>
    <w:p>
      <w:pPr>
        <w:spacing w:after="0" w:line="114"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274" w:right="239" w:bottom="1440" w:gutter="0" w:footer="0" w:header="0"/>
        </w:sectPr>
      </w:pPr>
    </w:p>
    <w:bookmarkStart w:id="239" w:name="page240"/>
    <w:bookmarkEnd w:id="239"/>
    <w:p>
      <w:pPr>
        <w:ind w:right="20" w:firstLine="1492"/>
        <w:spacing w:after="0" w:line="286" w:lineRule="auto"/>
        <w:tabs>
          <w:tab w:leader="none" w:pos="1738" w:val="left"/>
        </w:tabs>
        <w:numPr>
          <w:ilvl w:val="0"/>
          <w:numId w:val="2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Subscription Documents, as prepared and contemplated by the Company, will not and do not include any untrue statement of a material fact or omit to state any material fact required to be stated therein or necessary to make the statements therein, in light of the circumstances under which they were made, not misleading. To the knowledge of the Company, none of the statements, documents, certificates or other items made, prepared or supplied by the Company with respect to the transactions contemplated hereby contains an untrue statement of a material fact or omits to state a material fact necessary to make the statements contained therein not misleading in light of the circumstances in which they were made. There is no fact which the Company has not disclosed in the Subscription Documents or which is not disclosed in the filings (the “SEC Filings”) that the Company makes with the SEC and of which the Company is aware that materially adversely affects or that could reasonably be expected to have a material adverse effect on the (i) assets, liabilities, results of operations, condition (financial or otherwise), business or business prospects of the Company or (ii) ability of the Company to perform its obligations under this Agreement and the other Subscription Documents (the “Company Material Adverse Effect”). Notwithstanding anything to the contrary herein, the Company makes no representation or warranty with respect to any estimates, projections and other forecasts and plans (including the reasonableness of the assumptions underlying such estimates, projections and other forecasts and plans) that may have been delivered to the Agents or their respective representatives, except that such estimates, projections and other forecasts and plans have been prepared in good faith on the basis of assumptions stated therein, which assumptions were believed to be reasonable at the time of such preparation. Other than the Company’s SEC Filings, the Company has not distributed and will not distribute prior to the Closing any offering material in connection with the offering and sale of the Securities, unless such offering materials are provided to the Agents prior to or simultaneously with such delivery to the offerees of the Securities.</w:t>
      </w:r>
    </w:p>
    <w:p>
      <w:pPr>
        <w:spacing w:after="0" w:line="168" w:lineRule="exact"/>
        <w:rPr>
          <w:rFonts w:ascii="Arial" w:cs="Arial" w:eastAsia="Arial" w:hAnsi="Arial"/>
          <w:sz w:val="16"/>
          <w:szCs w:val="16"/>
          <w:color w:val="auto"/>
        </w:rPr>
      </w:pPr>
    </w:p>
    <w:p>
      <w:pPr>
        <w:ind w:right="20" w:firstLine="1492"/>
        <w:spacing w:after="0" w:line="285" w:lineRule="auto"/>
        <w:tabs>
          <w:tab w:leader="none" w:pos="172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Company is a corporation duly organized, validly existing and in good standing under the laws of the State of Nevada and is qualified and in good standing as a foreign corporation in each jurisdiction in which the nature of the business conducted by the Company or the property owned or leased by the Company requires such qualification, except to the extent that the failure to be so qualified or be in good standing would not have a Company Material Adverse Effect. The Company has all requisite corporate power and authority to conduct its business as presently conducted and as proposed to be conducted (as described in the Subscription Documents and/or the SEC Filings), has all the necessary and requisite documents and approvals from all state authorities, has all requisite corporate power and authority to (i) issue shares of common stock upon the exercise of the warrants in the Warrant Exercise, (ii) to undertake the Warrant Modification and (iii) enter into and perform its obligations under this Agreement, the Subscription Agreement substantially in the form made part of the Subscription Documents (the “Subscription Agreement”), the Registration Rights Agreement substantially in the form made part of the Subscription Documents (the “Registration Rights Agreement”), the Warrant Agreement substantially in the form made part of the Subscription Documents (the “Warrant Agreement”), the agreements for the Warrant Modification and the other agreements, if any, contemplated by the Offering and the Warrant Exercise (all such agreements, together with this Agreement, the “Company Transaction Documents”) and subject to necessary Board and stockholder approvals, to issue, sell and deliver the Shares and the shares of Common Stock issuable upon exercise of the Warrants and the Broker Warrants (as hereinafter defined) (the shares of Common Stock issuable upon exercise of the Warrants and the Broker Warrants are hereinafter referred to collectively as the “Warrant Shares”) and to make the representations in this Agreement accurate and not misleading. Prior to the First Closing, as defined under Section 4(e), each of the Company Transaction Documents and the Offering will have been duly authorized. This Agreement has been duly authorized, executed and delivered and constitutes, and each of the other Company Transaction Documents, upon due execution and delivery, will constitute, valid and binding obligations of the Company, enforceable against the Company in accordance with their respective terms (i) except as enforceability may be limited by applicable bankruptcy, insolvency, reorganization, moratorium or other similar laws now or hereafter in</w:t>
      </w:r>
    </w:p>
    <w:p>
      <w:pPr>
        <w:spacing w:after="0" w:line="105"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274" w:right="239" w:bottom="1440" w:gutter="0" w:footer="0" w:header="0"/>
        </w:sectPr>
      </w:pPr>
    </w:p>
    <w:bookmarkStart w:id="240" w:name="page241"/>
    <w:bookmarkEnd w:id="240"/>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related to laws affecting creditors’ rights generally, including the effect of statutory and other laws regarding fraudulent conveyances and preferential transfers, and except that no representation is made herein regarding the enforceability of the Company’s obligations to provide indemnification and contribution remedies under the securities laws and (ii) subject to the limitations imposed by general equitable principles (regardless of whether such enforceability is considered in a proceeding at law or in equity).</w:t>
      </w:r>
    </w:p>
    <w:p>
      <w:pPr>
        <w:spacing w:after="0" w:line="187" w:lineRule="exact"/>
        <w:rPr>
          <w:sz w:val="20"/>
          <w:szCs w:val="20"/>
          <w:color w:val="auto"/>
        </w:rPr>
      </w:pPr>
    </w:p>
    <w:p>
      <w:pPr>
        <w:ind w:firstLine="1492"/>
        <w:spacing w:after="0" w:line="286" w:lineRule="auto"/>
        <w:tabs>
          <w:tab w:leader="none" w:pos="173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None of the execution and delivery of or performance by the Company under this Agreement, the Warrant Modification, the issuance of shares of common stock upon the exercise of warrants in the Warrant Exercise or any of the other Company Transaction Documents or the consummation of the transactions in this Agreement or in the Subscription Documents (including the issuance and sale of the Shares, the issuance of the Warrants or the issuance of the Warrants Shares conflicts with or violates, or causes a default under (with our without the passage of time or the giving of notice), or will result in the creation or imposition of, any lien, charge or other encumbrance upon any of the assets of the Company under any agreement, evidence of indebtedness, joint venture, commitment or other instrument to which the Company is a party or by which the Company or its assets may be bound, any statute, rule, law or governmental regulation applicable to the Company, or any term of the Article of Incorporation as in effect on the date hereof or any closing date for the Offering (the “Articles of Incorporation”) or By-Laws as in effect on the date hereof or any closing date for the Offering (the “By-Laws”) of the Company, or any license, permit, judgment, decree, order, statute, rule or regulation applicable to the Company or any of its assets, except in the case of a conflict, violation, lien, charge or other encumbrance (except with respect to the Company’s Articles of Incorporation or By-Laws) which would not, or could not reasonably be expected to, have a Company Material Adverse Effect. No consent, approval, authorization or other order of, or registration, qualification or filing with, any regulatory body, administrative agency, or other governmental body is required for the execution and delivery of this Agreement by the Company and the valid issuance or sale of the Shares, the Warrants, the Broker Warrants and the Warrant Shares by the Company pursuant to this Agreement, other than such as have been made or obtained and that remain in full force and effect, and except for the filing of a Form D or any filings required to be made under state securities laws, which shall be timely filed by the Company.</w:t>
      </w:r>
    </w:p>
    <w:p>
      <w:pPr>
        <w:spacing w:after="0" w:line="168" w:lineRule="exact"/>
        <w:rPr>
          <w:rFonts w:ascii="Arial" w:cs="Arial" w:eastAsia="Arial" w:hAnsi="Arial"/>
          <w:sz w:val="16"/>
          <w:szCs w:val="16"/>
          <w:color w:val="auto"/>
        </w:rPr>
      </w:pPr>
    </w:p>
    <w:p>
      <w:pPr>
        <w:ind w:right="20" w:firstLine="1492"/>
        <w:spacing w:after="0" w:line="286" w:lineRule="auto"/>
        <w:tabs>
          <w:tab w:leader="none" w:pos="172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Company’s financial statements, together with the related notes, if any, included in the Subscription Documents or the Company’s SEC Filings, present fairly, in all material respects, the financial position of the Company as of the dates specified and the results of operations for the periods covered thereby. Such financial statements and related notes were prepared in accordance with United States generally accepted accounting principles applied on a consistent basis throughout the periods indicated, except that the unaudited financial statements omit full notes, and except for normal year end adjustments. If the financials for the Company are unaudited financial statements, it will state such clearly on the financials. During the period of engagement of the Company’s independent certified public accountants, there have been no disagreements between the accounting firm and the Company on any matters of accounting principles or practices, financial statement disclosure or auditing scope or procedures. The Company has made and kept books and records and accounts which are in reasonable detail and which fairly and accurately reflect the activities of the Company in all material respects, subject only to year-end adjustments. Except as set forth in such financial statements or otherwise disclosed in the Subscription Documents, the Company’s senior management has no knowledge of any material liabilities of any kind, whether accrued, absolute or contingent, or otherwise, and subsequent to the date of the Subscription Documents and prior to the date of the First Closing, it shall not enter into any material transactions or commitments without promptly thereafter notifying the Agents, the purchasers in the Offering and the warrant holders in the Warrant Exercise in writing of any such material transaction or commitment. The other financial and statistical information with respect to the Company and any pro forma information and related notes included in the SEC Filings present fairly the information shown therein on a basis consistent with the financial statements of the Company included in the SEC Filings. Except as disclosed in the Subscription Documents, the Company does not know of any facts,</w:t>
      </w:r>
    </w:p>
    <w:p>
      <w:pPr>
        <w:spacing w:after="0" w:line="101"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274" w:right="239" w:bottom="1440" w:gutter="0" w:footer="0" w:header="0"/>
        </w:sectPr>
      </w:pPr>
    </w:p>
    <w:bookmarkStart w:id="241" w:name="page242"/>
    <w:bookmarkEnd w:id="241"/>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circumstances or conditions which could materially adversely affect its operations, earnings or prospects that have not been fully disclosed in the financial statements appearing in the SEC Filings or other financial statements appearing in the SEC Filings or other documents or information provided by the Company.</w:t>
      </w:r>
    </w:p>
    <w:p>
      <w:pPr>
        <w:spacing w:after="0" w:line="181" w:lineRule="exact"/>
        <w:rPr>
          <w:sz w:val="20"/>
          <w:szCs w:val="20"/>
          <w:color w:val="auto"/>
        </w:rPr>
      </w:pPr>
    </w:p>
    <w:p>
      <w:pPr>
        <w:ind w:right="20" w:firstLine="1492"/>
        <w:spacing w:after="0" w:line="290" w:lineRule="auto"/>
        <w:tabs>
          <w:tab w:leader="none" w:pos="170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Immediately prior to the First Closing, the Shares, the Warrants, the shares underlying the Warrants (“Warrant Shares”), the Broker Warrants and the Shares underlying the Broker Warrants (“Broker Warrant Shares”) will have been duly authorized and, when issued and delivered against payment therefor as provided in the Company Transaction Documents, will be validly issued, fully paid and nonassessable. No holder of any of the Shares, Warrants Shares or Broker Warrant Shares will be subject to personal liability solely by reason of being such a holder, and except as described in the Subscription Documents, none of the Shares, Warrants, Warrant Shares, Broker Warrants or Broker Warrant Shares will be subject to preemptive or similar rights of any stockholder or security holder of the Company or an adjustment under the antidilution or exercise rights of any holders of any outstanding shares of capital stock, options, warrants or other rights to acquire any securities of the Company. Immediately prior to the First Closing, a sufficient number of authorized but unissued shares of Common Stock will have been reserved for issuance upon the exercise of the Warrants and the Brokers Warrants.</w:t>
      </w:r>
    </w:p>
    <w:p>
      <w:pPr>
        <w:spacing w:after="0" w:line="166" w:lineRule="exact"/>
        <w:rPr>
          <w:rFonts w:ascii="Arial" w:cs="Arial" w:eastAsia="Arial" w:hAnsi="Arial"/>
          <w:sz w:val="16"/>
          <w:szCs w:val="16"/>
          <w:color w:val="auto"/>
        </w:rPr>
      </w:pPr>
    </w:p>
    <w:p>
      <w:pPr>
        <w:ind w:right="100" w:firstLine="1492"/>
        <w:spacing w:after="0" w:line="286" w:lineRule="auto"/>
        <w:tabs>
          <w:tab w:leader="none" w:pos="173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Except as described in the Subscription Documents and/or the Company’s SEC Filings and for the Warrants, and as of the date of each Closing: (i) there will be no outstanding options, stock subscription agreements, warrants or other rights permitting or requiring the Company or others to purchase or acquire any shares of capital stock or other equity securities of the Company or to pay any dividend or make any other distribution in respect thereof; (ii) there will be no securities issued or outstanding which are convertible into or exchangeable for any of the foregoing and there are no contracts, commitments or understandings, whether or not in writing, to issue or grant any such option, warrant, right or convertible or exchangeable security; (iii) no Securities of the Company or other securities of the Company are reserved for issuance for any purpose; (iv) there will be no voting trusts or other contracts, commitments, understandings, arrangements or restrictions of any kind with respect to the ownership, voting or transfer of shares of stock or other securities of the Company, including, without limitation, any preemptive rights, rights of first refusal, proxies or similar rights, and (v) no person prior to the execution of this Agreement by the Company holds a right to require the Company to register any securities of the Company under the Act or to participate in any such registration. Immediately prior to the First Closing, the issued and outstanding shares of capital stock of the Company will conform in all material respects to all statements in relation thereto contained in the Company’s SEC Filings and the Company’s SEC Filings describe all material terms and conditions thereof. All issuances by the Company of its securities have been issued pursuant to either a current effective registration statement under the 1933 Act or an exemption from registration requirements under the Act, and were issued in accordance with any applicable Federal and state securities laws.</w:t>
      </w:r>
    </w:p>
    <w:p>
      <w:pPr>
        <w:spacing w:after="0" w:line="174" w:lineRule="exact"/>
        <w:rPr>
          <w:rFonts w:ascii="Arial" w:cs="Arial" w:eastAsia="Arial" w:hAnsi="Arial"/>
          <w:sz w:val="16"/>
          <w:szCs w:val="16"/>
          <w:color w:val="auto"/>
        </w:rPr>
      </w:pPr>
    </w:p>
    <w:p>
      <w:pPr>
        <w:ind w:firstLine="1492"/>
        <w:spacing w:after="0" w:line="290" w:lineRule="auto"/>
        <w:tabs>
          <w:tab w:leader="none" w:pos="173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Except as described in the Subscription Documents and/or the Company’s SEC Filings, the Company has no subsidiaries and does not own any equity interest and has not made any loans or advances to or guarantees of indebtedness to any person, corporation, partnership or other entity and is not a party to any joint venture. The Company’s subsidiaries are duly incorporated or organized, validly existing and in good standing under the laws of their jurisdiction of incorporation or organization and have all requisite power and authority to carry on their business as now conducted. Such subsidiaries are duly qualified to transact business and is in good standing in each jurisdiction in which the failure to so qualify would have a material adverse effect on their respective business or properties. All of the outstanding capital stock or other voting securities of such subsidiaries are owned by the Company, directly or indirectly, free and clear of any liens, claims, or encumbrances. The conduct of business by the Company as presently and proposed to be conducted is not subject to continuing oversight, supervision, regulation or examination by any governmental official or body of the United</w:t>
      </w:r>
    </w:p>
    <w:p>
      <w:pPr>
        <w:spacing w:after="0" w:line="99"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420"/>
          </w:cols>
          <w:pgMar w:left="240" w:top="274" w:right="239" w:bottom="1440" w:gutter="0" w:footer="0" w:header="0"/>
        </w:sectPr>
      </w:pPr>
    </w:p>
    <w:bookmarkStart w:id="242" w:name="page243"/>
    <w:bookmarkEnd w:id="24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States, or any other jurisdiction wherein the Company conducts or proposes to conduct such business, except as described in the Subscription Documents and/or the Company’s SEC Filings and except as such regulation is applicable to US public companies and commercial enterprises generally. The Company has obtained all material licenses, permits and other governmental authorizations necessary to conduct its business as presently conducted. The Company has not received any notice of any violation of, or noncompliance with, any federal, state, local or foreign laws, ordinances, regulations and orders (including, without limitation, those relating to environmental protection, occupational safety and health, securities laws, equal employment opportunity, consumer protection, credit reporting, “truth-in-lending”, and warranties and trade practices) applicable to its business, the violation of, or noncompliance with, would have a Company Material Adverse Effect, and the Company knows of no facts or set of circumstances which could give rise to such a notice.</w:t>
      </w:r>
    </w:p>
    <w:p>
      <w:pPr>
        <w:spacing w:after="0" w:line="167" w:lineRule="exact"/>
        <w:rPr>
          <w:sz w:val="20"/>
          <w:szCs w:val="20"/>
          <w:color w:val="auto"/>
        </w:rPr>
      </w:pPr>
    </w:p>
    <w:p>
      <w:pPr>
        <w:ind w:right="120" w:firstLine="1492"/>
        <w:spacing w:after="0" w:line="255" w:lineRule="auto"/>
        <w:tabs>
          <w:tab w:leader="none" w:pos="169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Except as described in the Subscription Documents and/or the Company’s SEC Filings, no default by the Company or, to the knowledge of the Company, any other party, exists in the due performance under any material agreement to which the Company is a party or to which any of its assets is subject (collectively, the “Company Agreements”). The Company Agreements, if any, disclosed in the Subscription Documents and/or the Company’s SEC Filings are the only material agreements to which the Company is bound or by which its assets are subject, are accurately described in the Subscription Documents and/or the Company’s SEC Filings and are in full force and effect in accordance with their respective terms, subject to any applicable bankruptcy, insolvency or other laws affecting the rights of creditors generally and to general equitable principles and the availability of specific performance.</w:t>
      </w:r>
    </w:p>
    <w:p>
      <w:pPr>
        <w:spacing w:after="0" w:line="189" w:lineRule="exact"/>
        <w:rPr>
          <w:rFonts w:ascii="Arial" w:cs="Arial" w:eastAsia="Arial" w:hAnsi="Arial"/>
          <w:sz w:val="18"/>
          <w:szCs w:val="18"/>
          <w:color w:val="auto"/>
        </w:rPr>
      </w:pPr>
    </w:p>
    <w:p>
      <w:pPr>
        <w:ind w:right="40" w:firstLine="1492"/>
        <w:spacing w:after="0" w:line="286" w:lineRule="auto"/>
        <w:tabs>
          <w:tab w:leader="none" w:pos="1698" w:val="left"/>
        </w:tabs>
        <w:numPr>
          <w:ilvl w:val="1"/>
          <w:numId w:val="265"/>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Subscription Documents, the Company has operated its business in the ordinary course and, except as may otherwise be set forth in the Subscription Documents or the Company’s SEC Filings, there has been no: (i) Company Material Adverse Effect; (ii) material transaction otherwise than in the ordinary course of business consistent with past practice; (iii) issuance of any securities (debt or equity) or any rights to acquire any such securities other than pursuant to equity incentive plans approved by its Board of Directors;</w:t>
      </w:r>
    </w:p>
    <w:p>
      <w:pPr>
        <w:spacing w:after="0" w:line="1" w:lineRule="exact"/>
        <w:rPr>
          <w:rFonts w:ascii="Arial" w:cs="Arial" w:eastAsia="Arial" w:hAnsi="Arial"/>
          <w:sz w:val="16"/>
          <w:szCs w:val="16"/>
          <w:color w:val="auto"/>
        </w:rPr>
      </w:pPr>
    </w:p>
    <w:p>
      <w:pPr>
        <w:ind w:right="400" w:firstLine="8"/>
        <w:spacing w:after="0" w:line="261" w:lineRule="auto"/>
        <w:tabs>
          <w:tab w:leader="none" w:pos="30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damage, loss or destruction, whether or not covered by insurance, with respect to any material asset or property of the Company; or (v) agreement to permit any of the foregoing.</w:t>
      </w:r>
    </w:p>
    <w:p>
      <w:pPr>
        <w:spacing w:after="0" w:line="183" w:lineRule="exact"/>
        <w:rPr>
          <w:rFonts w:ascii="Arial" w:cs="Arial" w:eastAsia="Arial" w:hAnsi="Arial"/>
          <w:sz w:val="18"/>
          <w:szCs w:val="18"/>
          <w:color w:val="auto"/>
        </w:rPr>
      </w:pPr>
    </w:p>
    <w:p>
      <w:pPr>
        <w:ind w:right="120" w:firstLine="1492"/>
        <w:spacing w:after="0" w:line="272" w:lineRule="auto"/>
        <w:tabs>
          <w:tab w:leader="none" w:pos="1738" w:val="left"/>
        </w:tabs>
        <w:numPr>
          <w:ilvl w:val="1"/>
          <w:numId w:val="266"/>
        </w:numPr>
        <w:rPr>
          <w:rFonts w:ascii="Arial" w:cs="Arial" w:eastAsia="Arial" w:hAnsi="Arial"/>
          <w:sz w:val="17"/>
          <w:szCs w:val="17"/>
          <w:color w:val="auto"/>
        </w:rPr>
      </w:pPr>
      <w:r>
        <w:rPr>
          <w:rFonts w:ascii="Arial" w:cs="Arial" w:eastAsia="Arial" w:hAnsi="Arial"/>
          <w:sz w:val="17"/>
          <w:szCs w:val="17"/>
          <w:color w:val="auto"/>
        </w:rPr>
        <w:t>Except as set forth in the Subscription Documents and/or the Company’s SEC Filings, there are no actions, suits, claims, hearings or proceedings pending before any court or governmental authority or, to the knowledge of the Company, threatened, against the Company, or involving its assets or any of its officers or directors (in their capacity as such) which, (i) if determined adversely to the Company or such officer or director, could reasonably be expected to have a Company Material Adverse Effect or adversely affect the transactions contemplated by this Agreement or the Company Transaction Documents (as defined in this Agreement) or the enforceability hereof or (ii) would be required to be disclosed in the Company’s Annual Report on Form 10-K under the requirements of Item 103 of Regulation S-K. The Company is not subject to any injunction, judgment, decree or order of any court, regulatory body, arbitral panel, administrative agency or other government body.</w:t>
      </w:r>
    </w:p>
    <w:p>
      <w:pPr>
        <w:spacing w:after="0" w:line="177" w:lineRule="exact"/>
        <w:rPr>
          <w:rFonts w:ascii="Arial" w:cs="Arial" w:eastAsia="Arial" w:hAnsi="Arial"/>
          <w:sz w:val="17"/>
          <w:szCs w:val="17"/>
          <w:color w:val="auto"/>
        </w:rPr>
      </w:pPr>
    </w:p>
    <w:p>
      <w:pPr>
        <w:ind w:right="20" w:firstLine="1492"/>
        <w:spacing w:after="0" w:line="284" w:lineRule="auto"/>
        <w:tabs>
          <w:tab w:leader="none" w:pos="1698"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Articles of Incorporation and By-laws of the Company are true, correct and complete copies of the certificate of incorporation and bylaws of the Company, as in effect on the date hereof. Any subsequent amendments to the certificate of incorporation or bylaws will be provided promptly to the Agents, investors in the Offering and those warrant holders that participated in the Warrant Exercise. The Company is not: (i) in violation of its Articles of Incorporation or By-Laws; (ii) in default of any contract, indenture, mortgage, deed of trust, note, loan agreement, security agreement, lease, alliance agreement, joint venture agreement or other agreement, license, permit, consent, approval or instrument to which the Company is a party or by which it is or may be bound or to which any of its assets may be subject, the default of which could reasonably be expected to have a Company Material Adverse Effect;</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 violation of any statute, rule or regulation applicable to the</w:t>
      </w:r>
    </w:p>
    <w:p>
      <w:pPr>
        <w:spacing w:after="0" w:line="143"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7</w:t>
      </w:r>
    </w:p>
    <w:p>
      <w:pPr>
        <w:sectPr>
          <w:pgSz w:w="11900" w:h="16838" w:orient="portrait"/>
          <w:cols w:equalWidth="0" w:num="1">
            <w:col w:w="11420"/>
          </w:cols>
          <w:pgMar w:left="240" w:top="274" w:right="239" w:bottom="1440" w:gutter="0" w:footer="0" w:header="0"/>
        </w:sectPr>
      </w:pPr>
    </w:p>
    <w:bookmarkStart w:id="243" w:name="page244"/>
    <w:bookmarkEnd w:id="243"/>
    <w:p>
      <w:pPr>
        <w:ind w:right="5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the violation of which would have a Company Material Adverse Effect; or (iv) in violation of any judgment, decree or order of any court or governmental body having jurisdiction over the Company and specifically naming the Company, which violation or violations individually, or in the aggregate, could reasonably be expected to have a Company Material Adverse Effect.</w:t>
      </w:r>
    </w:p>
    <w:p>
      <w:pPr>
        <w:spacing w:after="0" w:line="181" w:lineRule="exact"/>
        <w:rPr>
          <w:sz w:val="20"/>
          <w:szCs w:val="20"/>
          <w:color w:val="auto"/>
        </w:rPr>
      </w:pPr>
    </w:p>
    <w:p>
      <w:pPr>
        <w:ind w:right="180" w:firstLine="1492"/>
        <w:spacing w:after="0" w:line="259" w:lineRule="auto"/>
        <w:tabs>
          <w:tab w:leader="none" w:pos="178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Except as disclosed in the Subscription Documents and/or the Company’s SEC Filings, as of the date of this Agreement, no current or former stockholder, director, officer or employee of the Company, nor, to the knowledge of the Company, any affiliate of any such person is presently, directly or indirectly through his/her affiliation with any other person or entity, a party to any loan from the Company or any other transaction (other than as an employee) with the Company.</w:t>
      </w:r>
    </w:p>
    <w:p>
      <w:pPr>
        <w:spacing w:after="0" w:line="186" w:lineRule="exact"/>
        <w:rPr>
          <w:rFonts w:ascii="Arial" w:cs="Arial" w:eastAsia="Arial" w:hAnsi="Arial"/>
          <w:sz w:val="18"/>
          <w:szCs w:val="18"/>
          <w:color w:val="auto"/>
        </w:rPr>
      </w:pPr>
    </w:p>
    <w:p>
      <w:pPr>
        <w:ind w:right="200" w:firstLine="1492"/>
        <w:spacing w:after="0" w:line="259" w:lineRule="auto"/>
        <w:tabs>
          <w:tab w:leader="none" w:pos="173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Company is not obligated to pay, and has not obligated the Agents to pay, a finder’s or origination fee in connection with the Offering other than to the Agents under this Agreement, and hereby agrees to indemnify the Agents from any such claim made by any other person as more fully set forth in Section 8 hereof. Except as set forth in the Subscription Documents, no other person has any right to participate in any offer, sale or distribution of the Company’s securities to which the Agents’ rights, described herein, shall apply.</w:t>
      </w:r>
    </w:p>
    <w:p>
      <w:pPr>
        <w:spacing w:after="0" w:line="186" w:lineRule="exact"/>
        <w:rPr>
          <w:rFonts w:ascii="Arial" w:cs="Arial" w:eastAsia="Arial" w:hAnsi="Arial"/>
          <w:sz w:val="18"/>
          <w:szCs w:val="18"/>
          <w:color w:val="auto"/>
        </w:rPr>
      </w:pPr>
    </w:p>
    <w:p>
      <w:pPr>
        <w:ind w:right="20" w:firstLine="1492"/>
        <w:spacing w:after="0" w:line="312" w:lineRule="auto"/>
        <w:tabs>
          <w:tab w:leader="none" w:pos="173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Until the earlier of (i) the Termination Date or (ii) the Final Closing (as hereinafter defined), the Company will not issue any press release, grant any interview, or otherwise communicate with the media in any manner whatsoever with respect to the Offering or the Warrant Exercise without the Agents’ prior written consent, which consent will not unreasonably be withheld or delayed, and subject to any applicable laws and regulations.</w:t>
      </w:r>
    </w:p>
    <w:p>
      <w:pPr>
        <w:spacing w:after="0" w:line="146" w:lineRule="exact"/>
        <w:rPr>
          <w:rFonts w:ascii="Arial" w:cs="Arial" w:eastAsia="Arial" w:hAnsi="Arial"/>
          <w:sz w:val="16"/>
          <w:szCs w:val="16"/>
          <w:color w:val="auto"/>
        </w:rPr>
      </w:pPr>
    </w:p>
    <w:p>
      <w:pPr>
        <w:ind w:right="40" w:firstLine="1492"/>
        <w:spacing w:after="0" w:line="264" w:lineRule="auto"/>
        <w:tabs>
          <w:tab w:leader="none" w:pos="173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 representation or warranty contained in Section 2A of this Agreement contains any untrue statement of a material fact or omits to state a material fact necessary to make the statements herein not misleading in the context of such representations and warranties. The Agents shall be entitled to rely on such representations and warranties.</w:t>
      </w:r>
    </w:p>
    <w:p>
      <w:pPr>
        <w:spacing w:after="0" w:line="181" w:lineRule="exact"/>
        <w:rPr>
          <w:rFonts w:ascii="Arial" w:cs="Arial" w:eastAsia="Arial" w:hAnsi="Arial"/>
          <w:sz w:val="18"/>
          <w:szCs w:val="18"/>
          <w:color w:val="auto"/>
        </w:rPr>
      </w:pPr>
    </w:p>
    <w:p>
      <w:pPr>
        <w:ind w:right="200" w:firstLine="1492"/>
        <w:spacing w:after="0" w:line="279" w:lineRule="auto"/>
        <w:tabs>
          <w:tab w:leader="none" w:pos="173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No consent, authorization or filing of or with any court or governmental authority is required in connection with the issuance or the consummation of the Warrant Exercise, the transactions contemplated herein or in the other Company Transaction Documents, except for required filings with the SEC and the applicable state securities commissions relating specifically to the Offering (all of which filings will be duly made by, or on behalf of, the Company), and those which are required to be made after the First Closing (all of which will be duly made on a timely basis).</w:t>
      </w:r>
    </w:p>
    <w:p>
      <w:pPr>
        <w:spacing w:after="0" w:line="171" w:lineRule="exact"/>
        <w:rPr>
          <w:rFonts w:ascii="Arial" w:cs="Arial" w:eastAsia="Arial" w:hAnsi="Arial"/>
          <w:sz w:val="17"/>
          <w:szCs w:val="17"/>
          <w:color w:val="auto"/>
        </w:rPr>
      </w:pPr>
    </w:p>
    <w:p>
      <w:pPr>
        <w:ind w:right="20" w:firstLine="1492"/>
        <w:spacing w:after="0" w:line="268" w:lineRule="auto"/>
        <w:tabs>
          <w:tab w:leader="none" w:pos="170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Neither the sale of the Securities by the Company nor its use of the proceeds thereof or from the Warrant Exercise will violate the Trading with the Enemy Act, as amended, nor any of the foreign assets control regulations of the United States Treasury Department (31 CFR, Subtitle B, Chapter V, as amended) or any enabling legislation or executive order relating thereto. Without limiting the foregoing, the Company is not (a) a person whose property or interests in property are blocked pursuant to Section 1 of Executive Order 13224 of September 23, 2001 Blocking Property and Prohibiting Transactions with Persons Who Commit, Threaten to Commit, or Support Terrorism (66 Fed. Reg. 49079 (2001)) or (b) a person who engages in any dealings or transactions, or be otherwise associated, with any such person. The Company and its subsidiaries, if any, are in compliance, in all material respects, with the USA Patriot Act of 2001 (signed into law October 26, 2001). Each of the Company, its affiliates and any of their respective officers, directors, supervisors, managers, agents, or employees, has not violated, its participation in the offering will not violate, and the Company has instituted and maintains policies and procedures designed to ensure continued compliance with, each of the following laws: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or any other law, rule or regulation of similar purposes and scope, (b) anti-money laundering laws, including but not limited to,</w:t>
      </w:r>
    </w:p>
    <w:p>
      <w:pPr>
        <w:spacing w:after="0" w:line="120"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8</w:t>
      </w:r>
    </w:p>
    <w:p>
      <w:pPr>
        <w:sectPr>
          <w:pgSz w:w="11900" w:h="16838" w:orient="portrait"/>
          <w:cols w:equalWidth="0" w:num="1">
            <w:col w:w="11420"/>
          </w:cols>
          <w:pgMar w:left="240" w:top="274" w:right="239" w:bottom="1440" w:gutter="0" w:footer="0" w:header="0"/>
        </w:sectPr>
      </w:pPr>
    </w:p>
    <w:bookmarkStart w:id="244" w:name="page245"/>
    <w:bookmarkEnd w:id="24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federal, state, international, foreign or other laws, regulations or government guidance regarding anti-money laundering, including, without limitation, Title 18 US. Code section 1956 and 1957,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laws and regulations imposing U.S. economic sanctions measures, including, but not limited to, the International Emergency Economic Powers Act, the United Nations Participation Act and the Syria Accountability and Lebanese Sovereignty Act, all as amended, and any Executive Order, directive, or regulation pursuant to the authority of any of the foregoing, including the regulations of the United States Treasury Department set forth under 31 CFR, Subtitle B, Chapter V, as amended, or any orders or licenses issued thereunder. Neither the Company nor any director, officer, agent, employee or other person acting on behalf of the Company has, in the course of its actions for, or on behalf of, the Company (i) used any corporate funds for any unlawful contribution, gift, entertainment or other unlawful expenses relating to political activity; (ii) made any direct or indirect unlawful payment to any foreign or domestic government official or employee from corporate funds; or (iii) made any unlawful bribe, rebate, payoff, influence payment, kickback or other unlawful payment to any foreign or domestic government official or employee.</w:t>
      </w:r>
    </w:p>
    <w:p>
      <w:pPr>
        <w:spacing w:after="0" w:line="188" w:lineRule="exact"/>
        <w:rPr>
          <w:sz w:val="20"/>
          <w:szCs w:val="20"/>
          <w:color w:val="auto"/>
        </w:rPr>
      </w:pPr>
    </w:p>
    <w:p>
      <w:pPr>
        <w:ind w:right="120" w:firstLine="1492"/>
        <w:spacing w:after="0" w:line="286" w:lineRule="auto"/>
        <w:tabs>
          <w:tab w:leader="none" w:pos="1718" w:val="left"/>
        </w:tabs>
        <w:numPr>
          <w:ilvl w:val="1"/>
          <w:numId w:val="269"/>
        </w:numPr>
        <w:rPr>
          <w:rFonts w:ascii="Arial" w:cs="Arial" w:eastAsia="Arial" w:hAnsi="Arial"/>
          <w:sz w:val="16"/>
          <w:szCs w:val="16"/>
          <w:color w:val="auto"/>
        </w:rPr>
      </w:pPr>
      <w:r>
        <w:rPr>
          <w:rFonts w:ascii="Arial" w:cs="Arial" w:eastAsia="Arial" w:hAnsi="Arial"/>
          <w:sz w:val="16"/>
          <w:szCs w:val="16"/>
          <w:color w:val="auto"/>
        </w:rPr>
        <w:t>None of Company, any of its predecessors, any affiliated issuer, any director, executive officer, other officer of the Company participating in the Offering,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and, together, “Issuer Covered Persons”) is subject to any of the “Bad Actor” disqualifications described in Rule 506(d)(1)(i)–</w:t>
      </w:r>
    </w:p>
    <w:p>
      <w:pPr>
        <w:spacing w:after="0" w:line="1" w:lineRule="exact"/>
        <w:rPr>
          <w:rFonts w:ascii="Arial" w:cs="Arial" w:eastAsia="Arial" w:hAnsi="Arial"/>
          <w:sz w:val="16"/>
          <w:szCs w:val="16"/>
          <w:color w:val="auto"/>
        </w:rPr>
      </w:pPr>
    </w:p>
    <w:p>
      <w:pPr>
        <w:jc w:val="both"/>
        <w:ind w:right="240" w:firstLine="8"/>
        <w:spacing w:after="0" w:line="295" w:lineRule="auto"/>
        <w:tabs>
          <w:tab w:leader="none" w:pos="40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under the Securities Act (a “Disqualification Event”), except for a Disqualification Event covered by Rule 506(d)(2) or (d)(3) or has been involved in any matter which would be a Disqualification Event except for the fact that it occurred before September 23, 2013. The Company has exercised reasonable care to determine whether any Issuer Covered Person is subject to a Disqualification Event. The Company has complied, to the extent applicable, with its disclosure obligations under Rule 506(e), and has furnished to the Agents a copy of any disclosures provided thereunder.</w:t>
      </w:r>
    </w:p>
    <w:p>
      <w:pPr>
        <w:spacing w:after="0" w:line="161" w:lineRule="exact"/>
        <w:rPr>
          <w:rFonts w:ascii="Arial" w:cs="Arial" w:eastAsia="Arial" w:hAnsi="Arial"/>
          <w:sz w:val="16"/>
          <w:szCs w:val="16"/>
          <w:color w:val="auto"/>
        </w:rPr>
      </w:pPr>
    </w:p>
    <w:p>
      <w:pPr>
        <w:ind w:right="20" w:firstLine="1492"/>
        <w:spacing w:after="0" w:line="259" w:lineRule="auto"/>
        <w:tabs>
          <w:tab w:leader="none" w:pos="169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Company is not aware of any person (other than any Issuer Covered Person or Agents Covered Person (as defined below) that has been or will be paid (directly or indirectly) remuneration for solicitation of purchasers in connection with the sale of any the Securities. For purposes of this subsection Agents Covered Persons shall mean Katalyst Securities LLC, GP Nurmenkari Inc., or any of their respective directors, executive officers, general partners, managing members or other officers participating in the Offering.</w:t>
      </w:r>
    </w:p>
    <w:p>
      <w:pPr>
        <w:spacing w:after="0" w:line="186" w:lineRule="exact"/>
        <w:rPr>
          <w:rFonts w:ascii="Arial" w:cs="Arial" w:eastAsia="Arial" w:hAnsi="Arial"/>
          <w:sz w:val="18"/>
          <w:szCs w:val="18"/>
          <w:color w:val="auto"/>
        </w:rPr>
      </w:pPr>
    </w:p>
    <w:p>
      <w:pPr>
        <w:ind w:left="1740" w:hanging="248"/>
        <w:spacing w:after="0"/>
        <w:tabs>
          <w:tab w:leader="none" w:pos="174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The Company will promptly notify the Agents in writing of (A) any Disqualification Event relating to any Issuer Covered Person and</w:t>
      </w:r>
    </w:p>
    <w:p>
      <w:pPr>
        <w:spacing w:after="0" w:line="46" w:lineRule="exact"/>
        <w:rPr>
          <w:rFonts w:ascii="Arial" w:cs="Arial" w:eastAsia="Arial" w:hAnsi="Arial"/>
          <w:sz w:val="16"/>
          <w:szCs w:val="16"/>
          <w:color w:val="auto"/>
        </w:rPr>
      </w:pPr>
    </w:p>
    <w:p>
      <w:pPr>
        <w:ind w:right="340"/>
        <w:spacing w:after="0" w:line="255" w:lineRule="auto"/>
        <w:rPr>
          <w:rFonts w:ascii="Arial" w:cs="Arial" w:eastAsia="Arial" w:hAnsi="Arial"/>
          <w:sz w:val="16"/>
          <w:szCs w:val="16"/>
          <w:color w:val="auto"/>
        </w:rPr>
      </w:pPr>
      <w:r>
        <w:rPr>
          <w:rFonts w:ascii="Arial" w:cs="Arial" w:eastAsia="Arial" w:hAnsi="Arial"/>
          <w:sz w:val="18"/>
          <w:szCs w:val="18"/>
          <w:color w:val="auto"/>
        </w:rPr>
        <w:t>(B) any event that would, with the passage of time, become a Disqualification Event relating to any Issuer Covered Person. The Company will notify the Agents in writing, prior to the Closing Date of (i) any Disqualification Event relating to any Issuer Covered Person and (ii) any event that would, with the passage of time, become a Disqualification Event relating to any Issuer Covered Person.</w:t>
      </w:r>
    </w:p>
    <w:p>
      <w:pPr>
        <w:spacing w:after="0" w:line="190" w:lineRule="exact"/>
        <w:rPr>
          <w:rFonts w:ascii="Arial" w:cs="Arial" w:eastAsia="Arial" w:hAnsi="Arial"/>
          <w:sz w:val="16"/>
          <w:szCs w:val="16"/>
          <w:color w:val="auto"/>
        </w:rPr>
      </w:pPr>
    </w:p>
    <w:p>
      <w:pPr>
        <w:ind w:right="60" w:firstLine="1492"/>
        <w:spacing w:after="0" w:line="279" w:lineRule="auto"/>
        <w:tabs>
          <w:tab w:leader="none" w:pos="1738"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authorized capital stock of the Company as of the First Closing will be set forth in the Subscription Agreement. As of the First Closing, the Company’s issued and outstanding capital stock will be set forth in the Subscription Agreement. All issued and outstanding shares of capital stock have been duly authorized and validly issued, are fully paid and nonassessable, were not issued in violation of any preemptive rights or similar rights to subscribe for or purchase securities, and, except as disclosed in the Company’s SEC Filings, have been issued and sold in</w:t>
      </w:r>
    </w:p>
    <w:p>
      <w:pPr>
        <w:spacing w:after="0" w:line="104"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9</w:t>
      </w:r>
    </w:p>
    <w:p>
      <w:pPr>
        <w:sectPr>
          <w:pgSz w:w="11900" w:h="16838" w:orient="portrait"/>
          <w:cols w:equalWidth="0" w:num="1">
            <w:col w:w="11420"/>
          </w:cols>
          <w:pgMar w:left="240" w:top="274" w:right="239" w:bottom="1440" w:gutter="0" w:footer="0" w:header="0"/>
        </w:sectPr>
      </w:pPr>
    </w:p>
    <w:bookmarkStart w:id="245" w:name="page246"/>
    <w:bookmarkEnd w:id="245"/>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the registration requirements of federal and state securities laws or the applicable statutes of limitation have expired. Except as set forth in the Subscription Agreement and the Company’s SEC Filings, there are no (i) outstanding rights (including, without limitation, preemptive rights), warrants or options to acquire, or instruments convertible into or exchangeable for, any unissued shares of capital stock or other equity interest in the Company, or any contract, commitment, agreement, understanding or arrangement of any kind to which the Company or its subsidiaries is a party and relating to the issuance or sale of any capital stock or convertible or exchangeable security of the Company; or (ii) obligations of the Company to purchase redeem or otherwise acquire any of its outstanding capital stock or any interest therein or to pay any dividend or make any other distribution in respect thereof.</w:t>
      </w:r>
    </w:p>
    <w:p>
      <w:pPr>
        <w:spacing w:after="0" w:line="165" w:lineRule="exact"/>
        <w:rPr>
          <w:sz w:val="20"/>
          <w:szCs w:val="20"/>
          <w:color w:val="auto"/>
        </w:rPr>
      </w:pPr>
    </w:p>
    <w:p>
      <w:pPr>
        <w:ind w:firstLine="1492"/>
        <w:spacing w:after="0" w:line="282" w:lineRule="auto"/>
        <w:tabs>
          <w:tab w:leader="none" w:pos="1778" w:val="left"/>
        </w:tabs>
        <w:numPr>
          <w:ilvl w:val="1"/>
          <w:numId w:val="271"/>
        </w:numPr>
        <w:rPr>
          <w:rFonts w:ascii="Arial" w:cs="Arial" w:eastAsia="Arial" w:hAnsi="Arial"/>
          <w:sz w:val="16"/>
          <w:szCs w:val="16"/>
          <w:color w:val="auto"/>
        </w:rPr>
      </w:pPr>
      <w:r>
        <w:rPr>
          <w:rFonts w:ascii="Arial" w:cs="Arial" w:eastAsia="Arial" w:hAnsi="Arial"/>
          <w:sz w:val="16"/>
          <w:szCs w:val="16"/>
          <w:color w:val="auto"/>
        </w:rPr>
        <w:t>The Company has ownership or license or legal right to use all patents, copyrights, trade secrets, know-how, trademarks, trade names, customer lists, designs, manufacturing or other processes, computer software, systems, data compilation, research results or other proprietary rights used in the business of the Company or its subsidiaries (collectively “</w:t>
      </w:r>
      <w:r>
        <w:rPr>
          <w:rFonts w:ascii="Arial" w:cs="Arial" w:eastAsia="Arial" w:hAnsi="Arial"/>
          <w:sz w:val="16"/>
          <w:szCs w:val="16"/>
          <w:i w:val="1"/>
          <w:iCs w:val="1"/>
          <w:color w:val="auto"/>
        </w:rPr>
        <w:t>Intellectual Property</w:t>
      </w:r>
      <w:r>
        <w:rPr>
          <w:rFonts w:ascii="Arial" w:cs="Arial" w:eastAsia="Arial" w:hAnsi="Arial"/>
          <w:sz w:val="16"/>
          <w:szCs w:val="16"/>
          <w:color w:val="auto"/>
        </w:rPr>
        <w:t>”). All of such patents, registered trademarks and registered copyrights have been duly registered in, filed in or issued by the United States Patent and Trademark Office, the United States Register of Copyrights or the corresponding offices of other jurisdictions and have been maintained and renewed in accordance with all applicable provisions of law and administrative regulations in the United States and all such jurisdictions. The Company believes it has taken all reasonable steps required in accordance with sound business practice and business judgment to establish and preserve its and its subsidiaries’ ownership of all material Intellectual Property with respect to their products and technology. To the knowledge of the Company, there is no infringement of the Intellectual Property by any third party. To the knowledge of the Company, the present business, activities and products of the Company and its subsidiaries do not infringe any intellectual property of any other person. There is no proceeding charging the Company or its subsidiaries with infringement of any adversely held Intellectual Property has been filed and the Company is unaware of any facts which are reasonably likely to form a basis for any such proceeding. There are no proceedings have been instituted or pending or, to the knowledge of the Company, threatened, which challenge the rights of the Company or its subsidiaries to the use of the Intellectual Property. The Intellectual Property owned by the Company and its subsidiaries, and to the knowledge of the Company, the Intellectual Property licensed to the Company and its subsidiaries, has not been adjudged invalid or unenforceable, in whole or in part. There is no pending or, to the knowledge of the Company, threatened proceeding by others challenging the validity or scope of any such Intellectual Property, and the Company is unaware of any facts which are reasonably likely to form a basis for any such claim. Each of the Company and its subsidiaries has the right to use, free and clear of material claims or rights of other persons, all of its customer lists, designs, computer software, systems, data compilations, and other information that are required for its products or its business as presently conducted. Neither the Company nor its subsidiaries is making unauthorized use of any confidential information or trade secrets of any person. The activities of any of the employees on behalf of the Company or of its subsidiaries do not violate any agreements or arrangements between such employees and third parties are related to confidential information or trade secrets of third parties or that restrict any such employee’s engagement in business activity of any nature. Each former and current employee or consultant of the Company or its subsidiaries is a party to a written contract with the Company or its subsidiaries that assigns to the Company or its subsidiaries, or has received an employee handbook that requires an employee to assign, all rights to all inventions, improvements, discoveries and information relating to the Company or its subsidiaries, except for any failure to so do as would not reasonably be expected to result in a Material Adverse Effect. All licenses or other agreements under which (i) the Company or its subsidiaries employs rights in Intellectual Property, or</w:t>
      </w:r>
    </w:p>
    <w:p>
      <w:pPr>
        <w:spacing w:after="0" w:line="11" w:lineRule="exact"/>
        <w:rPr>
          <w:rFonts w:ascii="Arial" w:cs="Arial" w:eastAsia="Arial" w:hAnsi="Arial"/>
          <w:sz w:val="16"/>
          <w:szCs w:val="16"/>
          <w:color w:val="auto"/>
        </w:rPr>
      </w:pPr>
    </w:p>
    <w:p>
      <w:pPr>
        <w:ind w:right="120" w:firstLine="8"/>
        <w:spacing w:after="0" w:line="255" w:lineRule="auto"/>
        <w:tabs>
          <w:tab w:leader="none" w:pos="26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Company or its subsidiaries has granted rights to others in Intellectual Property owned or licensed by the Company or its subsidiaries are in full force and effect, and there is no default (and there exists no condition which, with the passage of time or otherwise, would constitute a default by the Company or such subsidiary) by the Company or its subsidiaries with respect thereto.</w:t>
      </w:r>
    </w:p>
    <w:p>
      <w:pPr>
        <w:spacing w:after="0" w:line="12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10</w:t>
      </w:r>
    </w:p>
    <w:p>
      <w:pPr>
        <w:sectPr>
          <w:pgSz w:w="11900" w:h="16838" w:orient="portrait"/>
          <w:cols w:equalWidth="0" w:num="1">
            <w:col w:w="11420"/>
          </w:cols>
          <w:pgMar w:left="240" w:top="274" w:right="239" w:bottom="1440" w:gutter="0" w:footer="0" w:header="0"/>
        </w:sectPr>
      </w:pPr>
    </w:p>
    <w:bookmarkStart w:id="246" w:name="page247"/>
    <w:bookmarkEnd w:id="246"/>
    <w:p>
      <w:pPr>
        <w:ind w:right="120" w:firstLine="1492"/>
        <w:spacing w:after="0" w:line="264" w:lineRule="auto"/>
        <w:tabs>
          <w:tab w:leader="none" w:pos="1738" w:val="left"/>
        </w:tabs>
        <w:numPr>
          <w:ilvl w:val="0"/>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Marcum LLP, which expressed its opinion with respect to the consolidated financial statements contained in the Company SEC Documents, has advised the Company that it is or was, and to the knowledge of the Company it is or was, a registered independent public accounting firm as and when required by the Securities Act and the rules and regulations promulgated thereunder.</w:t>
      </w:r>
    </w:p>
    <w:p>
      <w:pPr>
        <w:spacing w:after="0" w:line="181" w:lineRule="exact"/>
        <w:rPr>
          <w:rFonts w:ascii="Arial" w:cs="Arial" w:eastAsia="Arial" w:hAnsi="Arial"/>
          <w:sz w:val="18"/>
          <w:szCs w:val="18"/>
          <w:color w:val="auto"/>
        </w:rPr>
      </w:pPr>
    </w:p>
    <w:p>
      <w:pPr>
        <w:ind w:right="260" w:firstLine="1492"/>
        <w:spacing w:after="0" w:line="259" w:lineRule="auto"/>
        <w:tabs>
          <w:tab w:leader="none" w:pos="173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Company has filed all necessary federal, state, local and foreign income and franchise tax returns and have paid or accrued all taxes shown as due thereon, and the Company has no knowledge of a tax deficiency which has been or might be asserted or threatened against it by any taxing jurisdiction, other than any deficiency which the Company is contesting in good faith and with respect to which adequate reserves for payment have been established.</w:t>
      </w:r>
    </w:p>
    <w:p>
      <w:pPr>
        <w:spacing w:after="0" w:line="186" w:lineRule="exact"/>
        <w:rPr>
          <w:rFonts w:ascii="Arial" w:cs="Arial" w:eastAsia="Arial" w:hAnsi="Arial"/>
          <w:sz w:val="18"/>
          <w:szCs w:val="18"/>
          <w:color w:val="auto"/>
        </w:rPr>
      </w:pPr>
    </w:p>
    <w:p>
      <w:pPr>
        <w:ind w:right="40" w:firstLine="1492"/>
        <w:spacing w:after="0" w:line="259" w:lineRule="auto"/>
        <w:tabs>
          <w:tab w:leader="none" w:pos="172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Company maintains and will continue to maintain insurance of the types and in the amounts that the Company reasonably believes are adequate for its business, including, but not limited to, insurance covering all real and personal property owned or leased by the Company against theft, damage, destruction, acts of vandalism and all other risks customarily insured against by similarly situated companies, all of which insurance is in full force and effect.</w:t>
      </w:r>
    </w:p>
    <w:p>
      <w:pPr>
        <w:spacing w:after="0" w:line="187" w:lineRule="exact"/>
        <w:rPr>
          <w:sz w:val="20"/>
          <w:szCs w:val="20"/>
          <w:color w:val="auto"/>
        </w:rPr>
      </w:pPr>
    </w:p>
    <w:p>
      <w:pPr>
        <w:ind w:right="80" w:firstLine="1492"/>
        <w:spacing w:after="0" w:line="286" w:lineRule="auto"/>
        <w:tabs>
          <w:tab w:leader="none" w:pos="180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On each Closing Date, all stock transfer or other taxes (other than income taxes) that are required to be paid in connection with the sale and transfer of the Securities and the Brokers Warrants will be, or will have been, fully paid or provided for by the Company and the Company will have complied with all laws imposing such taxes.</w:t>
      </w:r>
    </w:p>
    <w:p>
      <w:pPr>
        <w:spacing w:after="0" w:line="165" w:lineRule="exact"/>
        <w:rPr>
          <w:rFonts w:ascii="Arial" w:cs="Arial" w:eastAsia="Arial" w:hAnsi="Arial"/>
          <w:sz w:val="17"/>
          <w:szCs w:val="17"/>
          <w:color w:val="auto"/>
        </w:rPr>
      </w:pPr>
    </w:p>
    <w:p>
      <w:pPr>
        <w:ind w:right="100" w:firstLine="1492"/>
        <w:spacing w:after="0" w:line="264" w:lineRule="auto"/>
        <w:tabs>
          <w:tab w:leader="none" w:pos="182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Company (including its subsidiaries) is not an “investment company” or an “affiliated person” of, or “promoter” or “principal underwriter” for an investment company, within the meaning of the Investment Company Act of 1940 and will not be deemed an “investment company” as a result of the transactions contemplated by the Offering and the Warrant Exercise.</w:t>
      </w:r>
    </w:p>
    <w:p>
      <w:pPr>
        <w:spacing w:after="0" w:line="181" w:lineRule="exact"/>
        <w:rPr>
          <w:rFonts w:ascii="Arial" w:cs="Arial" w:eastAsia="Arial" w:hAnsi="Arial"/>
          <w:sz w:val="18"/>
          <w:szCs w:val="18"/>
          <w:color w:val="auto"/>
        </w:rPr>
      </w:pPr>
    </w:p>
    <w:p>
      <w:pPr>
        <w:ind w:right="780" w:firstLine="1492"/>
        <w:spacing w:after="0" w:line="277" w:lineRule="auto"/>
        <w:tabs>
          <w:tab w:leader="none" w:pos="180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books, records and accounts of the Company accurately and fairly reflect, in reasonable detail, the transactions in, and dispositions of, the assets of, and the operations of, the Company.</w:t>
      </w:r>
    </w:p>
    <w:p>
      <w:pPr>
        <w:spacing w:after="0" w:line="170" w:lineRule="exact"/>
        <w:rPr>
          <w:rFonts w:ascii="Arial" w:cs="Arial" w:eastAsia="Arial" w:hAnsi="Arial"/>
          <w:sz w:val="18"/>
          <w:szCs w:val="18"/>
          <w:color w:val="auto"/>
        </w:rPr>
      </w:pPr>
    </w:p>
    <w:p>
      <w:pPr>
        <w:ind w:right="200" w:firstLine="1492"/>
        <w:spacing w:after="0" w:line="264" w:lineRule="auto"/>
        <w:tabs>
          <w:tab w:leader="none" w:pos="182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Company’s report on its disclosure controls and procedures (as such term is defined in Rule 13a-15 under the Securities Exchange Act of 1934 (the “Exchange Act”), is set forth in its SEC Filings, including its most recent Quarterly Report on Form 10-Q and its Annual Report on Form 10-K for the year ended December 31, 2015.</w:t>
      </w:r>
    </w:p>
    <w:p>
      <w:pPr>
        <w:spacing w:after="0" w:line="181" w:lineRule="exact"/>
        <w:rPr>
          <w:rFonts w:ascii="Arial" w:cs="Arial" w:eastAsia="Arial" w:hAnsi="Arial"/>
          <w:sz w:val="18"/>
          <w:szCs w:val="18"/>
          <w:color w:val="auto"/>
        </w:rPr>
      </w:pPr>
    </w:p>
    <w:p>
      <w:pPr>
        <w:ind w:right="80" w:firstLine="1492"/>
        <w:spacing w:after="0" w:line="286" w:lineRule="auto"/>
        <w:tabs>
          <w:tab w:leader="none" w:pos="180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Neither the Company, nor any of its affiliates, nor any person acting on its or their behalf, has engaged or will engage in any form of general solicitation or general advertising (within the meaning of Regulation D promulgated under the Securities Act) in connection with the offer or sale of the Securities.</w:t>
      </w:r>
    </w:p>
    <w:p>
      <w:pPr>
        <w:spacing w:after="0" w:line="165" w:lineRule="exact"/>
        <w:rPr>
          <w:rFonts w:ascii="Arial" w:cs="Arial" w:eastAsia="Arial" w:hAnsi="Arial"/>
          <w:sz w:val="17"/>
          <w:szCs w:val="17"/>
          <w:color w:val="auto"/>
        </w:rPr>
      </w:pPr>
    </w:p>
    <w:p>
      <w:pPr>
        <w:ind w:right="200" w:firstLine="1492"/>
        <w:spacing w:after="0" w:line="264" w:lineRule="auto"/>
        <w:tabs>
          <w:tab w:leader="none" w:pos="176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any and all applicable requirements of the Sarbanes-Oxley Act of 2002 that are effective as of the date hereof, and any and all applicable rules and regulations promulgated by the SEC thereunder that are effective as of the date hereof.</w:t>
      </w:r>
    </w:p>
    <w:p>
      <w:pPr>
        <w:spacing w:after="0" w:line="181" w:lineRule="exact"/>
        <w:rPr>
          <w:rFonts w:ascii="Arial" w:cs="Arial" w:eastAsia="Arial" w:hAnsi="Arial"/>
          <w:sz w:val="18"/>
          <w:szCs w:val="18"/>
          <w:color w:val="auto"/>
        </w:rPr>
      </w:pPr>
    </w:p>
    <w:p>
      <w:pPr>
        <w:ind w:right="120" w:firstLine="1492"/>
        <w:spacing w:after="0" w:line="257" w:lineRule="auto"/>
        <w:tabs>
          <w:tab w:leader="none" w:pos="182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Company is not a party to any collective bargaining agreement or employs any member of a union. The Company believes that its relations with its employees are good. No executive officer of the Company (as defined in Rule 501(f) of Regulation D under the Securities Act) has notified the Company that such officer intends to leave the Company or otherwise terminate such officer’s employment with the Company. No executive officer of the Company, to the knowledge of the Company, is, or is now expected to be, in violation of any material term of any employment contract, confidentiality, disclosure or proprietary information agreement, non-competition agreement, or</w:t>
      </w:r>
    </w:p>
    <w:p>
      <w:pPr>
        <w:spacing w:after="0" w:line="121"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11</w:t>
      </w:r>
    </w:p>
    <w:p>
      <w:pPr>
        <w:sectPr>
          <w:pgSz w:w="11900" w:h="16838" w:orient="portrait"/>
          <w:cols w:equalWidth="0" w:num="1">
            <w:col w:w="11420"/>
          </w:cols>
          <w:pgMar w:left="240" w:top="274" w:right="239" w:bottom="1440" w:gutter="0" w:footer="0" w:header="0"/>
        </w:sectPr>
      </w:pPr>
    </w:p>
    <w:bookmarkStart w:id="247" w:name="page248"/>
    <w:bookmarkEnd w:id="247"/>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contract or agreement or any restrictive covenant, and the continued employment of each such executive officer does not subject the Company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Company Material Adverse Effect.</w:t>
      </w:r>
    </w:p>
    <w:p>
      <w:pPr>
        <w:spacing w:after="0" w:line="154" w:lineRule="exact"/>
        <w:rPr>
          <w:sz w:val="20"/>
          <w:szCs w:val="20"/>
          <w:color w:val="auto"/>
        </w:rPr>
      </w:pPr>
    </w:p>
    <w:p>
      <w:pPr>
        <w:ind w:right="20" w:firstLine="1492"/>
        <w:spacing w:after="0" w:line="272" w:lineRule="auto"/>
        <w:tabs>
          <w:tab w:leader="none" w:pos="1828" w:val="left"/>
        </w:tabs>
        <w:numPr>
          <w:ilvl w:val="1"/>
          <w:numId w:val="275"/>
        </w:numPr>
        <w:rPr>
          <w:rFonts w:ascii="Arial" w:cs="Arial" w:eastAsia="Arial" w:hAnsi="Arial"/>
          <w:sz w:val="17"/>
          <w:szCs w:val="17"/>
          <w:color w:val="auto"/>
        </w:rPr>
      </w:pPr>
      <w:r>
        <w:rPr>
          <w:rFonts w:ascii="Arial" w:cs="Arial" w:eastAsia="Arial" w:hAnsi="Arial"/>
          <w:sz w:val="17"/>
          <w:szCs w:val="17"/>
          <w:color w:val="auto"/>
        </w:rPr>
        <w:t>None of the Company, its subsidiaries or any executive officer of the Company (as defined in Rule 501(f) of Regulation D under the Securities Act) has taken and will not take any action designed to or that might reasonably be expected to cause or result in an unlawful manipulation of the price of the Common Stock to facilitate the sale or resale of the Securities or the Warrant Shares. The Company confirms that, to its knowledge, with the exception of the proposed sale of Securities and the proposed warrant modification transaction described in Schedule 4(c) to the Subscription Agreement, neither it nor any other person acting on its behalf has provided any of the potential investors or their agent or counsel with any information that constitutes or might constitute material, non-public information. The Company understands and confirms that the potential investors shall be relying on the foregoing representations in effecting transactions in securities of the Company.</w:t>
      </w:r>
    </w:p>
    <w:p>
      <w:pPr>
        <w:spacing w:after="0" w:line="177" w:lineRule="exact"/>
        <w:rPr>
          <w:rFonts w:ascii="Arial" w:cs="Arial" w:eastAsia="Arial" w:hAnsi="Arial"/>
          <w:sz w:val="17"/>
          <w:szCs w:val="17"/>
          <w:color w:val="auto"/>
        </w:rPr>
      </w:pPr>
    </w:p>
    <w:p>
      <w:pPr>
        <w:ind w:right="60" w:firstLine="1492"/>
        <w:spacing w:after="0" w:line="255" w:lineRule="auto"/>
        <w:tabs>
          <w:tab w:leader="none" w:pos="174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the laws of the jurisdiction of its formation which is or could become applicable to any potential investor as a result of the transactions contemplated by the Offering and the Warrant Exercise, including, without limitation, the Company’s issuance of the Securities and any potential investor’s ownership of the Securities. The Company has not adopted a stockholder rights plan or similar arrangement relating to accumulations of beneficial ownership of its capital stock or a change in control of the Company.</w:t>
      </w:r>
    </w:p>
    <w:p>
      <w:pPr>
        <w:spacing w:after="0" w:line="193" w:lineRule="exact"/>
        <w:rPr>
          <w:rFonts w:ascii="Arial" w:cs="Arial" w:eastAsia="Arial" w:hAnsi="Arial"/>
          <w:sz w:val="18"/>
          <w:szCs w:val="18"/>
          <w:color w:val="auto"/>
        </w:rPr>
      </w:pPr>
    </w:p>
    <w:p>
      <w:pPr>
        <w:ind w:right="680" w:firstLine="1492"/>
        <w:spacing w:after="0" w:line="277" w:lineRule="auto"/>
        <w:tabs>
          <w:tab w:leader="none" w:pos="174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Company acknowledges that the Agents, any sub agents, legal counsel to the Company and/or their respective affiliates, principals, representatives or employees may now or hereafter own shares of the Company.</w:t>
      </w:r>
    </w:p>
    <w:p>
      <w:pPr>
        <w:spacing w:after="0" w:line="166" w:lineRule="exact"/>
        <w:rPr>
          <w:rFonts w:ascii="Arial" w:cs="Arial" w:eastAsia="Arial" w:hAnsi="Arial"/>
          <w:sz w:val="18"/>
          <w:szCs w:val="18"/>
          <w:color w:val="auto"/>
        </w:rPr>
      </w:pPr>
    </w:p>
    <w:p>
      <w:pPr>
        <w:ind w:left="1140" w:hanging="219"/>
        <w:spacing w:after="0"/>
        <w:tabs>
          <w:tab w:leader="none" w:pos="11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Covenants of Agents.</w:t>
      </w:r>
    </w:p>
    <w:p>
      <w:pPr>
        <w:spacing w:after="0" w:line="225" w:lineRule="exact"/>
        <w:rPr>
          <w:sz w:val="20"/>
          <w:szCs w:val="20"/>
          <w:color w:val="auto"/>
        </w:rPr>
      </w:pPr>
    </w:p>
    <w:p>
      <w:pPr>
        <w:ind w:right="520" w:firstLine="921"/>
        <w:spacing w:after="0" w:line="282" w:lineRule="auto"/>
        <w:tabs>
          <w:tab w:leader="none" w:pos="1093"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Warranties and Covenants of Katalyst. </w:t>
      </w:r>
      <w:r>
        <w:rPr>
          <w:rFonts w:ascii="Arial" w:cs="Arial" w:eastAsia="Arial" w:hAnsi="Arial"/>
          <w:sz w:val="18"/>
          <w:szCs w:val="18"/>
          <w:color w:val="auto"/>
        </w:rPr>
        <w:t>Katalyst</w:t>
      </w:r>
      <w:r>
        <w:rPr>
          <w:rFonts w:ascii="Arial" w:cs="Arial" w:eastAsia="Arial" w:hAnsi="Arial"/>
          <w:sz w:val="18"/>
          <w:szCs w:val="18"/>
          <w:b w:val="1"/>
          <w:bCs w:val="1"/>
          <w:color w:val="auto"/>
        </w:rPr>
        <w:t xml:space="preserve"> hereby </w:t>
      </w:r>
      <w:r>
        <w:rPr>
          <w:rFonts w:ascii="Arial" w:cs="Arial" w:eastAsia="Arial" w:hAnsi="Arial"/>
          <w:sz w:val="18"/>
          <w:szCs w:val="18"/>
          <w:color w:val="auto"/>
        </w:rPr>
        <w:t>represents and warrants to the Company that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are true and correct as of the date of this Agreement:</w:t>
      </w:r>
    </w:p>
    <w:p>
      <w:pPr>
        <w:spacing w:after="0" w:line="165" w:lineRule="exact"/>
        <w:rPr>
          <w:rFonts w:ascii="Arial" w:cs="Arial" w:eastAsia="Arial" w:hAnsi="Arial"/>
          <w:sz w:val="18"/>
          <w:szCs w:val="18"/>
          <w:color w:val="auto"/>
        </w:rPr>
      </w:pPr>
    </w:p>
    <w:p>
      <w:pPr>
        <w:ind w:right="140" w:firstLine="1492"/>
        <w:spacing w:after="0" w:line="257" w:lineRule="auto"/>
        <w:tabs>
          <w:tab w:leader="none" w:pos="172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Katalyst represents that neither it, nor to its knowledge any of its Sub-Agents or any of its or their respective directors, executive officers, general partners, managing members or other officers participating in the Offering (each, a “Katalyst Covered Person” and, together, “Katalyst Covered Persons”), is or will be subject to any of the “Bad Actor” disqualifications described in Rule 506(d)(1)(i) to (viii) under the Securities Act (a </w:t>
      </w:r>
      <w:r>
        <w:rPr>
          <w:rFonts w:ascii="Arial" w:cs="Arial" w:eastAsia="Arial" w:hAnsi="Arial"/>
          <w:sz w:val="18"/>
          <w:szCs w:val="18"/>
          <w:b w:val="1"/>
          <w:bCs w:val="1"/>
          <w:color w:val="auto"/>
        </w:rPr>
        <w:t>“</w:t>
      </w:r>
      <w:r>
        <w:rPr>
          <w:rFonts w:ascii="Arial" w:cs="Arial" w:eastAsia="Arial" w:hAnsi="Arial"/>
          <w:sz w:val="18"/>
          <w:szCs w:val="18"/>
          <w:color w:val="auto"/>
        </w:rPr>
        <w:t>Disqualification Event”) or has or will have been involved in any matter which would be a Disqualification Event except for the fact that it occurred before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23, 2013.</w:t>
      </w:r>
    </w:p>
    <w:p>
      <w:pPr>
        <w:spacing w:after="0" w:line="188" w:lineRule="exact"/>
        <w:rPr>
          <w:rFonts w:ascii="Arial" w:cs="Arial" w:eastAsia="Arial" w:hAnsi="Arial"/>
          <w:sz w:val="18"/>
          <w:szCs w:val="18"/>
          <w:color w:val="auto"/>
        </w:rPr>
      </w:pPr>
    </w:p>
    <w:p>
      <w:pPr>
        <w:ind w:right="440" w:firstLine="1492"/>
        <w:spacing w:after="0" w:line="277" w:lineRule="auto"/>
        <w:tabs>
          <w:tab w:leader="none" w:pos="173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Katalyst will notify the Company promptly in writing of any Disqualification Event relating to any Katalyst Covered Person not previously disclosed to the Company in accordance with the prior section.</w:t>
      </w:r>
    </w:p>
    <w:p>
      <w:pPr>
        <w:spacing w:after="0" w:line="10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12</w:t>
      </w:r>
    </w:p>
    <w:p>
      <w:pPr>
        <w:sectPr>
          <w:pgSz w:w="11900" w:h="16838" w:orient="portrait"/>
          <w:cols w:equalWidth="0" w:num="1">
            <w:col w:w="11420"/>
          </w:cols>
          <w:pgMar w:left="240" w:top="274" w:right="239" w:bottom="1440" w:gutter="0" w:footer="0" w:header="0"/>
        </w:sectPr>
      </w:pPr>
    </w:p>
    <w:bookmarkStart w:id="248" w:name="page249"/>
    <w:bookmarkEnd w:id="248"/>
    <w:p>
      <w:pPr>
        <w:ind w:right="1060" w:firstLine="921"/>
        <w:spacing w:after="0" w:line="282" w:lineRule="auto"/>
        <w:tabs>
          <w:tab w:leader="none" w:pos="1093" w:val="left"/>
        </w:tabs>
        <w:numPr>
          <w:ilvl w:val="1"/>
          <w:numId w:val="27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Representations, Warranties and Covenants of GPN. </w:t>
      </w:r>
      <w:r>
        <w:rPr>
          <w:rFonts w:ascii="Arial" w:cs="Arial" w:eastAsia="Arial" w:hAnsi="Arial"/>
          <w:sz w:val="18"/>
          <w:szCs w:val="18"/>
          <w:color w:val="auto"/>
        </w:rPr>
        <w:t>GPN hereby represents and warrants to the Company that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are true and correct as of the date of this Agreement:</w:t>
      </w:r>
    </w:p>
    <w:p>
      <w:pPr>
        <w:spacing w:after="0" w:line="165" w:lineRule="exact"/>
        <w:rPr>
          <w:rFonts w:ascii="Arial" w:cs="Arial" w:eastAsia="Arial" w:hAnsi="Arial"/>
          <w:sz w:val="18"/>
          <w:szCs w:val="18"/>
          <w:color w:val="auto"/>
        </w:rPr>
      </w:pPr>
    </w:p>
    <w:p>
      <w:pPr>
        <w:ind w:right="40" w:firstLine="1492"/>
        <w:spacing w:after="0" w:line="279" w:lineRule="auto"/>
        <w:tabs>
          <w:tab w:leader="none" w:pos="1728" w:val="left"/>
        </w:tabs>
        <w:numPr>
          <w:ilvl w:val="2"/>
          <w:numId w:val="278"/>
        </w:numPr>
        <w:rPr>
          <w:rFonts w:ascii="Arial" w:cs="Arial" w:eastAsia="Arial" w:hAnsi="Arial"/>
          <w:sz w:val="17"/>
          <w:szCs w:val="17"/>
          <w:color w:val="auto"/>
        </w:rPr>
      </w:pPr>
      <w:r>
        <w:rPr>
          <w:rFonts w:ascii="Arial" w:cs="Arial" w:eastAsia="Arial" w:hAnsi="Arial"/>
          <w:sz w:val="17"/>
          <w:szCs w:val="17"/>
          <w:color w:val="auto"/>
        </w:rPr>
        <w:t xml:space="preserve">GPN represents that neither it, nor to its knowledge any of its respective directors, executive officers, general partners, managing members or other officers participating in the Offering (each, a “GPN Covered Person” and, together, “GPN Covered Persons”), is or will be subject to any of the “Bad Actor” disqualifications described in Rule 506(d)(1)(i) to (viii) under the Securities Act (a </w:t>
      </w:r>
      <w:r>
        <w:rPr>
          <w:rFonts w:ascii="Arial" w:cs="Arial" w:eastAsia="Arial" w:hAnsi="Arial"/>
          <w:sz w:val="17"/>
          <w:szCs w:val="17"/>
          <w:b w:val="1"/>
          <w:bCs w:val="1"/>
          <w:color w:val="auto"/>
        </w:rPr>
        <w:t>“</w:t>
      </w:r>
      <w:r>
        <w:rPr>
          <w:rFonts w:ascii="Arial" w:cs="Arial" w:eastAsia="Arial" w:hAnsi="Arial"/>
          <w:sz w:val="17"/>
          <w:szCs w:val="17"/>
          <w:color w:val="auto"/>
        </w:rPr>
        <w:t>Disqualification Event”) or has or will have been involved in any matter which would be a Disqualification Event except for the fact that it occurred before September 23, 2013.</w:t>
      </w:r>
    </w:p>
    <w:p>
      <w:pPr>
        <w:spacing w:after="0" w:line="171" w:lineRule="exact"/>
        <w:rPr>
          <w:rFonts w:ascii="Arial" w:cs="Arial" w:eastAsia="Arial" w:hAnsi="Arial"/>
          <w:sz w:val="17"/>
          <w:szCs w:val="17"/>
          <w:color w:val="auto"/>
        </w:rPr>
      </w:pPr>
    </w:p>
    <w:p>
      <w:pPr>
        <w:ind w:right="120" w:firstLine="1492"/>
        <w:spacing w:after="0" w:line="277" w:lineRule="auto"/>
        <w:tabs>
          <w:tab w:leader="none" w:pos="1738" w:val="left"/>
        </w:tabs>
        <w:numPr>
          <w:ilvl w:val="2"/>
          <w:numId w:val="278"/>
        </w:numPr>
        <w:rPr>
          <w:rFonts w:ascii="Arial" w:cs="Arial" w:eastAsia="Arial" w:hAnsi="Arial"/>
          <w:sz w:val="18"/>
          <w:szCs w:val="18"/>
          <w:color w:val="auto"/>
        </w:rPr>
      </w:pPr>
      <w:r>
        <w:rPr>
          <w:rFonts w:ascii="Arial" w:cs="Arial" w:eastAsia="Arial" w:hAnsi="Arial"/>
          <w:sz w:val="18"/>
          <w:szCs w:val="18"/>
          <w:color w:val="auto"/>
        </w:rPr>
        <w:t>GPN will notify the Company promptly in writing of any Disqualification Event relating to any GPN Covered Person not previously disclosed to the Company in accordance with the prior section.</w:t>
      </w:r>
    </w:p>
    <w:p>
      <w:pPr>
        <w:spacing w:after="0" w:line="166" w:lineRule="exact"/>
        <w:rPr>
          <w:rFonts w:ascii="Arial" w:cs="Arial" w:eastAsia="Arial" w:hAnsi="Arial"/>
          <w:sz w:val="18"/>
          <w:szCs w:val="18"/>
          <w:color w:val="auto"/>
        </w:rPr>
      </w:pPr>
    </w:p>
    <w:p>
      <w:pPr>
        <w:ind w:left="640" w:hanging="176"/>
        <w:spacing w:after="0"/>
        <w:tabs>
          <w:tab w:leader="none" w:pos="6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Agents Compensation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Katalyst Compensation</w:t>
      </w:r>
    </w:p>
    <w:p>
      <w:pPr>
        <w:spacing w:after="0" w:line="229" w:lineRule="exact"/>
        <w:rPr>
          <w:sz w:val="20"/>
          <w:szCs w:val="20"/>
          <w:color w:val="auto"/>
        </w:rPr>
      </w:pPr>
    </w:p>
    <w:p>
      <w:pPr>
        <w:ind w:right="60" w:firstLine="921"/>
        <w:spacing w:after="0" w:line="259" w:lineRule="auto"/>
        <w:tabs>
          <w:tab w:leader="none" w:pos="115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connection with the Offering, the Company will pay a cash fee (the “Katalyst Cash Fee”) to Katalyst at each Closing equal to Ten Percent (10%) of each Closing’s gross proceeds from any sale of Securities in the Offering during the Term to investors first contacted by Katalyst in connection with the Offering. The Katalyst Cash Fee shall be paid to Katalyst in cash by wire transfer from the escrow account established for the Offering, and as a condition to closing, simultaneous with the distribution of funds to the Company.</w:t>
      </w:r>
    </w:p>
    <w:p>
      <w:pPr>
        <w:spacing w:after="0" w:line="187" w:lineRule="exact"/>
        <w:rPr>
          <w:sz w:val="20"/>
          <w:szCs w:val="20"/>
          <w:color w:val="auto"/>
        </w:rPr>
      </w:pPr>
    </w:p>
    <w:p>
      <w:pPr>
        <w:ind w:right="100" w:firstLine="921"/>
        <w:spacing w:after="0" w:line="273" w:lineRule="auto"/>
        <w:tabs>
          <w:tab w:leader="none" w:pos="1108"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Also, at each Closing, the Company will deliver to Katalyst (or its designees), warrants to purchase shares of the Company’s Common Stock, substantially in the form of </w:t>
      </w:r>
      <w:r>
        <w:rPr>
          <w:rFonts w:ascii="Arial" w:cs="Arial" w:eastAsia="Arial" w:hAnsi="Arial"/>
          <w:sz w:val="17"/>
          <w:szCs w:val="17"/>
          <w:u w:val="single" w:color="auto"/>
          <w:color w:val="auto"/>
        </w:rPr>
        <w:t>Attachment I</w:t>
      </w:r>
      <w:r>
        <w:rPr>
          <w:rFonts w:ascii="Arial" w:cs="Arial" w:eastAsia="Arial" w:hAnsi="Arial"/>
          <w:sz w:val="17"/>
          <w:szCs w:val="17"/>
          <w:color w:val="auto"/>
        </w:rPr>
        <w:t>, equal, in the aggregate, to Ten Percent (10%) of the number of Securities sold in the Offering on which Katalyst receives compensation pursuant to Section 3(a), which warrants shall have a term of five years and an initial exercise price equal to the price per share of the Securities (the “Brokers Warrants”). To the extent permitted by applicable laws, all warrants shall permit unencumbered transfer to Katalyst’s employees and affiliates and the warrants may be issued directly to Katalyst’s employees and affiliates at Katalyst’s request. The Katalyst Cash Fee and the Broker Warrants are sometimes referred to collectively as the “Katalyst Broker Compensation”.</w:t>
      </w:r>
    </w:p>
    <w:p>
      <w:pPr>
        <w:spacing w:after="0" w:line="178" w:lineRule="exact"/>
        <w:rPr>
          <w:sz w:val="20"/>
          <w:szCs w:val="20"/>
          <w:color w:val="auto"/>
        </w:rPr>
      </w:pPr>
    </w:p>
    <w:p>
      <w:pPr>
        <w:jc w:val="both"/>
        <w:ind w:right="320" w:firstLine="921"/>
        <w:spacing w:after="0" w:line="312" w:lineRule="auto"/>
        <w:tabs>
          <w:tab w:leader="none" w:pos="1158"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To the extent there is more than one Closing, payment of the proportional amount of the Katalyst Cash Fees will be made out of the gross proceeds from any sale of Securities sold at each Closing and the Company will issue to Katalyst the corresponding number of Brokers Warrants. All cash compensation and warrants under this Agreement shall be paid directly by the Company to and in the name provided to the Company by Katalyst.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GPN Compensation.</w:t>
      </w:r>
    </w:p>
    <w:p>
      <w:pPr>
        <w:spacing w:after="0" w:line="229" w:lineRule="exact"/>
        <w:rPr>
          <w:sz w:val="20"/>
          <w:szCs w:val="20"/>
          <w:color w:val="auto"/>
        </w:rPr>
      </w:pPr>
    </w:p>
    <w:p>
      <w:pPr>
        <w:jc w:val="both"/>
        <w:ind w:right="140" w:firstLine="921"/>
        <w:spacing w:after="0" w:line="279" w:lineRule="auto"/>
        <w:tabs>
          <w:tab w:leader="none" w:pos="1158"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In connection with the Offering, the Company will pay a cash fee (the “GPN Offering Fee”) to GPN at each Closing equal to Seven Percent (7%) of each Closing’s gross proceeds from any sale of Securities in the Offering during the Term to investors first contacted by GPN in connection with the Offering. The GPN Offering Fee shall be paid to GPN in cash by wire transfer from the escrow account established for the Offering, and as a condition to closing, simultaneous with the distribution of funds to the Company. GPN shall not be entitled to any Broker Warrants.</w:t>
      </w:r>
    </w:p>
    <w:p>
      <w:pPr>
        <w:spacing w:after="0" w:line="171" w:lineRule="exact"/>
        <w:rPr>
          <w:rFonts w:ascii="Arial" w:cs="Arial" w:eastAsia="Arial" w:hAnsi="Arial"/>
          <w:sz w:val="17"/>
          <w:szCs w:val="17"/>
          <w:color w:val="auto"/>
        </w:rPr>
      </w:pPr>
    </w:p>
    <w:p>
      <w:pPr>
        <w:jc w:val="both"/>
        <w:ind w:right="40" w:firstLine="921"/>
        <w:spacing w:after="0" w:line="279" w:lineRule="auto"/>
        <w:tabs>
          <w:tab w:leader="none" w:pos="1168"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In Connection with the Warrant Exercise, the Company will pay a cash fee (the “GPN Cash Fee”) to GPN equal to Seven Percent (7%) of the exercise price of each Series C Warrant exercised pursuant to the Warrant Exercise. The GPN Cash Fee shall be paid to GPN in cash by wire transfer from the Company within one Business Day of each such exercise. GPN shall not be entitled to any Broker Warrants in connection with the Warrant Exercise. No fee is due to GPN in connection with the exercise of the Series C-1 Warrants exercised pursuant to the Warrant Exercise.</w:t>
      </w:r>
    </w:p>
    <w:p>
      <w:pPr>
        <w:spacing w:after="0" w:line="104"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13</w:t>
      </w:r>
    </w:p>
    <w:p>
      <w:pPr>
        <w:sectPr>
          <w:pgSz w:w="11900" w:h="16838" w:orient="portrait"/>
          <w:cols w:equalWidth="0" w:num="1">
            <w:col w:w="11420"/>
          </w:cols>
          <w:pgMar w:left="240" w:top="270" w:right="239" w:bottom="1440" w:gutter="0" w:footer="0" w:header="0"/>
        </w:sectPr>
      </w:pPr>
    </w:p>
    <w:bookmarkStart w:id="249" w:name="page250"/>
    <w:bookmarkEnd w:id="249"/>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Tail Compensation</w:t>
      </w:r>
    </w:p>
    <w:p>
      <w:pPr>
        <w:spacing w:after="0" w:line="229"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Provided that an Offering is consummated during the Offering Period, Katalyst shall be entitled to the Katalyst Cash Fee and Brokers Warrants calculated in the manner provide in Section 3A above and GNP shall be entitled to the GNP Cash Fee as calculated in the manner provided in Section 3B above with respect to any subsequent public or private offering or other financing or capital-raising transaction of any kind (“Subsequent Financing”) to the extent that such financing or capital is provided the Company, or to any Affiliate of the Company, by investors whom the respective Agents had “introduced” (as defined below), directly or indirectly, to the Company during the Offering Period if such Subsequent Financing is consummated at any time within the twelve (12) month period following the earlier of expiration or termination of this Agreement or the closing of the Offering, if an Offering is consummated (the “Tail Period”). A party “introduced” by the respective Agent shall mean an investor who either (i) participated in the Offering, (ii) met with the Company and/or had a conversation with the Company either in person or via telephone regarding the Offering or (iii) was provided by the Agents with a copy of the Company’s offering memorandum (or other materials prepared and/or approved by the Company in connection with the Offering) (in each case of (i) – (iii), based upon such investor expressing an interest, directly or indirectly, to the Agents in investing in the Offering). An “Affiliate” of an entity shall mean any individual or entity controlling, controlled by or under common control with such entity and any officer, director, employee, stockholder, partner, member or agent of such entity.</w:t>
      </w:r>
    </w:p>
    <w:p>
      <w:pPr>
        <w:spacing w:after="0" w:line="176" w:lineRule="exact"/>
        <w:rPr>
          <w:sz w:val="20"/>
          <w:szCs w:val="20"/>
          <w:color w:val="auto"/>
        </w:rPr>
      </w:pPr>
    </w:p>
    <w:p>
      <w:pPr>
        <w:ind w:left="640" w:hanging="176"/>
        <w:spacing w:after="0"/>
        <w:tabs>
          <w:tab w:leader="none" w:pos="64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Subscription and Closing Procedures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20" w:firstLine="921"/>
        <w:spacing w:after="0" w:line="291" w:lineRule="auto"/>
        <w:tabs>
          <w:tab w:leader="none" w:pos="115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The Company shall make available to the Agents and their representatives such information, including, but not limited to, financial information, and other information regarding the Company (the “Information”), as may be reasonably requested in making a reasonable investigation of the Company and its affairs. The Company shall provide access to the officers, directors, employees, independent accountants, legal counsel and other advisors and consultants of the Company as shall be reasonably requested by the Agents. The Company recognizes and agrees that the Agents (i) will use and rely primarily on the Information and generally available information from recognized public sources in performing the services contemplated by this Agreement without independently verifying the Information or such other information, (ii) does not assume responsibility for the accuracy of the Information or such other information, and (iii) will not make an appraisal of any assets or liabilities owned or controlled by the Company or its market competitors.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Offering</w:t>
      </w:r>
    </w:p>
    <w:p>
      <w:pPr>
        <w:spacing w:after="0" w:line="225" w:lineRule="exact"/>
        <w:rPr>
          <w:sz w:val="20"/>
          <w:szCs w:val="20"/>
          <w:color w:val="auto"/>
        </w:rPr>
      </w:pPr>
    </w:p>
    <w:p>
      <w:pPr>
        <w:ind w:right="80" w:firstLine="921"/>
        <w:spacing w:after="0" w:line="255" w:lineRule="auto"/>
        <w:tabs>
          <w:tab w:leader="none" w:pos="116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Company shall cause to be delivered to the Agents copies of the Subscription Documents and has consented, and hereby consents, to the use of such copies for the purposes permitted by the Act and applicable securities laws and in accordance with the terms and conditions of this Agreement, and hereby authorizes the Agents and their agents and employees to use the Subscription Documents in connection with the sale of the Securities until the earlier of (i) the Termination Date or (ii) the Final Closing, and no person or entity is or will be authorized to give any information or make any representations other than those contained in the Subscription Documents or to use any offering materials other than those contained in the Subscription Documents in connection with the sale of the Securities, unless the Company first provides the Agents with notification of such information, representations or offering materials.</w:t>
      </w:r>
    </w:p>
    <w:p>
      <w:pPr>
        <w:spacing w:after="0" w:line="189" w:lineRule="exact"/>
        <w:rPr>
          <w:rFonts w:ascii="Arial" w:cs="Arial" w:eastAsia="Arial" w:hAnsi="Arial"/>
          <w:sz w:val="18"/>
          <w:szCs w:val="18"/>
          <w:color w:val="auto"/>
        </w:rPr>
      </w:pPr>
    </w:p>
    <w:p>
      <w:pPr>
        <w:ind w:right="260" w:firstLine="921"/>
        <w:spacing w:after="0" w:line="264" w:lineRule="auto"/>
        <w:tabs>
          <w:tab w:leader="none" w:pos="115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Each prospective purchaser in the Offering will be required to complete and execute the Subscription Documents, Anti-Money Laundering Form, Accredited Investor Certification and other documents which will be forwarded or delivered to the respective Agent at that respective Placement Agent’s offices at the address set forth in Section 12 hereof or to an address identified in the Subscription Documents.</w:t>
      </w:r>
    </w:p>
    <w:p>
      <w:pPr>
        <w:spacing w:after="0" w:line="181" w:lineRule="exact"/>
        <w:rPr>
          <w:rFonts w:ascii="Arial" w:cs="Arial" w:eastAsia="Arial" w:hAnsi="Arial"/>
          <w:sz w:val="18"/>
          <w:szCs w:val="18"/>
          <w:color w:val="auto"/>
        </w:rPr>
      </w:pPr>
    </w:p>
    <w:p>
      <w:pPr>
        <w:ind w:right="100" w:firstLine="921"/>
        <w:spacing w:after="0" w:line="342" w:lineRule="auto"/>
        <w:tabs>
          <w:tab w:leader="none" w:pos="116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Simultaneously with the delivery to the Agents of the Subscription Documents, the subscriber’s check or other good funds will be forwarded directly by the subscriber to the escrow agent and deposited into a non interest bearing escrow account (the “Escrow Account”) established for</w:t>
      </w:r>
    </w:p>
    <w:p>
      <w:pPr>
        <w:spacing w:after="0" w:line="56"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14</w:t>
      </w:r>
    </w:p>
    <w:p>
      <w:pPr>
        <w:sectPr>
          <w:pgSz w:w="11900" w:h="16838" w:orient="portrait"/>
          <w:cols w:equalWidth="0" w:num="1">
            <w:col w:w="11420"/>
          </w:cols>
          <w:pgMar w:left="240" w:top="270" w:right="239" w:bottom="1440" w:gutter="0" w:footer="0" w:header="0"/>
        </w:sectPr>
      </w:pPr>
    </w:p>
    <w:bookmarkStart w:id="250" w:name="page251"/>
    <w:bookmarkEnd w:id="250"/>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purpose (the “Escrow Agent”). All such funds for subscriptions will be held in the Escrow Account pursuant to the terms of an escrow agreement among the Company, Katalyst, GPN and the Escrow Agent. The Company will pay all fees related to the establishment and maintenance of the Escrow Account. Subject to the receipt of subscriptions for the amount for Closing, the Company will either accept or reject, for any or no reason, the Subscription Documents in a timely fashion and at each Closing will countersign the Subscription Documents and provide duplicate copies of such documents to the Agents for distribution to the subscribers. The Company will give notice to the respective Agent of its acceptance of each subscription. The Company, or the respective Agent on the Company’s behalf, will promptly return to subscribers incomplete, improperly completed, improperly executed and rejected subscriptions and give written notice thereof to the respective Agent upon such return.</w:t>
      </w:r>
    </w:p>
    <w:p>
      <w:pPr>
        <w:spacing w:after="0" w:line="178" w:lineRule="exact"/>
        <w:rPr>
          <w:sz w:val="20"/>
          <w:szCs w:val="20"/>
          <w:color w:val="auto"/>
        </w:rPr>
      </w:pPr>
    </w:p>
    <w:p>
      <w:pPr>
        <w:ind w:firstLine="921"/>
        <w:spacing w:after="0" w:line="268" w:lineRule="auto"/>
        <w:tabs>
          <w:tab w:leader="none" w:pos="115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If subscriptions for at least the Minimum Offering Amount for Closing have been accepted prior to the Termination Date, the funds therefor have been collected by the Escrow Agent and all of the conditions set forth elsewhere in this Agreement are fulfilled, a closing shall be held promptly with respect to the Securities sold (the “First Closing”). Thereafter, the remaining Securities will continue to be offered and sold until the earlier of the Termination Date or the date that additional subscription amounts up to the Maximum Offering amount have been collected by the Escrow Agent. Additional Closings (each a “Closing”, collectively “Closings”) may from time to time be conducted at times mutually agreed to between the Company and the Agents with respect to additional Securities sold, with the final closing (“Final Closing”) to occur within 10 days after the earlier of the Termination Date and the date on which the Maximum Amount has been subscribed for. Delivery of payment for the accepted subscriptions for the Securities from the funds held in the Escrow Account will be made at each Closing at Katalyst’s offices against delivery of the Securities by the Company at the address set forth in Section 12 hereof (or at such other place as may be mutually agreed upon between the Company and the Placement Agent), net of amounts agreed upon by the parties herein, including, the Blue Sky counsel as of such Closing. Executed certificates for the Shares and the Warrants will be in such authorized denominations and registered in such names as the Agents may request on or before the date of each Closing (“Closing Date”). The certificates will be forwarded to the subscriber directly by the stock transfer agent as soon as practicable following each Closing. At each Closing, the Company will (i) deliver irrevocable issuance instruction to its stock transfer agent for the issuance of certificates representing the Shares being sold, and (ii) issue and deliver the applicable Warrants.</w:t>
      </w:r>
    </w:p>
    <w:p>
      <w:pPr>
        <w:spacing w:after="0" w:line="185" w:lineRule="exact"/>
        <w:rPr>
          <w:rFonts w:ascii="Arial" w:cs="Arial" w:eastAsia="Arial" w:hAnsi="Arial"/>
          <w:sz w:val="17"/>
          <w:szCs w:val="17"/>
          <w:color w:val="auto"/>
        </w:rPr>
      </w:pPr>
    </w:p>
    <w:p>
      <w:pPr>
        <w:jc w:val="both"/>
        <w:ind w:right="20" w:firstLine="921"/>
        <w:spacing w:after="0" w:line="312" w:lineRule="auto"/>
        <w:tabs>
          <w:tab w:leader="none" w:pos="113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If Subscription Documents for the Minimum Offering Amount for Closing have not been received and accepted by the Company on or before the Termination Date for any reason, the Offering will be terminated, no Securities will be sold, and the Escrow Agent will, at the request of the Agents, cause all monies received from subscribers for the Securities to be promptly returned to such subscribers without interest, penalty, expense or deduction.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Warrant Exercise</w:t>
      </w:r>
    </w:p>
    <w:p>
      <w:pPr>
        <w:spacing w:after="0" w:line="225" w:lineRule="exact"/>
        <w:rPr>
          <w:sz w:val="20"/>
          <w:szCs w:val="20"/>
          <w:color w:val="auto"/>
        </w:rPr>
      </w:pPr>
    </w:p>
    <w:p>
      <w:pPr>
        <w:ind w:right="100" w:firstLine="921"/>
        <w:spacing w:after="0" w:line="302" w:lineRule="auto"/>
        <w:tabs>
          <w:tab w:leader="none" w:pos="116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The Company shall cause to be delivered to GPN copies of (i) the notices of exercise of the Series C warrants being exercised in the Warrant Exercise, (ii) copies of the Series C warrants being exercised in the Warrant Exercise, (iii) proof of payment in connection with the Series C warrants being exercised in the Warrant Exercise, (iv) copies of instructions to the Company’s Transfer Agent for the issuance of shares of common stock underlying the Series C warrants in the Warrant Exercise and (iv) any opinions issued in connection with the Series B warrants being exercised in the Warrant Exercise.</w:t>
      </w:r>
    </w:p>
    <w:p>
      <w:pPr>
        <w:spacing w:after="0" w:line="150" w:lineRule="exact"/>
        <w:rPr>
          <w:rFonts w:ascii="Arial" w:cs="Arial" w:eastAsia="Arial" w:hAnsi="Arial"/>
          <w:sz w:val="16"/>
          <w:szCs w:val="16"/>
          <w:color w:val="auto"/>
        </w:rPr>
      </w:pPr>
    </w:p>
    <w:p>
      <w:pPr>
        <w:ind w:left="640" w:hanging="176"/>
        <w:spacing w:after="0"/>
        <w:tabs>
          <w:tab w:leader="none" w:pos="64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Covenants</w:t>
      </w:r>
      <w:r>
        <w:rPr>
          <w:rFonts w:ascii="Arial" w:cs="Arial" w:eastAsia="Arial" w:hAnsi="Arial"/>
          <w:sz w:val="18"/>
          <w:szCs w:val="18"/>
          <w:color w:val="auto"/>
        </w:rPr>
        <w:t>. The Company hereby covenants and agrees that:</w:t>
      </w:r>
    </w:p>
    <w:p>
      <w:pPr>
        <w:spacing w:after="0" w:line="229" w:lineRule="exact"/>
        <w:rPr>
          <w:rFonts w:ascii="Arial" w:cs="Arial" w:eastAsia="Arial" w:hAnsi="Arial"/>
          <w:sz w:val="18"/>
          <w:szCs w:val="18"/>
          <w:b w:val="1"/>
          <w:bCs w:val="1"/>
          <w:color w:val="auto"/>
        </w:rPr>
      </w:pPr>
    </w:p>
    <w:p>
      <w:pPr>
        <w:ind w:right="440" w:firstLine="921"/>
        <w:spacing w:after="0" w:line="277" w:lineRule="auto"/>
        <w:tabs>
          <w:tab w:leader="none" w:pos="1158" w:val="left"/>
        </w:tabs>
        <w:numPr>
          <w:ilvl w:val="1"/>
          <w:numId w:val="288"/>
        </w:numPr>
        <w:rPr>
          <w:rFonts w:ascii="Arial" w:cs="Arial" w:eastAsia="Arial" w:hAnsi="Arial"/>
          <w:sz w:val="18"/>
          <w:szCs w:val="18"/>
          <w:color w:val="auto"/>
        </w:rPr>
      </w:pPr>
      <w:r>
        <w:rPr>
          <w:rFonts w:ascii="Arial" w:cs="Arial" w:eastAsia="Arial" w:hAnsi="Arial"/>
          <w:sz w:val="18"/>
          <w:szCs w:val="18"/>
          <w:color w:val="auto"/>
        </w:rPr>
        <w:t>Except upon prior written notice to the Agents, the Company shall not, at any time prior to the Final Closing, knowingly take any action which would cause any of the representations</w:t>
      </w:r>
    </w:p>
    <w:p>
      <w:pPr>
        <w:spacing w:after="0" w:line="10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15</w:t>
      </w:r>
    </w:p>
    <w:p>
      <w:pPr>
        <w:sectPr>
          <w:pgSz w:w="11900" w:h="16838" w:orient="portrait"/>
          <w:cols w:equalWidth="0" w:num="1">
            <w:col w:w="11420"/>
          </w:cols>
          <w:pgMar w:left="240" w:top="274" w:right="239" w:bottom="1440" w:gutter="0" w:footer="0" w:header="0"/>
        </w:sectPr>
      </w:pPr>
    </w:p>
    <w:bookmarkStart w:id="251" w:name="page252"/>
    <w:bookmarkEnd w:id="251"/>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warranties made by it in this Agreement not to be complete and correct in all material respects on and as of the date of each Closing with the same force and effect as if such representations and warranties had been made on and as of each such date (except to the extent any representation or warranty relates to an earlier date).</w:t>
      </w:r>
    </w:p>
    <w:p>
      <w:pPr>
        <w:spacing w:after="0" w:line="181" w:lineRule="exact"/>
        <w:rPr>
          <w:sz w:val="20"/>
          <w:szCs w:val="20"/>
          <w:color w:val="auto"/>
        </w:rPr>
      </w:pPr>
    </w:p>
    <w:p>
      <w:pPr>
        <w:ind w:right="20" w:firstLine="921"/>
        <w:spacing w:after="0" w:line="269" w:lineRule="auto"/>
        <w:tabs>
          <w:tab w:leader="none" w:pos="116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If, at any time prior to the Final Closing, any event shall occur that causes a Company Material Adverse Effect which as a result it becomes necessary to amend or supplement the Subscription Documents so that the representations and warranties herein remain true and correct in all material respects, or in case it shall be necessary to amend or supplement the Subscription Documents to comply with Regulation D or any other applicable securities laws or regulations, the Company will promptly notify the Agents and shall, at its sole cost, prepare and furnish to the Agents copies of appropriate amendments and/or supplements in such quantities as the Agents may reasonably request. The Company will not at any time before the Final Closing prepare or use any amendment or supplement to the Subscription Documents of which the Agents will not previously have been advised and furnished with a copy, or which is not in compliance in all material respects with the Act and other applicable securities laws. As soon as the Company is advised thereof, the Company will advise the Agents and their counsel, and confirm the advice in writing, of any order preventing or suspending the use of the Subscription Documents, or the suspension of any exemption for such qualification or registration thereof for offering in any jurisdiction, or of the institution or threatened institution of any proceedings for any of such purposes, and the Company will use its best efforts to prevent the issuance of any such order and, if issued, to obtain as soon as reasonably possible the lifting thereof.</w:t>
      </w:r>
    </w:p>
    <w:p>
      <w:pPr>
        <w:spacing w:after="0" w:line="182" w:lineRule="exact"/>
        <w:rPr>
          <w:rFonts w:ascii="Arial" w:cs="Arial" w:eastAsia="Arial" w:hAnsi="Arial"/>
          <w:sz w:val="17"/>
          <w:szCs w:val="17"/>
          <w:color w:val="auto"/>
        </w:rPr>
      </w:pPr>
    </w:p>
    <w:p>
      <w:pPr>
        <w:ind w:right="20" w:firstLine="921"/>
        <w:spacing w:after="0" w:line="291" w:lineRule="auto"/>
        <w:tabs>
          <w:tab w:leader="none" w:pos="115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Company shall comply with the Act, the Exchange Act, the rules and regulations thereunder, all applicable state securities laws and the rules and regulations thereunder in the states in which the Company’s Blue Sky counsel has advised the Agents and/or the Company that the Securities are exempt from qualification or registration, so as to permit the continuance of the sales of the Securities, and will file or cause to be filed with the SEC, and shall promptly thereafter forward or cause to be forwarded to the Agents, any and all reports on Form D as are required. The Company will pay the attorney’s fee and out of pocket expenses related to the filings for exemption from such qualifications or registration with any state securities commissions and any other regulatory agencies. Such fees will be paid at the time of invoicing, or at the time of Closing, if known, and if not yet invoiced, funds will remain in escrow to cover the estimated invoice. The Company will pay the invoice or authorize release of the funds from escrow within five (5) days of receipt of invoice.</w:t>
      </w:r>
    </w:p>
    <w:p>
      <w:pPr>
        <w:spacing w:after="0" w:line="167" w:lineRule="exact"/>
        <w:rPr>
          <w:rFonts w:ascii="Arial" w:cs="Arial" w:eastAsia="Arial" w:hAnsi="Arial"/>
          <w:sz w:val="16"/>
          <w:szCs w:val="16"/>
          <w:color w:val="auto"/>
        </w:rPr>
      </w:pPr>
    </w:p>
    <w:p>
      <w:pPr>
        <w:ind w:right="540" w:firstLine="921"/>
        <w:spacing w:after="0" w:line="264" w:lineRule="auto"/>
        <w:tabs>
          <w:tab w:leader="none" w:pos="116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Company shall place a legend on the certificates representing the shares of the Common Stock and the Warrants that the securities evidenced thereby have not been registered under the Act or applicable state securities laws, setting forth or referring to the applicable restrictions on transferability and sale of such securities under the Act and applicable state laws.</w:t>
      </w:r>
    </w:p>
    <w:p>
      <w:pPr>
        <w:spacing w:after="0" w:line="181" w:lineRule="exact"/>
        <w:rPr>
          <w:rFonts w:ascii="Arial" w:cs="Arial" w:eastAsia="Arial" w:hAnsi="Arial"/>
          <w:sz w:val="18"/>
          <w:szCs w:val="18"/>
          <w:color w:val="auto"/>
        </w:rPr>
      </w:pPr>
    </w:p>
    <w:p>
      <w:pPr>
        <w:ind w:right="20" w:firstLine="921"/>
        <w:spacing w:after="0" w:line="259" w:lineRule="auto"/>
        <w:tabs>
          <w:tab w:leader="none" w:pos="115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Company shall apply the net proceeds from the sale of the Securities and from the Warrant Exercise for the purposes set forth in the Subscription Documents. Except as set forth in the Subscription Documents, the Company shall not use any of the net proceeds of the Offering or the Warrant Exercise to repay indebtedness to officers (other than accrued salaries incurred in the ordinary course of business), directors or stockholders of the Company without the prior written consent of the Agents.</w:t>
      </w:r>
    </w:p>
    <w:p>
      <w:pPr>
        <w:spacing w:after="0" w:line="186" w:lineRule="exact"/>
        <w:rPr>
          <w:rFonts w:ascii="Arial" w:cs="Arial" w:eastAsia="Arial" w:hAnsi="Arial"/>
          <w:sz w:val="18"/>
          <w:szCs w:val="18"/>
          <w:color w:val="auto"/>
        </w:rPr>
      </w:pPr>
    </w:p>
    <w:p>
      <w:pPr>
        <w:ind w:right="40" w:firstLine="921"/>
        <w:spacing w:after="0" w:line="259" w:lineRule="auto"/>
        <w:tabs>
          <w:tab w:leader="none" w:pos="113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During the Offering Period, the Company shall afford each prospective purchaser of Securities the opportunity to ask questions of and receive answers from an officer of the Company concerning the terms and conditions of the Offering and the opportunity to obtain such other additional information necessary to verify the accuracy of the Subscription Documents to the extent the Company possesses such information or can acquire it without unreasonable expense.</w:t>
      </w:r>
    </w:p>
    <w:p>
      <w:pPr>
        <w:spacing w:after="0" w:line="186" w:lineRule="exact"/>
        <w:rPr>
          <w:rFonts w:ascii="Arial" w:cs="Arial" w:eastAsia="Arial" w:hAnsi="Arial"/>
          <w:sz w:val="18"/>
          <w:szCs w:val="18"/>
          <w:color w:val="auto"/>
        </w:rPr>
      </w:pPr>
    </w:p>
    <w:p>
      <w:pPr>
        <w:ind w:right="660" w:firstLine="921"/>
        <w:spacing w:after="0" w:line="277" w:lineRule="auto"/>
        <w:tabs>
          <w:tab w:leader="none" w:pos="116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Except with the prior written consent of the Agents, the Company shall not, at any time prior to the earlier of the Final Closing or the Termination Date, except as contemplated by the</w:t>
      </w:r>
    </w:p>
    <w:p>
      <w:pPr>
        <w:spacing w:after="0" w:line="10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16</w:t>
      </w:r>
    </w:p>
    <w:p>
      <w:pPr>
        <w:sectPr>
          <w:pgSz w:w="11900" w:h="16838" w:orient="portrait"/>
          <w:cols w:equalWidth="0" w:num="1">
            <w:col w:w="11420"/>
          </w:cols>
          <w:pgMar w:left="240" w:top="274" w:right="239" w:bottom="1440" w:gutter="0" w:footer="0" w:header="0"/>
        </w:sectPr>
      </w:pPr>
    </w:p>
    <w:bookmarkStart w:id="252" w:name="page253"/>
    <w:bookmarkEnd w:id="25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Documents (i) engage in or commit to engage in any transaction outside the ordinary course of business as described in the Subscription Documents, (ii) issue, agree to issue or set aside for issuance any securities (debt or equity) or any rights to acquire any such securities, (iii) incur, outside the ordinary course of business, any material indebtedness, (iv) dispose of any material assets, (v) make any material acquisition or (vi) change its business or operations in any material respect.</w:t>
      </w:r>
    </w:p>
    <w:p>
      <w:pPr>
        <w:spacing w:after="0" w:line="187" w:lineRule="exact"/>
        <w:rPr>
          <w:sz w:val="20"/>
          <w:szCs w:val="20"/>
          <w:color w:val="auto"/>
        </w:rPr>
      </w:pPr>
    </w:p>
    <w:p>
      <w:pPr>
        <w:ind w:right="20" w:firstLine="921"/>
        <w:spacing w:after="0" w:line="284" w:lineRule="auto"/>
        <w:tabs>
          <w:tab w:leader="none" w:pos="116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Whether or not the transactions contemplated hereby are consummated, or this Agreement is terminated, the Company shall pay all reasonable expenses incurred in connection with the preparation and printing of all necessary offering documents and instruments related to the Offering and the issuance of the Securities and the Brokers Warrants and will also pay for the Company’s expenses for accounting fees, legal fees, printing costs, and other costs involved with the Offering. The Company will provide at its own expense such quantities of the Subscription Documents and other documents and instruments relating to the Offering as the Agents may reasonably request. The Company will pay at its own expense in connection with the creation, authorization, issuance, transfer and delivery of the Securities and the Shares issued in the Warrant Exercise, including, without limitation, fees and expenses of any transfer agent or registrar; the fees and expenses of the Escrow Agent; all fees and expenses of legal, accounting and other advisers to the Company; the Form D filings for offer and sale of the Securities under the federal securities and Blue Sky laws, payable within five (5) days of being invoiced. The Company will pay all such amounts, unless previously paid, at the First Closing, or, if there is no Closing, within ten (10) days after written request therefor following the Termination Date. In addition to any fees payable to Katalyst hereunder and regardless of whether the Offering is consummated, the Company hereby agrees to promptly reimburse Katalyst’s legal counsel fees in the amount of Fifty Thousand Dollars ($50,000) (the “Katalyst Legal Fee”), paid directly from the escrow account at the time of the first Closing from gross proceeds raised by the Agents and if no Closing, then within five (5) days of written request to the Company by wire transfer. Katalyst will be entitled to reimbursement of its reasonable out of pocket expenses up to the amount of Ten Thousand Dollars ($10,000), and any expenses in the aggregate in excess of $10,000 will be approved in advance by the Company (the “Katalyst Expenses”). The Katalyst Legal Fee and Katalyst Expenses are separate and apart from the Katalyst Broker Compensation and other expenses described herein. In addition to any fees payable to GPN hereunder, the Company hereby agrees to promptly pay GPN’s legal fees and expenses incurred to date (and not previously reimbursed) in an aggregate amount not to exceed Ten Thousand Dollars ($10,000) (the “GPN Legal Fee”), paid directly from the escrow account at the time of the first Closing from gross proceeds raised by the Agents. GPN shall periodically reimburse GPN for its out of pocket expenses not to exceed $500 without the prior consent of the Company (the “GPN Expenses”). The GPN Legal Fee and GPN Expenses are separate and apart from the GPN Compensation and other expenses described herein. This reimbursement obligation is in addition to the reimbursement of fees and expenses relating to attendance by any Agent at proceedings or to indemnification and contribution as contemplated elsewhere in this agreement. In the event the Agents’ personnel must attend or participate in judicial or other proceedings to which we are not a party relating to the subject matter of this agreement, the Company shall pay the respective Agent an additional per diem payment, per person, at its customary rates, together with reimbursement of all out-of-pocket expenses and disbursements, including reasonable attorneys’ fees and disbursements incurred by it in respect of its preparation for and participation in such proceedings. The Katalyst Legal Fee does not include the Registration Legal Fees and expenses for the Blue Sky and other regulatory filings to be made in connection with the Offering(s).</w:t>
      </w:r>
    </w:p>
    <w:p>
      <w:pPr>
        <w:spacing w:after="0" w:line="391" w:lineRule="exact"/>
        <w:rPr>
          <w:rFonts w:ascii="Arial" w:cs="Arial" w:eastAsia="Arial" w:hAnsi="Arial"/>
          <w:sz w:val="16"/>
          <w:szCs w:val="16"/>
          <w:color w:val="auto"/>
        </w:rPr>
      </w:pPr>
    </w:p>
    <w:p>
      <w:pPr>
        <w:ind w:right="160" w:firstLine="921"/>
        <w:spacing w:after="0" w:line="277" w:lineRule="auto"/>
        <w:tabs>
          <w:tab w:leader="none" w:pos="112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On each Closing Date, the Company permits the Agents to rely on any representations and warranties made by the Company to the investors and will cause their counsel to permit the Agents to rely upon any opinion furnished to the investors in the Private Placement.</w:t>
      </w:r>
    </w:p>
    <w:p>
      <w:pPr>
        <w:spacing w:after="0" w:line="170" w:lineRule="exact"/>
        <w:rPr>
          <w:rFonts w:ascii="Arial" w:cs="Arial" w:eastAsia="Arial" w:hAnsi="Arial"/>
          <w:sz w:val="18"/>
          <w:szCs w:val="18"/>
          <w:color w:val="auto"/>
        </w:rPr>
      </w:pPr>
    </w:p>
    <w:p>
      <w:pPr>
        <w:ind w:firstLine="921"/>
        <w:spacing w:after="0" w:line="259" w:lineRule="auto"/>
        <w:tabs>
          <w:tab w:leader="none" w:pos="112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Company will comply with all of its obligations and covenants set forth in its agreements with the investors in the Offering. If not filed on EDGAR, the Company will promptly deliver to the Agents and their counsel copies of any and all filings with the SEC and each amendment or supplement thereto, as well as all prospectuses and free writing prospectuses, prior to the closing of the Offering and six months thereafter. The Agents are authorized on behalf of the Company to use and</w:t>
      </w:r>
    </w:p>
    <w:p>
      <w:pPr>
        <w:spacing w:after="0" w:line="119"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17</w:t>
      </w:r>
    </w:p>
    <w:p>
      <w:pPr>
        <w:sectPr>
          <w:pgSz w:w="11900" w:h="16838" w:orient="portrait"/>
          <w:cols w:equalWidth="0" w:num="1">
            <w:col w:w="11420"/>
          </w:cols>
          <w:pgMar w:left="240" w:top="274" w:right="239" w:bottom="1440" w:gutter="0" w:footer="0" w:header="0"/>
        </w:sectPr>
      </w:pPr>
    </w:p>
    <w:bookmarkStart w:id="253" w:name="page254"/>
    <w:bookmarkEnd w:id="25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distribute copies of any Subscription Documents, including Company’s SEC Filings in connection with the sale of the Securities as, and to the extent, permitted by federal and applicable state securities laws. The Company acknowledges and agrees that the Agents will be relying, without assuming responsibility for independent verification, on the accuracy and completeness of all financial and other information that is and will be furnished to them by the Company and the Company will be liable for any material misstatements or omissions contained therein.</w:t>
      </w:r>
    </w:p>
    <w:p>
      <w:pPr>
        <w:spacing w:after="0" w:line="183" w:lineRule="exact"/>
        <w:rPr>
          <w:sz w:val="20"/>
          <w:szCs w:val="20"/>
          <w:color w:val="auto"/>
        </w:rPr>
      </w:pPr>
    </w:p>
    <w:p>
      <w:pPr>
        <w:ind w:right="440" w:firstLine="464"/>
        <w:spacing w:after="0" w:line="282" w:lineRule="auto"/>
        <w:tabs>
          <w:tab w:leader="none" w:pos="636"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Agents’ Obligations</w:t>
      </w:r>
      <w:r>
        <w:rPr>
          <w:rFonts w:ascii="Arial" w:cs="Arial" w:eastAsia="Arial" w:hAnsi="Arial"/>
          <w:sz w:val="18"/>
          <w:szCs w:val="18"/>
          <w:color w:val="auto"/>
        </w:rPr>
        <w:t>. The obligations of the Agents hereunder to affect a Closing are subject to the fulfillment, at or before each</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of the following additional conditions:</w:t>
      </w:r>
    </w:p>
    <w:p>
      <w:pPr>
        <w:spacing w:after="0" w:line="165" w:lineRule="exact"/>
        <w:rPr>
          <w:rFonts w:ascii="Arial" w:cs="Arial" w:eastAsia="Arial" w:hAnsi="Arial"/>
          <w:sz w:val="18"/>
          <w:szCs w:val="18"/>
          <w:b w:val="1"/>
          <w:bCs w:val="1"/>
          <w:color w:val="auto"/>
        </w:rPr>
      </w:pPr>
    </w:p>
    <w:p>
      <w:pPr>
        <w:ind w:left="1160" w:hanging="239"/>
        <w:spacing w:after="0"/>
        <w:tabs>
          <w:tab w:leader="none" w:pos="11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Company shall be true and correct on each Closing Date.</w:t>
      </w:r>
    </w:p>
    <w:p>
      <w:pPr>
        <w:spacing w:after="0" w:line="225" w:lineRule="exact"/>
        <w:rPr>
          <w:rFonts w:ascii="Arial" w:cs="Arial" w:eastAsia="Arial" w:hAnsi="Arial"/>
          <w:sz w:val="18"/>
          <w:szCs w:val="18"/>
          <w:color w:val="auto"/>
        </w:rPr>
      </w:pPr>
    </w:p>
    <w:p>
      <w:pPr>
        <w:ind w:right="560" w:firstLine="921"/>
        <w:spacing w:after="0" w:line="277" w:lineRule="auto"/>
        <w:tabs>
          <w:tab w:leader="none" w:pos="116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Company shall have performed and complied in all material respects with all agreements, covenants and conditions required to be performed, and complied with by it at or before the Closing.</w:t>
      </w:r>
    </w:p>
    <w:p>
      <w:pPr>
        <w:spacing w:after="0" w:line="170" w:lineRule="exact"/>
        <w:rPr>
          <w:rFonts w:ascii="Arial" w:cs="Arial" w:eastAsia="Arial" w:hAnsi="Arial"/>
          <w:sz w:val="18"/>
          <w:szCs w:val="18"/>
          <w:color w:val="auto"/>
        </w:rPr>
      </w:pPr>
    </w:p>
    <w:p>
      <w:pPr>
        <w:jc w:val="both"/>
        <w:ind w:right="220" w:firstLine="921"/>
        <w:spacing w:after="0" w:line="264" w:lineRule="auto"/>
        <w:tabs>
          <w:tab w:leader="none" w:pos="115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Subscription Documents do not, and as of the date of any amendment or supplement thereto will not, include any untrue statement of a material fact or omit to state any material fact necessary in order to make the statements therein, in light of the circumstances under which they were made, not misleading.</w:t>
      </w:r>
    </w:p>
    <w:p>
      <w:pPr>
        <w:spacing w:after="0" w:line="181" w:lineRule="exact"/>
        <w:rPr>
          <w:rFonts w:ascii="Arial" w:cs="Arial" w:eastAsia="Arial" w:hAnsi="Arial"/>
          <w:sz w:val="18"/>
          <w:szCs w:val="18"/>
          <w:color w:val="auto"/>
        </w:rPr>
      </w:pPr>
    </w:p>
    <w:p>
      <w:pPr>
        <w:ind w:right="80" w:firstLine="921"/>
        <w:spacing w:after="0" w:line="264" w:lineRule="auto"/>
        <w:tabs>
          <w:tab w:leader="none" w:pos="116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No order suspending the use of the Subscription Documents or enjoining the Offering, the sale of the Securities or the Warrant Exercise shall have been issued, and no proceedings for that purpose or a similar purpose shall have been initiated or pending, or, to the best of the Company’s knowledge, be contemplated or threatened.</w:t>
      </w:r>
    </w:p>
    <w:p>
      <w:pPr>
        <w:spacing w:after="0" w:line="181" w:lineRule="exact"/>
        <w:rPr>
          <w:rFonts w:ascii="Arial" w:cs="Arial" w:eastAsia="Arial" w:hAnsi="Arial"/>
          <w:sz w:val="18"/>
          <w:szCs w:val="18"/>
          <w:color w:val="auto"/>
        </w:rPr>
      </w:pPr>
    </w:p>
    <w:p>
      <w:pPr>
        <w:ind w:right="60" w:firstLine="921"/>
        <w:spacing w:after="0" w:line="257" w:lineRule="auto"/>
        <w:tabs>
          <w:tab w:leader="none" w:pos="115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No holder of (i) any of the Securities from the Offering or (ii) any shares from the Warrant Exercise will be subject to personal liability solely by reason of being such a holder, and except as described in the Subscription Documents, none of the Shares, Warrant Shares or any shares from the Warrant Exercise will be subject to preemptive or similar rights of any stockholder or security holder of the Company, or an adjustment under the antidilution or exercise rights of any holders of any outstanding shares of capital stock, membership units, options, warrants or other rights to acquire any securities of the Company.</w:t>
      </w:r>
    </w:p>
    <w:p>
      <w:pPr>
        <w:spacing w:after="0" w:line="188" w:lineRule="exact"/>
        <w:rPr>
          <w:rFonts w:ascii="Arial" w:cs="Arial" w:eastAsia="Arial" w:hAnsi="Arial"/>
          <w:sz w:val="18"/>
          <w:szCs w:val="18"/>
          <w:color w:val="auto"/>
        </w:rPr>
      </w:pPr>
    </w:p>
    <w:p>
      <w:pPr>
        <w:ind w:right="260" w:firstLine="921"/>
        <w:spacing w:after="0" w:line="264" w:lineRule="auto"/>
        <w:tabs>
          <w:tab w:leader="none" w:pos="113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There shall have been no material adverse change nor development involving a prospective change in the financial condition, operations or projects of the Company, except where such change would not have a Company Material Adverse Effect on the business activities, financial or otherwise, results of operations or prospects of the Company, taken individually or in the aggregate.</w:t>
      </w:r>
    </w:p>
    <w:p>
      <w:pPr>
        <w:spacing w:after="0" w:line="181" w:lineRule="exact"/>
        <w:rPr>
          <w:rFonts w:ascii="Arial" w:cs="Arial" w:eastAsia="Arial" w:hAnsi="Arial"/>
          <w:sz w:val="18"/>
          <w:szCs w:val="18"/>
          <w:color w:val="auto"/>
        </w:rPr>
      </w:pPr>
    </w:p>
    <w:p>
      <w:pPr>
        <w:ind w:right="60" w:firstLine="921"/>
        <w:spacing w:after="0" w:line="277" w:lineRule="auto"/>
        <w:tabs>
          <w:tab w:leader="none" w:pos="116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Agents shall have received a certificate of the Chief Executive Officer of the Company, dated as of the Closing Date, certifying, as to the fulfillment of the conditions set forth in subparagraphs (a), (b), (c), (d), (e) and (f) above.</w:t>
      </w:r>
    </w:p>
    <w:p>
      <w:pPr>
        <w:spacing w:after="0" w:line="170" w:lineRule="exact"/>
        <w:rPr>
          <w:rFonts w:ascii="Arial" w:cs="Arial" w:eastAsia="Arial" w:hAnsi="Arial"/>
          <w:sz w:val="18"/>
          <w:szCs w:val="18"/>
          <w:color w:val="auto"/>
        </w:rPr>
      </w:pPr>
    </w:p>
    <w:p>
      <w:pPr>
        <w:jc w:val="both"/>
        <w:ind w:right="80" w:firstLine="921"/>
        <w:spacing w:after="0" w:line="259" w:lineRule="auto"/>
        <w:tabs>
          <w:tab w:leader="none" w:pos="116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Company shall have delivered to the Agents: (i) a good standing certificate dated as of a date within 10 days prior to the date of the First Closing from the secretary of state of its jurisdiction of incorporation and (ii) resolutions of the Company’s Board of Directors approving this Agreement and the transactions and agreements contemplated by this Agreement, and the Subscription Documents, all as certified by the Chief Executive Officer of the Company.</w:t>
      </w:r>
    </w:p>
    <w:p>
      <w:pPr>
        <w:spacing w:after="0" w:line="186" w:lineRule="exact"/>
        <w:rPr>
          <w:rFonts w:ascii="Arial" w:cs="Arial" w:eastAsia="Arial" w:hAnsi="Arial"/>
          <w:sz w:val="18"/>
          <w:szCs w:val="18"/>
          <w:color w:val="auto"/>
        </w:rPr>
      </w:pPr>
    </w:p>
    <w:p>
      <w:pPr>
        <w:jc w:val="both"/>
        <w:ind w:right="220" w:firstLine="921"/>
        <w:spacing w:after="0" w:line="312" w:lineRule="auto"/>
        <w:tabs>
          <w:tab w:leader="none" w:pos="1128" w:val="left"/>
        </w:tabs>
        <w:numPr>
          <w:ilvl w:val="1"/>
          <w:numId w:val="291"/>
        </w:numPr>
        <w:rPr>
          <w:rFonts w:ascii="Arial" w:cs="Arial" w:eastAsia="Arial" w:hAnsi="Arial"/>
          <w:sz w:val="16"/>
          <w:szCs w:val="16"/>
          <w:color w:val="auto"/>
        </w:rPr>
      </w:pPr>
      <w:r>
        <w:rPr>
          <w:rFonts w:ascii="Arial" w:cs="Arial" w:eastAsia="Arial" w:hAnsi="Arial"/>
          <w:sz w:val="16"/>
          <w:szCs w:val="16"/>
          <w:color w:val="auto"/>
        </w:rPr>
        <w:t>At each Closing, the Company shall have (i) paid to the Agents the respective Compensation as set forth in Section 3 above in respect of all Securities sold at such Closing or warrants exercised in the Warrant Exercise at or prior to such Closing, (ii) executed and delivered to Katalyst the Brokers Warrants in respect of all Securities sold at such Closing, and (iii) paid all fees, costs and expenses as set forth in Section 5 hereof.</w:t>
      </w:r>
    </w:p>
    <w:p>
      <w:pPr>
        <w:spacing w:after="0" w:line="79"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18</w:t>
      </w:r>
    </w:p>
    <w:p>
      <w:pPr>
        <w:sectPr>
          <w:pgSz w:w="11900" w:h="16838" w:orient="portrait"/>
          <w:cols w:equalWidth="0" w:num="1">
            <w:col w:w="11420"/>
          </w:cols>
          <w:pgMar w:left="240" w:top="274" w:right="239" w:bottom="1440" w:gutter="0" w:footer="0" w:header="0"/>
        </w:sectPr>
      </w:pPr>
    </w:p>
    <w:bookmarkStart w:id="254" w:name="page255"/>
    <w:bookmarkEnd w:id="254"/>
    <w:p>
      <w:pPr>
        <w:ind w:right="140" w:firstLine="921"/>
        <w:spacing w:after="0" w:line="277" w:lineRule="auto"/>
        <w:tabs>
          <w:tab w:leader="none" w:pos="1128"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There shall have been delivered to the Agents a signed opinion of counsel to the Company dated as of each Closing Date, substantially in the form set forth in </w:t>
      </w:r>
      <w:r>
        <w:rPr>
          <w:rFonts w:ascii="Arial" w:cs="Arial" w:eastAsia="Arial" w:hAnsi="Arial"/>
          <w:sz w:val="18"/>
          <w:szCs w:val="18"/>
          <w:u w:val="single" w:color="auto"/>
          <w:color w:val="auto"/>
        </w:rPr>
        <w:t>Attachment 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460" w:firstLine="921"/>
        <w:spacing w:after="0" w:line="312" w:lineRule="auto"/>
        <w:tabs>
          <w:tab w:leader="none" w:pos="116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All proceedings taken at or prior to the Closing in connection with the authorization, issuance and sale of the Securities and the Warrant Exercise will be reasonably satisfactory in form and substance to the Agents and their counsel, and such counsel shall have been furnished with all such documents, certificates and opinions as it may reasonably request upon reasonable prior notice in connection with the transactions contemplated hereby.</w:t>
      </w:r>
    </w:p>
    <w:p>
      <w:pPr>
        <w:spacing w:after="0" w:line="146" w:lineRule="exact"/>
        <w:rPr>
          <w:rFonts w:ascii="Arial" w:cs="Arial" w:eastAsia="Arial" w:hAnsi="Arial"/>
          <w:sz w:val="16"/>
          <w:szCs w:val="16"/>
          <w:color w:val="auto"/>
        </w:rPr>
      </w:pPr>
    </w:p>
    <w:p>
      <w:pPr>
        <w:ind w:right="40" w:firstLine="921"/>
        <w:spacing w:after="0" w:line="273" w:lineRule="auto"/>
        <w:tabs>
          <w:tab w:leader="none" w:pos="1128" w:val="left"/>
        </w:tabs>
        <w:numPr>
          <w:ilvl w:val="0"/>
          <w:numId w:val="292"/>
        </w:numPr>
        <w:rPr>
          <w:rFonts w:ascii="Arial" w:cs="Arial" w:eastAsia="Arial" w:hAnsi="Arial"/>
          <w:sz w:val="17"/>
          <w:szCs w:val="17"/>
          <w:color w:val="auto"/>
        </w:rPr>
      </w:pPr>
      <w:r>
        <w:rPr>
          <w:rFonts w:ascii="Arial" w:cs="Arial" w:eastAsia="Arial" w:hAnsi="Arial"/>
          <w:sz w:val="17"/>
          <w:szCs w:val="17"/>
          <w:color w:val="auto"/>
        </w:rPr>
        <w:t>If in connection with the Offering, the Agents determine that they or the Company would be required to make a filing with the FINRA to enable the Agents to act as agent in the Offering, the Company will do the following: The Company will cooperate with the Agents with respect to all FINRA filings that the Company or the Agents may be required to make and provide all information and documentation necessary to make the filings in a timely manner. The Company will pay all expenses related to all FINRA filings that the Company or Agents may be required to make, including, but not limited to, all printing costs related to all documents required or that the Agents may reasonably deem necessary, to comply with FINRA rules; any FINRA filing fees; postage and express charges; and all other expenses incurred in making the FINRA filings.</w:t>
      </w:r>
    </w:p>
    <w:p>
      <w:pPr>
        <w:spacing w:after="0" w:line="178"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The Company agrees and understands that this Agreement in no way constitutes a guarantee that the Offering or the Warrant Exercise will be successful. The Company acknowledges that the Company is ultimately responsible for the successful completion of a transaction.</w:t>
      </w:r>
    </w:p>
    <w:p>
      <w:pPr>
        <w:spacing w:after="0" w:line="143" w:lineRule="exact"/>
        <w:rPr>
          <w:sz w:val="20"/>
          <w:szCs w:val="20"/>
          <w:color w:val="auto"/>
        </w:rPr>
      </w:pPr>
    </w:p>
    <w:p>
      <w:pPr>
        <w:ind w:right="500" w:firstLine="464"/>
        <w:spacing w:after="0" w:line="282" w:lineRule="auto"/>
        <w:tabs>
          <w:tab w:leader="none" w:pos="636"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Company’s Obligations</w:t>
      </w:r>
      <w:r>
        <w:rPr>
          <w:rFonts w:ascii="Arial" w:cs="Arial" w:eastAsia="Arial" w:hAnsi="Arial"/>
          <w:sz w:val="18"/>
          <w:szCs w:val="18"/>
          <w:color w:val="auto"/>
        </w:rPr>
        <w:t>. The obligations of the Company hereunder are subject to the satisfaction of each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165" w:lineRule="exact"/>
        <w:rPr>
          <w:rFonts w:ascii="Arial" w:cs="Arial" w:eastAsia="Arial" w:hAnsi="Arial"/>
          <w:sz w:val="18"/>
          <w:szCs w:val="18"/>
          <w:b w:val="1"/>
          <w:bCs w:val="1"/>
          <w:color w:val="auto"/>
        </w:rPr>
      </w:pPr>
    </w:p>
    <w:p>
      <w:pPr>
        <w:ind w:left="1160" w:hanging="239"/>
        <w:spacing w:after="0"/>
        <w:tabs>
          <w:tab w:leader="none" w:pos="11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satisfaction or waiver of all conditions to Closing as set forth herein.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As of each Closing, each of the representations and warranties made by Agents herein being true and correct as of the Closing Date for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w:t>
      </w:r>
    </w:p>
    <w:p>
      <w:pPr>
        <w:spacing w:after="0" w:line="210" w:lineRule="exact"/>
        <w:rPr>
          <w:rFonts w:ascii="Arial" w:cs="Arial" w:eastAsia="Arial" w:hAnsi="Arial"/>
          <w:sz w:val="16"/>
          <w:szCs w:val="16"/>
          <w:color w:val="auto"/>
        </w:rPr>
      </w:pPr>
    </w:p>
    <w:p>
      <w:pPr>
        <w:ind w:right="280" w:firstLine="921"/>
        <w:spacing w:after="0" w:line="277" w:lineRule="auto"/>
        <w:tabs>
          <w:tab w:leader="none" w:pos="1158"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At each Closing, the Company shall have received the proceeds from the sale of the Securities that are part of such Closing less applicable Broker Fees and other deductions contemplated by this Agreement.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At each Closing, the Company shall have received a copy of Subscription Documents signed by investors delivered by the Agents.</w:t>
      </w:r>
    </w:p>
    <w:p>
      <w:pPr>
        <w:spacing w:after="0" w:line="233"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Mutual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Agents and the Company hereunder are subject to the execution by each investor of a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form and substance acceptable to the Agents and the Company and deposit by such investor with the escrow agent of all funds required to be so deposited by such investor.</w:t>
      </w:r>
    </w:p>
    <w:p>
      <w:pPr>
        <w:spacing w:after="0" w:line="176" w:lineRule="exact"/>
        <w:rPr>
          <w:sz w:val="20"/>
          <w:szCs w:val="20"/>
          <w:color w:val="auto"/>
        </w:rPr>
      </w:pPr>
    </w:p>
    <w:p>
      <w:pPr>
        <w:ind w:left="640" w:hanging="176"/>
        <w:spacing w:after="0"/>
        <w:tabs>
          <w:tab w:leader="none" w:pos="64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80" w:firstLine="921"/>
        <w:spacing w:after="0" w:line="290" w:lineRule="auto"/>
        <w:tabs>
          <w:tab w:leader="none" w:pos="1158" w:val="left"/>
        </w:tabs>
        <w:numPr>
          <w:ilvl w:val="1"/>
          <w:numId w:val="294"/>
        </w:numPr>
        <w:rPr>
          <w:rFonts w:ascii="Arial" w:cs="Arial" w:eastAsia="Arial" w:hAnsi="Arial"/>
          <w:sz w:val="16"/>
          <w:szCs w:val="16"/>
          <w:color w:val="auto"/>
        </w:rPr>
      </w:pPr>
      <w:r>
        <w:rPr>
          <w:rFonts w:ascii="Arial" w:cs="Arial" w:eastAsia="Arial" w:hAnsi="Arial"/>
          <w:sz w:val="16"/>
          <w:szCs w:val="16"/>
          <w:color w:val="auto"/>
        </w:rPr>
        <w:t>The Company will: (i) indemnify and hold harmless the Agents, jointly and severally, their agents and their officers, directors, employees, agents, selected dealers and each person, if any, who controls the respective Agents within the meaning of the Act and such agents (each an “Indemnitee” or an “Agent Party”) against, and pay or reimburse each Indemnitee for, any and all losses, claims, damages, liabilities or expenses whatsoever (or actions or proceedings or investigations in respect thereof (collectively, “Proceedings”), joint or several (which will, for all purposes of this Agreement, include, but not be limited to, all reasonable costs of defense and investigation and all reasonable attorneys’ fees, including appeals), to which any Indemnitee may become subject (a) under the Act or otherwise, in connection with the offer and sale of the Securities and (b) as a result of the breach of any representation, warranty or covenant made by the Company herein or the failure of the Company to perform its obligations under the Agreement, regardless of whether such losses, claims, damages, liabilities or expenses shall result from any claim by any Indemnitee or by any third party; and (ii)</w:t>
      </w:r>
    </w:p>
    <w:p>
      <w:pPr>
        <w:spacing w:after="0" w:line="99"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19</w:t>
      </w:r>
    </w:p>
    <w:p>
      <w:pPr>
        <w:sectPr>
          <w:pgSz w:w="11900" w:h="16838" w:orient="portrait"/>
          <w:cols w:equalWidth="0" w:num="1">
            <w:col w:w="11420"/>
          </w:cols>
          <w:pgMar w:left="240" w:top="274" w:right="239" w:bottom="1440" w:gutter="0" w:footer="0" w:header="0"/>
        </w:sectPr>
      </w:pPr>
    </w:p>
    <w:bookmarkStart w:id="255" w:name="page256"/>
    <w:bookmarkEnd w:id="255"/>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 each Indemnitee for any legal or other expenses reasonably incurred in connection with investigating or defending against any such loss, claim, action, proceeding or investigation; provided, however, the Company will not be liable in any such case to the extent that any such claim, damage or liability of a Agent is to have resulted from that Placement Agent’s gross negligence or willful misconduct. In addition to the foregoing agreement to indemnify and reimburse, the Company will indemnify and hold harmless each Indemnitee against any and all losses, claims, damages, liabilities or expenses whatsoever (or actions or proceedings or investigations in respect thereof), joint or several (which shall, for all purposes of this Agreement, include, but not be limited to, all reasonable costs of defense and investigation and all reasonable attorneys’ fees, including appeals) to which any Indemnitee may become subject insofar as such costs, expenses, losses, claims, damages or liabilities arise out of or are based upon the claim of any person or entity that he or it is entitled to broker’s or finder’s fees from any Indemnitee in connection with the Offering or the Warrant Exercise as a result of the Company obligating itself or any Indemnitee to pay such a fee, other than fees due to the Agents, its dealers, sub-agents or finders. The foregoing indemnity agreements will be in addition to any liability the Company may otherwise have. The Indemnitees are intended third party beneficiaries of this provision.</w:t>
      </w:r>
    </w:p>
    <w:p>
      <w:pPr>
        <w:spacing w:after="0" w:line="169" w:lineRule="exact"/>
        <w:rPr>
          <w:sz w:val="20"/>
          <w:szCs w:val="20"/>
          <w:color w:val="auto"/>
        </w:rPr>
      </w:pPr>
    </w:p>
    <w:p>
      <w:pPr>
        <w:ind w:right="20" w:firstLine="921"/>
        <w:spacing w:after="0" w:line="283" w:lineRule="auto"/>
        <w:tabs>
          <w:tab w:leader="none" w:pos="1168" w:val="left"/>
        </w:tabs>
        <w:numPr>
          <w:ilvl w:val="0"/>
          <w:numId w:val="295"/>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claim, proceeding or investigation (the “Action”), such indemnified party, if a claim in respect thereof is to be made against the indemnifying party under this Section 8, will notify the indemnifying party of the commencement thereof, but the omission to so notify the indemnifying party will not relieve it from any liability that it may have to any indemnified party under this Section 8 unless the indemnifying party has been substantially prejudiced by such omission. The indemnifying party will be entitled to participate in and, to the extent that it may wish, jointly with any other indemnifying party, to assume the defense thereof subject to the provisions herein stated, with counsel reasonably satisfactory to such indemnified party. The indemnified party will have the right to employ separate counsel in any such Action and to participate in the defense thereof, but the fees and expenses of such counsel will not be at the expense of the indemnifying party if the indemnifying party has assumed the defense of the Action with counsel reasonably satisfactory to the indemnified party, provided, however, that if the indemnified party shall be requested by the indemnifying party to participate in the defense thereof or shall have concluded in good faith and specifically notified the indemnifying party either that there may be specific defenses available to it that are different from or additional to those available to the indemnifying party or that such Action involves or could have a material adverse effect upon it with respect to matters beyond the scope of the indemnity agreements contained in this Agreement, then the counsel representing it, to the extent made necessary by such defenses, shall have the right to direct such defenses of such Action on its behalf and in such case the reasonable fees and expenses of such counsel in connection with any such participation or defenses shall be paid by the indemnifying party. No settlement of any Action against an indemnified party will be made without the consent of the indemnifying party and the indemnified party, which consent shall not be unreasonably withheld or delayed in light of all factors of importance to such party, and no indemnifying party shall be liable to indemnify any person for any settlement of any such claim effected without such indemnifying party’s</w:t>
      </w: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consent. Notwithstanding the immediately preceding sentence, if at any time an indemnified party requests the indemnifying party to reimburse the indemnified party for legal or other expenses in connection with investigating, responding to or defending any Proceedings as contemplated by this indemnity agreement, the indemnifying party will be liable for any settlement of any Proceedings effected without its written consent if (i) the proposed settlement is entered into more than 30 days after receipt by the indemnifying party of the request for reimbursement, (ii) the indemnifying party has not reimbursed the indemnified party within 30 days of such request for reimbursement, (iii) the indemnified party delivered written notice to the indemnifying party of its intention to settle and the failure to pay within such 30 day period, and (iv) the indemnifying party does not, within 15 days of receipt of the notice of the intention to settle and failure to pay, reimburse the indemnified party for such legal or other expenses and object to the indemnified party’s seeking to settle such Proceedings.</w:t>
      </w:r>
    </w:p>
    <w:p>
      <w:pPr>
        <w:spacing w:after="0" w:line="124"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20</w:t>
      </w:r>
    </w:p>
    <w:p>
      <w:pPr>
        <w:sectPr>
          <w:pgSz w:w="11900" w:h="16838" w:orient="portrait"/>
          <w:cols w:equalWidth="0" w:num="1">
            <w:col w:w="11420"/>
          </w:cols>
          <w:pgMar w:left="240" w:top="274" w:right="239" w:bottom="1440" w:gutter="0" w:footer="0" w:header="0"/>
        </w:sectPr>
      </w:pPr>
    </w:p>
    <w:bookmarkStart w:id="256" w:name="page257"/>
    <w:bookmarkEnd w:id="256"/>
    <w:p>
      <w:pPr>
        <w:ind w:right="20" w:firstLine="464"/>
        <w:spacing w:after="0" w:line="285" w:lineRule="auto"/>
        <w:tabs>
          <w:tab w:leader="none" w:pos="636" w:val="left"/>
        </w:tabs>
        <w:numPr>
          <w:ilvl w:val="0"/>
          <w:numId w:val="2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Contribution</w:t>
      </w:r>
      <w:r>
        <w:rPr>
          <w:rFonts w:ascii="Arial" w:cs="Arial" w:eastAsia="Arial" w:hAnsi="Arial"/>
          <w:sz w:val="16"/>
          <w:szCs w:val="16"/>
          <w:color w:val="auto"/>
        </w:rPr>
        <w:t>. To provide for just and equitable contribution, if: (i) an indemnified party makes a claim for indemnification pursuant to Section 8</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it is finally determined, by a judgment, order or decree not subject to further appeal that such claims for indemnification may not be enforced, even though this Agreement expressly provides for indemnification in such case; or (ii) any indemnified or indemnifying party seeks contribution under the Act, the Exchange Act, or otherwise, then each indemnifying party shall contribute to such amount paid or payable by such indemnified party in such proportion as is appropriate to reflect not only such relative benefits but also the relative fault of the Company on the one hand and the respective Agent on the other in connection with the statements or omissions which resulted in such losses, claims, damages, liabilities or expenses (or actions in respect thereof), as well as any other relevant equitable considerations. The relative benefits received by the Company on the one hand and the respective Agent on the other shall be deemed to be in the same proportion as the total net proceeds from the Offering (before deducting expenses) received by the Company bear to the total respective Placement Agent’s Compensation received by the Placement Agent. The relative fault, in the case of an untrue statement, alleged untrue statement, omission or alleged omission will be determined by, among other things, whether such statement, alleged statement, omission or alleged omission relates to information supplied by the Company or by the Agents, and the parties’ relative intent, knowledge, access to information and opportunity to correct or prevent such statement, alleged statement, omission or alleged omission. The Company and the Agents agree that it would be unjust and inequitable if the respective obligations of the Company and the Agents for contribution were determined by pro rata allocation of the aggregate losses, liabilities, claims, damages and expenses or by any other method or allocation that does not reflect the equitable considerations referred to in this Section 9. No person guilty of a fraudulent misrepresentation (within the meaning of Section 10(f) of the Act) will be entitled to contribution from any person who is not guilty of such fraudulent misrepresentation. For purposes of this Section 9, each person, if any, who controls the respective Agent within the meaning of the Act will have the same rights to contribution as the respective Placement Agent, and each person, if any, who controls the Company within the meaning of the Act will have the same rights to contribution as the Company, subject in each case to the provisions of this Section 9. Anything in this Section 9 to the contrary notwithstanding, no party will be liable for contribution with respect to the settlement of any claim or action effected without its written consent. This Section 9 is intended to supersede, to the extent permitted by law, any right to contribution under the Act, the Exchange Act or otherwise available.</w:t>
      </w:r>
    </w:p>
    <w:p>
      <w:pPr>
        <w:spacing w:after="0" w:line="168" w:lineRule="exact"/>
        <w:rPr>
          <w:rFonts w:ascii="Arial" w:cs="Arial" w:eastAsia="Arial" w:hAnsi="Arial"/>
          <w:sz w:val="16"/>
          <w:szCs w:val="16"/>
          <w:b w:val="1"/>
          <w:bCs w:val="1"/>
          <w:color w:val="auto"/>
        </w:rPr>
      </w:pPr>
    </w:p>
    <w:p>
      <w:pPr>
        <w:ind w:left="740" w:hanging="276"/>
        <w:spacing w:after="0"/>
        <w:tabs>
          <w:tab w:leader="none" w:pos="74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40" w:firstLine="921"/>
        <w:spacing w:after="0" w:line="293" w:lineRule="auto"/>
        <w:tabs>
          <w:tab w:leader="none" w:pos="115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Offering may be terminated by the Agents at any time prior to the expiration of the Offering Period in the event that: (i) any of the representations, warranties or covenants of the Company contained herein or in the Subscription Documents shall prove to have been false or misleading in any material respect when actually made; (ii) the Company shall have failed to perform any of its material obligations hereunder or under any other Company Transaction Document or any other transaction document; (iii) there shall occur any event, within the control of the Company that is reasonably likely to materially and adversely affect the transactions contemplated hereunder or the ability of the Company to perform hereunder; or (iv) the Agents determine that it is reasonably likely that any of the conditions to Closing to be fulfilled by the Company set forth herein will not, or cannot, be satisfied.</w:t>
      </w:r>
    </w:p>
    <w:p>
      <w:pPr>
        <w:spacing w:after="0" w:line="164" w:lineRule="exact"/>
        <w:rPr>
          <w:rFonts w:ascii="Arial" w:cs="Arial" w:eastAsia="Arial" w:hAnsi="Arial"/>
          <w:sz w:val="16"/>
          <w:szCs w:val="16"/>
          <w:color w:val="auto"/>
        </w:rPr>
      </w:pPr>
    </w:p>
    <w:p>
      <w:pPr>
        <w:ind w:firstLine="921"/>
        <w:spacing w:after="0" w:line="293" w:lineRule="auto"/>
        <w:tabs>
          <w:tab w:leader="none" w:pos="116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This Offering may be terminated by the Company at any time prior to the Termination Date in the event that (i) the Agents shall have failed to perform any of its material obligations hereunder or (ii) on account of one of the Placement Agent’s fraud, illegal or willful misconduct or gross negligence. In the event of any termination by the Company, the Agents shall be entitled to receive, on the Termination Date, all unpaid respective compensation as set forth in Section 3A and 3B herein earned or accrued through the Termination Date and reimbursement of all expenses as provided for in this Agreement, but shall be entitled to no other amounts whatsoever except as may be due under any indemnity or contribution obligation for provided herein, at law or otherwise. On such Termination Date, the Company shall pay Katalyst’s counsel fees in connection with the Offering, as provided for herein.</w:t>
      </w:r>
    </w:p>
    <w:p>
      <w:pPr>
        <w:spacing w:after="0" w:line="97"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21</w:t>
      </w:r>
    </w:p>
    <w:p>
      <w:pPr>
        <w:sectPr>
          <w:pgSz w:w="11900" w:h="16838" w:orient="portrait"/>
          <w:cols w:equalWidth="0" w:num="1">
            <w:col w:w="11420"/>
          </w:cols>
          <w:pgMar w:left="240" w:top="270" w:right="239" w:bottom="1440" w:gutter="0" w:footer="0" w:header="0"/>
        </w:sectPr>
      </w:pPr>
    </w:p>
    <w:bookmarkStart w:id="257" w:name="page258"/>
    <w:bookmarkEnd w:id="25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This Offering may be terminated upon mutual agreement of the Company and the Agents at any time prior to the expiration of the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right="40" w:firstLine="921"/>
        <w:spacing w:after="0" w:line="255" w:lineRule="auto"/>
        <w:tabs>
          <w:tab w:leader="none" w:pos="1168"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This Offering and this Agreement may be terminated by the Company at any time after September 7, 2016, in the event that the Company has not formally accepted subscriptions for at least the Minimum Amount by such date. In the event of any termination by the Company under this clause (d), Katalyst shall be entitled to receive, on the Termination Date, payment of the Katalyst Legal Fee and reimbursement of the Katalyst Expenses as provided for in paragraph 5(h) of this Agreement and GPN shall be entitled to receive, on the Termination Date, reimbursement of the GPN Expenses as provided for in paragraph 5(h) of this Agreement, but the Agents shall be entitled to no other amounts whatsoever except as may be due under any indemnity or contribution obligation for provided herein, at law or otherwise.</w:t>
      </w:r>
    </w:p>
    <w:p>
      <w:pPr>
        <w:spacing w:after="0" w:line="193" w:lineRule="exact"/>
        <w:rPr>
          <w:rFonts w:ascii="Arial" w:cs="Arial" w:eastAsia="Arial" w:hAnsi="Arial"/>
          <w:sz w:val="18"/>
          <w:szCs w:val="18"/>
          <w:color w:val="auto"/>
        </w:rPr>
      </w:pPr>
    </w:p>
    <w:p>
      <w:pPr>
        <w:ind w:right="80" w:firstLine="921"/>
        <w:spacing w:after="0" w:line="255" w:lineRule="auto"/>
        <w:tabs>
          <w:tab w:leader="none" w:pos="1158" w:val="left"/>
        </w:tabs>
        <w:numPr>
          <w:ilvl w:val="2"/>
          <w:numId w:val="297"/>
        </w:numPr>
        <w:rPr>
          <w:rFonts w:ascii="Arial" w:cs="Arial" w:eastAsia="Arial" w:hAnsi="Arial"/>
          <w:sz w:val="18"/>
          <w:szCs w:val="18"/>
          <w:color w:val="auto"/>
        </w:rPr>
      </w:pPr>
      <w:r>
        <w:rPr>
          <w:rFonts w:ascii="Arial" w:cs="Arial" w:eastAsia="Arial" w:hAnsi="Arial"/>
          <w:sz w:val="18"/>
          <w:szCs w:val="18"/>
          <w:color w:val="auto"/>
        </w:rPr>
        <w:t>Except as otherwise provided above, before any termination by the Agents under Section 10(a) or by the Company under Section 10(b) shall become effective, the terminating party shall give ten (10) day prior written notice to the other party of its intention to terminate the Offering (the “Termination Notice”). The Termination Notice shall specify the grounds for the proposed termination. If the specified grounds for termination, or their resulting adverse effect on the transactions contemplated hereby, are curable, then the other party shall have five (5) days from the Termination Notice within which to remove such grounds or to eliminate all of their material adverse effects on the transactions contemplated hereby; otherwise, the Offering shall terminate.</w:t>
      </w:r>
    </w:p>
    <w:p>
      <w:pPr>
        <w:spacing w:after="0" w:line="193" w:lineRule="exact"/>
        <w:rPr>
          <w:rFonts w:ascii="Arial" w:cs="Arial" w:eastAsia="Arial" w:hAnsi="Arial"/>
          <w:sz w:val="18"/>
          <w:szCs w:val="18"/>
          <w:color w:val="auto"/>
        </w:rPr>
      </w:pPr>
    </w:p>
    <w:p>
      <w:pPr>
        <w:ind w:right="240" w:firstLine="921"/>
        <w:spacing w:after="0" w:line="264" w:lineRule="auto"/>
        <w:tabs>
          <w:tab w:leader="none" w:pos="1138" w:val="left"/>
        </w:tabs>
        <w:numPr>
          <w:ilvl w:val="2"/>
          <w:numId w:val="297"/>
        </w:numPr>
        <w:rPr>
          <w:rFonts w:ascii="Arial" w:cs="Arial" w:eastAsia="Arial" w:hAnsi="Arial"/>
          <w:sz w:val="18"/>
          <w:szCs w:val="18"/>
          <w:color w:val="auto"/>
        </w:rPr>
      </w:pPr>
      <w:r>
        <w:rPr>
          <w:rFonts w:ascii="Arial" w:cs="Arial" w:eastAsia="Arial" w:hAnsi="Arial"/>
          <w:sz w:val="18"/>
          <w:szCs w:val="18"/>
          <w:color w:val="auto"/>
        </w:rPr>
        <w:t>Upon any termination pursuant to this Section 10, the Agents and the Company will instruct the Escrow Agent to cause all monies received with respect to the subscriptions for Securities not accepted by the Company to be promptly returned to such subscribers without interest, penalty or deduction.</w:t>
      </w:r>
    </w:p>
    <w:p>
      <w:pPr>
        <w:spacing w:after="0" w:line="177" w:lineRule="exact"/>
        <w:rPr>
          <w:rFonts w:ascii="Arial" w:cs="Arial" w:eastAsia="Arial" w:hAnsi="Arial"/>
          <w:sz w:val="18"/>
          <w:szCs w:val="18"/>
          <w:color w:val="auto"/>
        </w:rPr>
      </w:pPr>
    </w:p>
    <w:p>
      <w:pPr>
        <w:ind w:left="720" w:hanging="256"/>
        <w:spacing w:after="0"/>
        <w:tabs>
          <w:tab w:leader="none" w:pos="720" w:val="left"/>
        </w:tabs>
        <w:numPr>
          <w:ilvl w:val="1"/>
          <w:numId w:val="2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40" w:firstLine="921"/>
        <w:spacing w:after="0" w:line="264" w:lineRule="auto"/>
        <w:tabs>
          <w:tab w:leader="none" w:pos="1158" w:val="left"/>
        </w:tabs>
        <w:numPr>
          <w:ilvl w:val="2"/>
          <w:numId w:val="298"/>
        </w:numPr>
        <w:rPr>
          <w:rFonts w:ascii="Arial" w:cs="Arial" w:eastAsia="Arial" w:hAnsi="Arial"/>
          <w:sz w:val="18"/>
          <w:szCs w:val="18"/>
          <w:color w:val="auto"/>
        </w:rPr>
      </w:pPr>
      <w:r>
        <w:rPr>
          <w:rFonts w:ascii="Arial" w:cs="Arial" w:eastAsia="Arial" w:hAnsi="Arial"/>
          <w:sz w:val="18"/>
          <w:szCs w:val="18"/>
          <w:color w:val="auto"/>
        </w:rPr>
        <w:t>The obligations of the parties to pay any costs and expenses hereunder and to provide indemnification and contribution as provided herein shall survive any termination hereunder. In addition, the provisions of Sections 3, and 8 through 20 shall survive the sale of the Securities or any termination of the Offering hereunder.</w:t>
      </w:r>
    </w:p>
    <w:p>
      <w:pPr>
        <w:spacing w:after="0" w:line="181" w:lineRule="exact"/>
        <w:rPr>
          <w:rFonts w:ascii="Arial" w:cs="Arial" w:eastAsia="Arial" w:hAnsi="Arial"/>
          <w:sz w:val="18"/>
          <w:szCs w:val="18"/>
          <w:color w:val="auto"/>
        </w:rPr>
      </w:pPr>
    </w:p>
    <w:p>
      <w:pPr>
        <w:ind w:right="80" w:firstLine="921"/>
        <w:spacing w:after="0" w:line="259" w:lineRule="auto"/>
        <w:tabs>
          <w:tab w:leader="none" w:pos="1168" w:val="left"/>
        </w:tabs>
        <w:numPr>
          <w:ilvl w:val="2"/>
          <w:numId w:val="298"/>
        </w:numPr>
        <w:rPr>
          <w:rFonts w:ascii="Arial" w:cs="Arial" w:eastAsia="Arial" w:hAnsi="Arial"/>
          <w:sz w:val="18"/>
          <w:szCs w:val="18"/>
          <w:color w:val="auto"/>
        </w:rPr>
      </w:pPr>
      <w:r>
        <w:rPr>
          <w:rFonts w:ascii="Arial" w:cs="Arial" w:eastAsia="Arial" w:hAnsi="Arial"/>
          <w:sz w:val="18"/>
          <w:szCs w:val="18"/>
          <w:color w:val="auto"/>
        </w:rPr>
        <w:t>The respective indemnities, covenants, representations, warranties and other statements of the Company and the Agents set forth in or made pursuant to this Agreement will remain in full force and effect, regardless of any investigation made by or on behalf of, and regardless of any access to information by the Company or the Agents, or any of their officers or directors or any controlling person thereof, and will survive the sale of the Securities or any termination of the Offering hereunder.</w:t>
      </w:r>
    </w:p>
    <w:p>
      <w:pPr>
        <w:spacing w:after="0" w:line="182" w:lineRule="exact"/>
        <w:rPr>
          <w:rFonts w:ascii="Arial" w:cs="Arial" w:eastAsia="Arial" w:hAnsi="Arial"/>
          <w:sz w:val="18"/>
          <w:szCs w:val="18"/>
          <w:color w:val="auto"/>
        </w:rPr>
      </w:pPr>
    </w:p>
    <w:p>
      <w:pPr>
        <w:ind w:left="740" w:hanging="276"/>
        <w:spacing w:after="0"/>
        <w:tabs>
          <w:tab w:leader="none" w:pos="740" w:val="left"/>
        </w:tabs>
        <w:numPr>
          <w:ilvl w:val="1"/>
          <w:numId w:val="2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 and other communications hereunder will be in writing and shall be deemed effectively given to a party by (a) personal delivery;</w:t>
      </w:r>
    </w:p>
    <w:p>
      <w:pPr>
        <w:spacing w:after="0" w:line="50" w:lineRule="exact"/>
        <w:rPr>
          <w:rFonts w:ascii="Arial" w:cs="Arial" w:eastAsia="Arial" w:hAnsi="Arial"/>
          <w:sz w:val="16"/>
          <w:szCs w:val="16"/>
          <w:b w:val="1"/>
          <w:bCs w:val="1"/>
          <w:color w:val="auto"/>
        </w:rPr>
      </w:pPr>
    </w:p>
    <w:p>
      <w:pPr>
        <w:ind w:right="160" w:firstLine="8"/>
        <w:spacing w:after="0" w:line="255" w:lineRule="auto"/>
        <w:tabs>
          <w:tab w:leader="none" w:pos="25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upon deposit with the United States Post Office, by certified mail, return receipt requested, first-class mail, postage prepaid; (c) delivered by hand or by messenger or overnight courier, addressee signature required, to the addresses below or at such other address and/or to such other persons as shall have been furnished by the parties:</w:t>
      </w:r>
    </w:p>
    <w:p>
      <w:pPr>
        <w:sectPr>
          <w:pgSz w:w="11900" w:h="16838" w:orient="portrait"/>
          <w:cols w:equalWidth="0" w:num="1">
            <w:col w:w="11420"/>
          </w:cols>
          <w:pgMar w:left="240" w:top="274" w:right="239" w:bottom="1440" w:gutter="0" w:footer="0" w:header="0"/>
        </w:sect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 North Laura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gwilson@tapimmune.com</w:t>
      </w:r>
    </w:p>
    <w:p>
      <w:pPr>
        <w:spacing w:after="0" w:line="166" w:lineRule="exact"/>
        <w:rPr>
          <w:sz w:val="20"/>
          <w:szCs w:val="20"/>
          <w:color w:val="auto"/>
        </w:rPr>
      </w:pPr>
    </w:p>
    <w:p>
      <w:pPr>
        <w:sectPr>
          <w:pgSz w:w="11900" w:h="16838" w:orient="portrait"/>
          <w:cols w:equalWidth="0" w:num="2">
            <w:col w:w="3420" w:space="720"/>
            <w:col w:w="72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Agency Agreement (PIPE and Warrant Exercise)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22</w:t>
      </w:r>
    </w:p>
    <w:p>
      <w:pPr>
        <w:sectPr>
          <w:pgSz w:w="11900" w:h="16838" w:orient="portrait"/>
          <w:cols w:equalWidth="0" w:num="2">
            <w:col w:w="10120" w:space="720"/>
            <w:col w:w="580"/>
          </w:cols>
          <w:pgMar w:left="240" w:top="274" w:right="239" w:bottom="1440" w:gutter="0" w:footer="0" w:header="0"/>
          <w:type w:val="continuous"/>
        </w:sectPr>
      </w:pPr>
    </w:p>
    <w:bookmarkStart w:id="258" w:name="page259"/>
    <w:bookmarkEnd w:id="258"/>
    <w:p>
      <w:pPr>
        <w:ind w:left="4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Shumaker, Loop &amp; Kendrick,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-215900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101 East Kennedy Boulevard, Ste 2800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Tampa, FL 33602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A. Catchur, Esq.</w:t>
      </w:r>
    </w:p>
    <w:p>
      <w:pPr>
        <w:spacing w:after="0" w:line="116" w:lineRule="exact"/>
        <w:rPr>
          <w:sz w:val="20"/>
          <w:szCs w:val="20"/>
          <w:color w:val="auto"/>
        </w:rPr>
      </w:pPr>
    </w:p>
    <w:p>
      <w:pPr>
        <w:sectPr>
          <w:pgSz w:w="11900" w:h="16838" w:orient="portrait"/>
          <w:cols w:equalWidth="0" w:num="2">
            <w:col w:w="3420" w:space="720"/>
            <w:col w:w="7280"/>
          </w:cols>
          <w:pgMar w:left="240" w:top="274" w:right="239" w:bottom="1440" w:gutter="0" w:footer="0" w:header="0"/>
        </w:sectPr>
      </w:pPr>
    </w:p>
    <w:p>
      <w:pPr>
        <w:ind w:left="460"/>
        <w:spacing w:after="0"/>
        <w:rPr>
          <w:sz w:val="20"/>
          <w:szCs w:val="20"/>
          <w:color w:val="auto"/>
        </w:rPr>
      </w:pPr>
      <w:r>
        <w:rPr>
          <w:rFonts w:ascii="Arial" w:cs="Arial" w:eastAsia="Arial" w:hAnsi="Arial"/>
          <w:sz w:val="17"/>
          <w:szCs w:val="17"/>
          <w:color w:val="auto"/>
        </w:rPr>
        <w:t>If to Katalyst Securities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Katalyst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1330 Avenue of the Americas, 14</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Silverman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103" w:lineRule="exact"/>
        <w:rPr>
          <w:sz w:val="20"/>
          <w:szCs w:val="20"/>
          <w:color w:val="auto"/>
        </w:rPr>
      </w:pPr>
    </w:p>
    <w:p>
      <w:pPr>
        <w:sectPr>
          <w:pgSz w:w="11900" w:h="16838" w:orient="portrait"/>
          <w:cols w:equalWidth="0" w:num="2">
            <w:col w:w="3420" w:space="720"/>
            <w:col w:w="72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Barbara J. Glenns, Esq.</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Law Office of Barbara J. Glenns,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Waterside Plaza, Suite 25G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103" w:lineRule="exact"/>
        <w:rPr>
          <w:sz w:val="20"/>
          <w:szCs w:val="20"/>
          <w:color w:val="auto"/>
        </w:rPr>
      </w:pPr>
    </w:p>
    <w:p>
      <w:pPr>
        <w:sectPr>
          <w:pgSz w:w="11900" w:h="16838" w:orient="portrait"/>
          <w:cols w:equalWidth="0" w:num="2">
            <w:col w:w="3420" w:space="720"/>
            <w:col w:w="72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If to GP Nurmenkari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GP Nurmenkari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18 East 41</w:t>
      </w:r>
      <w:r>
        <w:rPr>
          <w:rFonts w:ascii="Arial" w:cs="Arial" w:eastAsia="Arial" w:hAnsi="Arial"/>
          <w:sz w:val="13"/>
          <w:szCs w:val="13"/>
          <w:color w:val="auto"/>
        </w:rPr>
        <w:t>st</w:t>
      </w:r>
      <w:r>
        <w:rPr>
          <w:rFonts w:ascii="Arial" w:cs="Arial" w:eastAsia="Arial" w:hAnsi="Arial"/>
          <w:sz w:val="16"/>
          <w:szCs w:val="16"/>
          <w:color w:val="auto"/>
        </w:rPr>
        <w:t xml:space="preserve"> Street, Suite 1902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Jeffrey Berman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03" w:lineRule="exact"/>
        <w:rPr>
          <w:sz w:val="20"/>
          <w:szCs w:val="20"/>
          <w:color w:val="auto"/>
        </w:rPr>
      </w:pPr>
    </w:p>
    <w:p>
      <w:pPr>
        <w:sectPr>
          <w:pgSz w:w="11900" w:h="16838" w:orient="portrait"/>
          <w:cols w:equalWidth="0" w:num="2">
            <w:col w:w="3420" w:space="720"/>
            <w:col w:w="72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Sanders Ortoli Vaugh-Flam Rosenstadt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William Rosenstadt</w:t>
      </w:r>
    </w:p>
    <w:p>
      <w:pPr>
        <w:spacing w:after="0" w:line="200" w:lineRule="exact"/>
        <w:rPr>
          <w:sz w:val="20"/>
          <w:szCs w:val="20"/>
          <w:color w:val="auto"/>
        </w:rPr>
      </w:pPr>
    </w:p>
    <w:p>
      <w:pPr>
        <w:sectPr>
          <w:pgSz w:w="11900" w:h="16838" w:orient="portrait"/>
          <w:cols w:equalWidth="0" w:num="2">
            <w:col w:w="3420" w:space="720"/>
            <w:col w:w="7280"/>
          </w:cols>
          <w:pgMar w:left="240" w:top="274" w:right="239" w:bottom="1440" w:gutter="0" w:footer="0" w:header="0"/>
          <w:type w:val="continuous"/>
        </w:sectPr>
      </w:pPr>
    </w:p>
    <w:p>
      <w:pPr>
        <w:spacing w:after="0" w:line="20" w:lineRule="exact"/>
        <w:rPr>
          <w:sz w:val="20"/>
          <w:szCs w:val="20"/>
          <w:color w:val="auto"/>
        </w:rPr>
      </w:pPr>
    </w:p>
    <w:p>
      <w:pPr>
        <w:ind w:right="180" w:firstLine="464"/>
        <w:spacing w:after="0" w:line="266" w:lineRule="auto"/>
        <w:tabs>
          <w:tab w:leader="none" w:pos="726"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color w:val="auto"/>
        </w:rPr>
        <w:t>. This Agreement shall be deemed to have been made and delivered in New York City and shall be governed as to</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interpretation, construction, effect and in all other respects by the internal laws of the State of New York without regard to principles of conflicts of law thereof.</w:t>
      </w:r>
    </w:p>
    <w:p>
      <w:pPr>
        <w:spacing w:after="0" w:line="17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b w:val="1"/>
          <w:bCs w:val="1"/>
          <w:color w:val="auto"/>
        </w:rPr>
        <w:t>THE PARTIES HERETO AGREE TO SUBMIT ALL CONTROVERSIES TO THE EXCLUSIVE JURISDICTION OF FINRA ARBITRATION IN ACCORDANCE WITH THE PROVISIONS SET FORTH BELOW AND UNDERSTAND THAT (A) ARBITRATION IS FINAL AND BINDING ON THE PARTIES, (B) THE PARTIES ARE WAIVING THEIR RIGHTS TO SEEK REMEDIES IN COURT, INCLUDING THE RIGHT TO A JURY TRIAL, (C) PRE-ARBITRATION DISCOVERY IS GENERALLY MORE LIMITED AND DIFFERENT FROM COURT PROCEEDINGS, (D) THE ARBITRATOR’S AWARD IS NOT REQUIRED TO INCLUDE FACTUAL FINDINGS OR LEGAL REASONING AND ANY PARTY’S RIGHT TO APPEAL OR TO SEEK MODIFICATION OF RULES BY ARBITRATORS IS STRICTLY LIMITED, (E) THE PANEL OF FINRA ARBITRATORS WILL TYPICALLY INCLUDE A MINORITY OF ARBITRATORS WHO WERE OR ARE AFFILIATED WITH THE SECURITIES INDUSTRY, AND (F) ALL CONTROVERSIES WHICH MAY ARISE BETWEEN THE PARTIES CONCERNING THIS AGREEMENT SHALL BE DETERMINED BY ARBITRATION PURSUANT TO THE RULES THEN PERTAINING TO FINRA. ALL QUESTIONS CONCERNING THE CONSTRUCTION, VALIDITY, ENFORCEMENT AND INTERPRETATION OF THIS AGREEMENT SHALL BE GOVERNED BY AND CONSTRUED AND ENFORCED IN ACCORDANCE WITH THE LAWS OF THE STATE OF NEW YORK.</w:t>
      </w:r>
    </w:p>
    <w:p>
      <w:pPr>
        <w:spacing w:after="0" w:line="127"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23</w:t>
      </w:r>
    </w:p>
    <w:p>
      <w:pPr>
        <w:sectPr>
          <w:pgSz w:w="11900" w:h="16838" w:orient="portrait"/>
          <w:cols w:equalWidth="0" w:num="1">
            <w:col w:w="11420"/>
          </w:cols>
          <w:pgMar w:left="240" w:top="274" w:right="239" w:bottom="1440" w:gutter="0" w:footer="0" w:header="0"/>
          <w:type w:val="continuous"/>
        </w:sectPr>
      </w:pPr>
    </w:p>
    <w:bookmarkStart w:id="259" w:name="page260"/>
    <w:bookmarkEnd w:id="259"/>
    <w:p>
      <w:pPr>
        <w:ind w:right="8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JUDGMENT ON ANY AWARD OF ANY SUCH ARBITRATION MAY BE ENTERED IN THE SUPREME COURT OF THE STATE OF NEW YORK OR IN ANY OTHER COURT HAVING JURISDICTION OVER THE PERSON OR PERSONS AGAINST WHOM SUCH AWARD IS RENDERED. THE PARTIES AGREE THAT THE DETERMINATION OF THE ARBITRATORS SHALL BE BINDING AND CONCLUSIVE UPON THEM. THE PREVAILING PARTY, AS DETERMINED BY SUCH ARBITRATORS, IN A LEGAL PROCEEDING SHALL BE ENTITLED TO COLLECT ANY COSTS, DISBURSEMENTS AND REASONABLE ATTORNEY’S FEES FROM THE OTHER PARTY. PRIOR TO FILING AN ARBITRATION, THE PARTIES HEREBY AGREE THAT THEY WILL ATTEMPT TO RESOLVE THEIR DIFFERENCES FIRST BY SUBMITTING THE MATTER FOR RESOLUTION TO A MEDIATOR, ACCEPTABLE TO ALL PARTIES, AND WHOSE EXPENSES WILL BE BORNE EQUALLY BY ALL PARTIES. THE MEDIATION WILL BE HELD IN THE COUNTY OF NEW YORK, STATE OF NEW YORK, ON AN EXPEDITED BASIS. IF THE PARTIES CANNOT SUCCESSFULLY RESOLVE THEIR DIFFERENCES THROUGH MEDIATION, THE MATTER WILL BE RESOLVED BY ARBITRATION. THE ARBITRATION SHALL TAKE PLACE IN THE COUNTY OF NEW YORK, THE STATE OF NEW YORK, ON AN EXPEDITED BASIS.</w:t>
      </w:r>
    </w:p>
    <w:p>
      <w:pPr>
        <w:spacing w:after="0" w:line="193" w:lineRule="exact"/>
        <w:rPr>
          <w:sz w:val="20"/>
          <w:szCs w:val="20"/>
          <w:color w:val="auto"/>
        </w:rPr>
      </w:pPr>
    </w:p>
    <w:p>
      <w:pPr>
        <w:ind w:left="740" w:hanging="276"/>
        <w:spacing w:after="0"/>
        <w:tabs>
          <w:tab w:leader="none" w:pos="7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00" w:firstLine="921"/>
        <w:spacing w:after="0" w:line="255" w:lineRule="auto"/>
        <w:tabs>
          <w:tab w:leader="none" w:pos="115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No provision of this Agreement may be changed or terminated except by a writing signed by the party or parties to be charged therewith. Unless expressly so provided, no party to this Agreement will be liable for the performance of any other party’s obligations hereunder. Either party hereto may waive compliance by the other with any of the terms, provisions and conditions set forth herein; provided, however, that any such waiver shall be in writing specifically setting forth those provisions waived thereby. No such waiver shall be deemed to constitute or imply waiver of any other term, provision or condition of this Agreement. Neither party may assign its rights or obligations under this Agreement to any other person or entity without the prior written consent of the other party.</w:t>
      </w:r>
    </w:p>
    <w:p>
      <w:pPr>
        <w:spacing w:after="0" w:line="193" w:lineRule="exact"/>
        <w:rPr>
          <w:rFonts w:ascii="Arial" w:cs="Arial" w:eastAsia="Arial" w:hAnsi="Arial"/>
          <w:sz w:val="18"/>
          <w:szCs w:val="18"/>
          <w:color w:val="auto"/>
        </w:rPr>
      </w:pPr>
    </w:p>
    <w:p>
      <w:pPr>
        <w:ind w:firstLine="921"/>
        <w:spacing w:after="0" w:line="264" w:lineRule="auto"/>
        <w:tabs>
          <w:tab w:leader="none" w:pos="116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Each party shall, without payment of any additional consideration by any other party, at any time on or after the date of any Closings, take such further action and execute such other and further documents and instruments as the other party may reasonably request in order to provide the other party with the benefits of this Agreement.</w:t>
      </w:r>
    </w:p>
    <w:p>
      <w:pPr>
        <w:spacing w:after="0" w:line="181" w:lineRule="exact"/>
        <w:rPr>
          <w:rFonts w:ascii="Arial" w:cs="Arial" w:eastAsia="Arial" w:hAnsi="Arial"/>
          <w:sz w:val="18"/>
          <w:szCs w:val="18"/>
          <w:color w:val="auto"/>
        </w:rPr>
      </w:pPr>
    </w:p>
    <w:p>
      <w:pPr>
        <w:ind w:firstLine="921"/>
        <w:spacing w:after="0" w:line="264" w:lineRule="auto"/>
        <w:tabs>
          <w:tab w:leader="none" w:pos="115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Parties to this Agreement each hereby confirm that they will cooperate with each other to the extent that it may become necessary to enter into any revisions or amendments to this Agreement, in the future to conform to any federal or state regulations as long as such revisions or amendments do not materially alter the obligations or benefits of either party under this Agreement.</w:t>
      </w:r>
    </w:p>
    <w:p>
      <w:pPr>
        <w:spacing w:after="0" w:line="177" w:lineRule="exact"/>
        <w:rPr>
          <w:rFonts w:ascii="Arial" w:cs="Arial" w:eastAsia="Arial" w:hAnsi="Arial"/>
          <w:sz w:val="18"/>
          <w:szCs w:val="18"/>
          <w:color w:val="auto"/>
        </w:rPr>
      </w:pPr>
    </w:p>
    <w:p>
      <w:pPr>
        <w:ind w:right="160" w:firstLine="464"/>
        <w:spacing w:after="0" w:line="281" w:lineRule="auto"/>
        <w:tabs>
          <w:tab w:leader="none" w:pos="726"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Severability</w:t>
      </w:r>
      <w:r>
        <w:rPr>
          <w:rFonts w:ascii="Arial" w:cs="Arial" w:eastAsia="Arial" w:hAnsi="Arial"/>
          <w:sz w:val="17"/>
          <w:szCs w:val="17"/>
          <w:color w:val="auto"/>
        </w:rPr>
        <w:t>. This Agreement together with any other agreement referred to herein supersedes all prior understandings and</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agreements between the parties with respect to the Offering and the Warrant Exercise and the subject matter hereof. If any portion of this Agreement shall be held invalid or unenforceable, then so far as is reasonable and possible (i) the remainder of this Agreement shall be considered valid and enforceable and (ii) effect shall be given to the intent manifested by the portion held invalid or unenforceable.</w:t>
      </w:r>
    </w:p>
    <w:p>
      <w:pPr>
        <w:spacing w:after="0" w:line="164" w:lineRule="exact"/>
        <w:rPr>
          <w:rFonts w:ascii="Arial" w:cs="Arial" w:eastAsia="Arial" w:hAnsi="Arial"/>
          <w:sz w:val="17"/>
          <w:szCs w:val="17"/>
          <w:b w:val="1"/>
          <w:bCs w:val="1"/>
          <w:color w:val="auto"/>
        </w:rPr>
      </w:pPr>
    </w:p>
    <w:p>
      <w:pPr>
        <w:ind w:right="20" w:firstLine="464"/>
        <w:spacing w:after="0" w:line="277" w:lineRule="auto"/>
        <w:tabs>
          <w:tab w:leader="none" w:pos="726"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multiple counterparts, each of which may be executed by less than all of the parties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be an original instrument which shall be enforceable against the parties actually executing such counterparts and all of which together shall constitute one and the same instrument. The exchange of copies of this Agreement and of signature pages by facsimile transmission or in pdf format shall constitute effective execution and delivery of this Agreement as to the parties and may be used in lieu of the original Agreement for all purposes. Signatures of the parties transmitted by facsimile or in pdf format shall be deemed to be their original signatures for all purposes.</w:t>
      </w:r>
    </w:p>
    <w:p>
      <w:pPr>
        <w:spacing w:after="0" w:line="105"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24</w:t>
      </w:r>
    </w:p>
    <w:p>
      <w:pPr>
        <w:sectPr>
          <w:pgSz w:w="11900" w:h="16838" w:orient="portrait"/>
          <w:cols w:equalWidth="0" w:num="1">
            <w:col w:w="11420"/>
          </w:cols>
          <w:pgMar w:left="240" w:top="270" w:right="239" w:bottom="1440" w:gutter="0" w:footer="0" w:header="0"/>
        </w:sectPr>
      </w:pPr>
    </w:p>
    <w:bookmarkStart w:id="260" w:name="page261"/>
    <w:bookmarkEnd w:id="260"/>
    <w:p>
      <w:pPr>
        <w:ind w:right="200" w:firstLine="464"/>
        <w:spacing w:after="0" w:line="266" w:lineRule="auto"/>
        <w:tabs>
          <w:tab w:leader="none" w:pos="726"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Announcement of Offering</w:t>
      </w:r>
      <w:r>
        <w:rPr>
          <w:rFonts w:ascii="Arial" w:cs="Arial" w:eastAsia="Arial" w:hAnsi="Arial"/>
          <w:sz w:val="18"/>
          <w:szCs w:val="18"/>
          <w:color w:val="auto"/>
        </w:rPr>
        <w:t>. The Agents and their counsels and advisors may, subsequent to the closing of any Offering or the Warrant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make public their involvement with the Company, including use of the Company’s trademarks and logos. The Agents’ counsels and advisors are intended third party beneficiaries of this Section.</w:t>
      </w:r>
    </w:p>
    <w:p>
      <w:pPr>
        <w:spacing w:after="0" w:line="176" w:lineRule="exact"/>
        <w:rPr>
          <w:rFonts w:ascii="Arial" w:cs="Arial" w:eastAsia="Arial" w:hAnsi="Arial"/>
          <w:sz w:val="18"/>
          <w:szCs w:val="18"/>
          <w:b w:val="1"/>
          <w:bCs w:val="1"/>
          <w:color w:val="auto"/>
        </w:rPr>
      </w:pPr>
    </w:p>
    <w:p>
      <w:pPr>
        <w:ind w:right="100" w:firstLine="464"/>
        <w:spacing w:after="0" w:line="290" w:lineRule="auto"/>
        <w:tabs>
          <w:tab w:leader="none" w:pos="726"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Advice to the Board</w:t>
      </w:r>
      <w:r>
        <w:rPr>
          <w:rFonts w:ascii="Arial" w:cs="Arial" w:eastAsia="Arial" w:hAnsi="Arial"/>
          <w:sz w:val="16"/>
          <w:szCs w:val="16"/>
          <w:color w:val="auto"/>
        </w:rPr>
        <w:t>. The Company acknowledges that any advice given by the Agents to the Company is solely for benefit and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board of directors and officers, who will make all decisions regarding whether and how to pursue any opportunity or transaction, including any potential Offering and the Warrant Exercise. The Company’s board of directors and management may consider such advice, but will also base their decisions on the advice of legal, tax and other business advisors and other factors which they consider appropriate. Accordingly, as an independent contractor, the Agents will not assume the responsibilities of a fiduciary to the Company or its stockholders in connection with the performance of the services. Any advice provided may not be used, reproduced, disseminated, quoted or referred to without prior written consent of the providing party. The Agents do not provide accounting, tax or legal advice. The Company is a sophisticated business enterprise that has retained the Agents for the limited purposes set forth in this Agreement. The parties acknowledge and agree that their respective rights and obligations are contractual in nature. Each party disclaims an intention to impose fiduciary obligations on the other by virtue of the engagement contemplated by this Agreement.</w:t>
      </w:r>
    </w:p>
    <w:p>
      <w:pPr>
        <w:spacing w:after="0" w:line="159" w:lineRule="exact"/>
        <w:rPr>
          <w:rFonts w:ascii="Arial" w:cs="Arial" w:eastAsia="Arial" w:hAnsi="Arial"/>
          <w:sz w:val="16"/>
          <w:szCs w:val="16"/>
          <w:b w:val="1"/>
          <w:bCs w:val="1"/>
          <w:color w:val="auto"/>
        </w:rPr>
      </w:pPr>
    </w:p>
    <w:p>
      <w:pPr>
        <w:ind w:right="100" w:firstLine="464"/>
        <w:spacing w:after="0" w:line="288" w:lineRule="auto"/>
        <w:tabs>
          <w:tab w:leader="none" w:pos="726"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Investment Banking Services</w:t>
      </w:r>
      <w:r>
        <w:rPr>
          <w:rFonts w:ascii="Arial" w:cs="Arial" w:eastAsia="Arial" w:hAnsi="Arial"/>
          <w:sz w:val="16"/>
          <w:szCs w:val="16"/>
          <w:color w:val="auto"/>
        </w:rPr>
        <w:t>. The Company acknowledges that the Agents and their affiliates are securities firms engaged in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and brokerage activities and providing investment banking and financial advisory services. In the ordinary course of business, the Agents and their affiliates may at any time hold long or short positions, and may trade or otherwise effect transactions, for their own account or the accounts of customers, in the Company’s debt or equity securities, its affiliates or other entities that may be involved in the transactions contemplated by this Agreement. In addition, the Agents and their affiliates may from time to time perform various investment banking and financial advisory services for other clients and customers who may have conflicting interests with respect to the Company, the Offering or the Warrant Exercise. The Company also acknowledges that the Agents and their affiliates have no obligation to use in connection with this engagement or to furnish the Company, confidential information obtained from other companies. Furthermore, the Company acknowledges the Agents may have fiduciary or other relationships whereby it or its affiliates may exercise voting power over securities of various persons, which securities may from time to time include securities of the Company or others with interests in respect of any Offering or the Warrant Exercise. The Company acknowledges that the Agents or such affiliates may exercise such powers and otherwise perform our functions in connection with such fiduciary or other relationships without regard to the Agents’ relationship to the Company hereunder.</w:t>
      </w:r>
    </w:p>
    <w:p>
      <w:pPr>
        <w:spacing w:after="0" w:line="164" w:lineRule="exact"/>
        <w:rPr>
          <w:rFonts w:ascii="Arial" w:cs="Arial" w:eastAsia="Arial" w:hAnsi="Arial"/>
          <w:sz w:val="16"/>
          <w:szCs w:val="16"/>
          <w:b w:val="1"/>
          <w:bCs w:val="1"/>
          <w:color w:val="auto"/>
        </w:rPr>
      </w:pPr>
    </w:p>
    <w:p>
      <w:pPr>
        <w:ind w:right="40" w:firstLine="464"/>
        <w:spacing w:after="0" w:line="295" w:lineRule="auto"/>
        <w:tabs>
          <w:tab w:leader="none" w:pos="726"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w:t>
      </w:r>
      <w:r>
        <w:rPr>
          <w:rFonts w:ascii="Arial" w:cs="Arial" w:eastAsia="Arial" w:hAnsi="Arial"/>
          <w:sz w:val="16"/>
          <w:szCs w:val="16"/>
          <w:color w:val="auto"/>
        </w:rPr>
        <w:t>. This Agreement shall inure to the benefit of and be binding upon the successors of the respective Agent and of the Company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party that acquires the Company or all or substantially all of its assets or merges with the Company). Nothing expressed or mentioned in this Agreement is intended or shall be construed to give any person or corporation, other than the parties hereto and parties expressly referred to herein, any legal or equitable right, remedy or claim under or in respect to this Agreement or any provision hereof. The term “successors” shall not include any purchaser of the Securities merely by reason of such purchase. No subrogee of a benefited party shall be entitled to any benefits hereunder. Each party hereto disclaims any an intention to impose any fiduciary obligation on any other party by virtue of the arrangements contemplated by this Agreement.</w:t>
      </w:r>
    </w:p>
    <w:p>
      <w:pPr>
        <w:spacing w:after="0" w:line="92"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25</w:t>
      </w:r>
    </w:p>
    <w:p>
      <w:pPr>
        <w:sectPr>
          <w:pgSz w:w="11900" w:h="16838" w:orient="portrait"/>
          <w:cols w:equalWidth="0" w:num="1">
            <w:col w:w="11420"/>
          </w:cols>
          <w:pgMar w:left="240" w:top="270" w:right="2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26</w:t>
      </w:r>
    </w:p>
    <w:p>
      <w:pPr>
        <w:sectPr>
          <w:pgSz w:w="11900" w:h="16838" w:orient="portrait"/>
          <w:cols w:equalWidth="0" w:num="1">
            <w:col w:w="11420"/>
          </w:cols>
          <w:pgMar w:left="240" w:top="274" w:right="239" w:bottom="1440" w:gutter="0" w:footer="0" w:header="0"/>
        </w:sectPr>
      </w:pPr>
    </w:p>
    <w:bookmarkStart w:id="262" w:name="page263"/>
    <w:bookmarkEnd w:id="262"/>
    <w:p>
      <w:pPr>
        <w:ind w:right="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the agreement among the Company and the Agents, kindly sign and return this Agreement, whereupon it will become a binding agreement as provided herein, among the Company and the Agents in accordance with its terms.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Agreement contains a pre-dispute arbitration provision in paragraph 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Glynn Wilson, Ph.D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KATALYST SECURITIES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A. Silverman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Managing Director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GP NURMENKARI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Albert Pezone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Albert Pezone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14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27</w:t>
      </w:r>
    </w:p>
    <w:p>
      <w:pPr>
        <w:sectPr>
          <w:pgSz w:w="11900" w:h="16838" w:orient="portrait"/>
          <w:cols w:equalWidth="0" w:num="1">
            <w:col w:w="11420"/>
          </w:cols>
          <w:pgMar w:left="240" w:top="274" w:right="2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w:t>
      </w:r>
    </w:p>
    <w:p>
      <w:pPr>
        <w:spacing w:after="0" w:line="229" w:lineRule="exact"/>
        <w:rPr>
          <w:sz w:val="20"/>
          <w:szCs w:val="20"/>
          <w:color w:val="auto"/>
        </w:rPr>
      </w:pPr>
    </w:p>
    <w:p>
      <w:pPr>
        <w:jc w:val="both"/>
        <w:ind w:right="800" w:firstLine="913"/>
        <w:spacing w:after="0" w:line="264" w:lineRule="auto"/>
        <w:rPr>
          <w:sz w:val="20"/>
          <w:szCs w:val="20"/>
          <w:color w:val="auto"/>
        </w:rPr>
      </w:pPr>
      <w:r>
        <w:rPr>
          <w:rFonts w:ascii="Arial" w:cs="Arial" w:eastAsia="Arial" w:hAnsi="Arial"/>
          <w:sz w:val="18"/>
          <w:szCs w:val="18"/>
          <w:color w:val="auto"/>
        </w:rPr>
        <w:t>This First Amendment to Placement Agency Agreement (“Amendment”) is entered into as of the 29</w:t>
      </w:r>
      <w:r>
        <w:rPr>
          <w:rFonts w:ascii="Arial" w:cs="Arial" w:eastAsia="Arial" w:hAnsi="Arial"/>
          <w:sz w:val="15"/>
          <w:szCs w:val="15"/>
          <w:color w:val="auto"/>
        </w:rPr>
        <w:t>th</w:t>
      </w:r>
      <w:r>
        <w:rPr>
          <w:rFonts w:ascii="Arial" w:cs="Arial" w:eastAsia="Arial" w:hAnsi="Arial"/>
          <w:sz w:val="18"/>
          <w:szCs w:val="18"/>
          <w:color w:val="auto"/>
        </w:rPr>
        <w:t xml:space="preserve"> day of July 2016, by and among TapImmune Inc. (“Company”), Katalyst Securities LLC and GP Nurmenkari Inc. (collectively referred to as the “Agents”) and amends the Agency Agreement dated July 21, 2016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the Agreement hereby amend and restate in its entirety the following of the Agreement to read as follows:</w:t>
      </w:r>
    </w:p>
    <w:p>
      <w:pPr>
        <w:spacing w:after="0" w:line="225" w:lineRule="exact"/>
        <w:rPr>
          <w:sz w:val="20"/>
          <w:szCs w:val="20"/>
          <w:color w:val="auto"/>
        </w:rPr>
      </w:pPr>
    </w:p>
    <w:p>
      <w:pPr>
        <w:ind w:left="640" w:hanging="176"/>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Appointment of Agents.</w:t>
      </w:r>
    </w:p>
    <w:p>
      <w:pPr>
        <w:spacing w:after="0" w:line="225" w:lineRule="exact"/>
        <w:rPr>
          <w:rFonts w:ascii="Arial" w:cs="Arial" w:eastAsia="Arial" w:hAnsi="Arial"/>
          <w:sz w:val="18"/>
          <w:szCs w:val="18"/>
          <w:color w:val="auto"/>
        </w:rPr>
      </w:pPr>
    </w:p>
    <w:p>
      <w:pPr>
        <w:ind w:right="40" w:firstLine="1492"/>
        <w:spacing w:after="0" w:line="284" w:lineRule="auto"/>
        <w:tabs>
          <w:tab w:leader="none" w:pos="1728" w:val="left"/>
        </w:tabs>
        <w:numPr>
          <w:ilvl w:val="1"/>
          <w:numId w:val="303"/>
        </w:numPr>
        <w:rPr>
          <w:rFonts w:ascii="Arial" w:cs="Arial" w:eastAsia="Arial" w:hAnsi="Arial"/>
          <w:sz w:val="16"/>
          <w:szCs w:val="16"/>
          <w:color w:val="auto"/>
        </w:rPr>
      </w:pPr>
      <w:r>
        <w:rPr>
          <w:rFonts w:ascii="Arial" w:cs="Arial" w:eastAsia="Arial" w:hAnsi="Arial"/>
          <w:sz w:val="16"/>
          <w:szCs w:val="16"/>
          <w:color w:val="auto"/>
        </w:rPr>
        <w:t xml:space="preserve">On the basis of the written and documented representations and warranties of the Company provided herein, and subject to the terms and conditions set forth herein, the Company hereby appoints (i) each Agent as an Agent of the Company during the Offering Period (as defined in Section 1(b) below) to assist the Company in finding qualified subscribers for the Offering and (ii) GPN as an Agent of the Company during the Offering Period to assist the Company with its solicitation of certain of the warrant holders to participate in the Warrant Exercise and to modify other warrants (the “Warrant Modification”) as described in Section 4(c) of the Subscription Agreement (as defined herein). Katalyst may offer the Securities through other broker-dealers who are FINRA members (collectively, the “Sub Agents”) and may reallow all or a portion of Katalyst’s Broker Compensation (as defined in Section 3A below) it receives to such other Sub Agents or pay a finders or consultant fee as allowed by applicable law. On the basis of such representations and warranties and subject to such terms and conditions, the Agents hereby accept such appointment and agree to perform the services hereunder diligently and in good faith and in a professional and businesslike manner and in compliance with applicable law and to use its reasonable best efforts to assist the Company in finding subscribers of the Securities who qualify as “accredited investors,” as such term is defined in Rule 501 of Regulation D. The Agents have no obligation to purchase any of the Securities or sell any Securities. Unless sooner terminated in accordance with this Agreement, the engagement of each Agent pursuant to subclause (i) above shall continue until the later of the Termination Date or the Final Closing (as defined below) and the engagement of GPN hereunder shall continue until the earlier of one-year from the date hereof or completion of the Warrant Exercise and the Warrant Modification. The Offering is currently anticipated to be the private placement of Units (“Units”), with each Unit consisting of (i) one share of the Company’s common stock (the “Common Stock”), par value $0.001 (each, a “Share”) and (ii) one warrant to purchase one share of Common Stock with an exercise price equal to 125% of the Purchase Price (defined below) (each, a “Warrant” and collectively with the Shares, the Warrant Shares (as defined herein) and the Units, the “Securities”). The Offering is for a minimum of gross proceeds of Two Million Dollars ($2,000,000) (the “Minimum Offering”) and a maximum of gross proceeds of Four Million Dollars ($4,000,000 (the “Maximum Offering”) through the sale of the Units, with an over-subscription option up to an additional One Million Dollars ($1,000,000). The offering price per Unit will be the lesser of (i) 90% of the weighted average closing prices of the Common Stock for the five (5) trading days preceding the Initial Closing of the Offering, and (ii) Fifty Cents ($0.50) (the </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The minimum subscription is Twenty Five Thousand Dollars ($25,000),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subscriptions in lesser amounts may be accepted by the Company in its sole discretion.</w:t>
      </w:r>
    </w:p>
    <w:p>
      <w:pPr>
        <w:spacing w:after="0" w:line="1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28</w:t>
      </w:r>
    </w:p>
    <w:p>
      <w:pPr>
        <w:sectPr>
          <w:pgSz w:w="11900" w:h="16838" w:orient="portrait"/>
          <w:cols w:equalWidth="0" w:num="1">
            <w:col w:w="11420"/>
          </w:cols>
          <w:pgMar w:left="240" w:top="270" w:right="239" w:bottom="1440" w:gutter="0" w:footer="0" w:header="0"/>
        </w:sectPr>
      </w:pPr>
    </w:p>
    <w:bookmarkStart w:id="264" w:name="page265"/>
    <w:bookmarkEnd w:id="264"/>
    <w:p>
      <w:pPr>
        <w:ind w:right="1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is hereby made part of and incorporated into the Agreement, with all the terms and conditions of the Agreement remaining in full force and effect, except to the extent modified hereby.</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This Amendment may be executed in multiple counterparts, each of which may be executed by less than all of the parties and shall be deemed to be an original instrument which shall be enforceable against the parties actually executing such counterparts and all of which together shall constitute one and the same instrument. The exchange of copies of this Amendment and of signature pages by facsimile transmission or in pdf format shall constitute effective execution and delivery of this Amendment as to the parties and may be used in lieu of the original Amendment for all purposes. Signatures of the parties transmitted by facsimile or in pdf format shall be deemed to be their original signatures for all purposes.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WHEREOF, this Amendment has been executed and delivered by the parties below effective as of the date first set forth above.</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Glynn Wilson, Ph.D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KATALYST SECURITIES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A. Silverman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Managing Director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GP NURMENKARI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Albert Pezone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Albert Pezone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380"/>
          </w:cols>
          <w:pgMar w:left="240" w:top="274" w:right="27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172085</wp:posOffset>
            </wp:positionV>
            <wp:extent cx="1243330" cy="6686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4333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TapImmune Enters into Definitive Agreements to raise $8.5 Million from the Exercise of Outstanding Warrants and in a Private Placement from New Investors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has Applied for Listing on Nasdaq Capital Market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JACKSONVILLE, Florida, August 11, 2016 / TapImmune Inc. (TPIV), a clinical-stage immuno-oncology company specializing in the development of innovative peptide and gene-based immunotherapeutics and vaccines for the treatment of cancer and metastatic disease, announced today the entry into definitive agreements to raise aggregate gross proceeds of approximately $8.5 million from an approximately $2.5 million private placement transaction with new investors and the exercise of certain outstanding warrants from existing investors that will result in gross proceeds of $6 million. The closing of the transactions are subject to customary closing conditions.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the private placement, the Company has agreed to sell 6,250,000 shares of its common stock and five-year warrants to purchase an equal number of the Company’s shares of common stock, at an exercise price of $0.50 per share.</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Simultaneously with signing the private placement agreement, holders of an aggregate of 12 million Series C and C-1 Warrants, each providing for the purchase of one share of Company common stock for $0.50 per share, have agreed to exercise their warrants for an aggregate exercise price of $6,000,000.</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Additionally, the Company and the holders of the warrants entered into an amendment to the terms of their other outstanding warrants to remove provisions that had previously caused them to be classified as a derivative liability on the Company’s balance sheet for additional consideration, which consideration shall consist of shares of common stock and additional warrants to purchase common stock.</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expects to use the net proceeds, after payment of offering expenses, for general corporate purposes, including clinical trial expenses and research and development expenses over the next 18 months. The Company currently has its lead product TPIV 200, a T-cell cancer vaccine against the target folate receptor alpha, in three Phase 2 trials with a fourth targeted to start in the fourth quarter of this year. One study in triple negative breast cancer is being run at the Mayo clinic with a grant provided by the Department of Defense, a second in ovarian cancer has begun enrollment at Memorial Sloan Kettering Cancer Center in New York City in collaboration with Astra Zeneca. The Company is sponsoring two studies in ovarian and triple negative breast cancer. The Company plans to fund these studies as well as begin development on its Her2/neu product TPIV 110 with the proceeds from this financing.</w:t>
      </w:r>
    </w:p>
    <w:p>
      <w:pPr>
        <w:sectPr>
          <w:pgSz w:w="11900" w:h="16838" w:orient="portrait"/>
          <w:cols w:equalWidth="0" w:num="1">
            <w:col w:w="11420"/>
          </w:cols>
          <w:pgMar w:left="240" w:top="121" w:right="239" w:bottom="1440" w:gutter="0" w:footer="0" w:header="0"/>
        </w:sectPr>
      </w:pPr>
    </w:p>
    <w:bookmarkStart w:id="266" w:name="page267"/>
    <w:bookmarkEnd w:id="266"/>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also announced that it has filed an application with the Nasdaq Stock Market to obtain a listing of its common stock on the Nasdaq Capital Market. The Company and its Board of Directors are working on finalizing plans to meet all of the Nasdaq listing requirements. No assurance can be given that the Company’s common stock will be approved for listing on the Nasdaq Capital Market.</w:t>
      </w:r>
    </w:p>
    <w:p>
      <w:pPr>
        <w:spacing w:after="0" w:line="18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warrant exercise illustrates the support our current investors have in the progress we have made in developing our T-cell vaccines. They have exercised their warrants priced at $0.50 in order to provide the Company with the necessary capital to continue moving forward.” stated Glynn Wilson, Chairman and CEO of TapImmune. “We believe that these events will provide the catalyst for future growth of the Company in one of the most rapidly growing sectors of the oncology market.”</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is filing today a Form 8-K with the Securities and Exchange Commission that provides additional details regarding these matters, pending closing, and readers are encouraged to read such Form 8-K and the exhibits thereto in their entirety.</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securities to be sold in this private placement have not been registered under the Securities Act of 1933, as amended (the “Securities Act”), or applicable state securities laws, and accordingly may not be offered or sold in the United States except pursuant to an effective registration statement or an applicable exemption from the registration requirements of the Securities Act and such applicable state securities laws. The Company has agreed to file a registration statement with the Securities and Exchange Commission (the “SEC”) registering the resale of the shares of common stock, and the shares of common stock issuable upon the exercise of the warrants, issued in this private placement.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Katalyst Securities acted as the placement agent for the private placement financing.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the securities, nor shall there be any sale of the securities in any state in which such offer, solicitation or sale would be unlawful prior to the registration or qualification under the securities laws of such state. Any offering of the securities under the resale registration statement will only be by means of a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About TapImmune Inc.</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TapImmune Inc. is an immune-oncology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auto"/>
        </w:rPr>
        <w:t>www.tapimmune.com</w:t>
      </w:r>
      <w:r>
        <w:rPr>
          <w:rFonts w:ascii="Arial" w:cs="Arial" w:eastAsia="Arial" w:hAnsi="Arial"/>
          <w:sz w:val="17"/>
          <w:szCs w:val="17"/>
          <w:color w:val="auto"/>
        </w:rPr>
        <w:t xml:space="preserve"> for details.</w:t>
      </w:r>
    </w:p>
    <w:p>
      <w:pPr>
        <w:sectPr>
          <w:pgSz w:w="11900" w:h="16838" w:orient="portrait"/>
          <w:cols w:equalWidth="0" w:num="1">
            <w:col w:w="11380"/>
          </w:cols>
          <w:pgMar w:left="240" w:top="274" w:right="27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 Disclaimer</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results of the Phase II clinical trials, the ability to obtain regulatory approval of TPIV 200, the Company’s ability to raise future financing for continued development, the ability to successfully commercialize TPIV 200 and the ability to successfully achieve a Nasdaq Capital Market listing, as well as the risks and uncertainties set forth in the Company’s most recent Form 10-K, 10-Q and other SEC filings which are available through EDGAR at www.sec.gov. The Company assumes no obligation to update the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DE8AF6"/>
    <w:multiLevelType w:val="hybridMultilevel"/>
    <w:lvl w:ilvl="0">
      <w:lvlJc w:val="left"/>
      <w:lvlText w:val="☐"/>
      <w:numFmt w:val="bullet"/>
      <w:start w:val="1"/>
    </w:lvl>
  </w:abstractNum>
  <w:abstractNum w:abstractNumId="1">
    <w:nsid w:val="3FC32E20"/>
    <w:multiLevelType w:val="hybridMultilevel"/>
    <w:lvl w:ilvl="0">
      <w:lvlJc w:val="left"/>
      <w:lvlText w:val="(%1)"/>
      <w:numFmt w:val="lowerLetter"/>
      <w:start w:val="4"/>
    </w:lvl>
  </w:abstractNum>
  <w:abstractNum w:abstractNumId="2">
    <w:nsid w:val="49C0E823"/>
    <w:multiLevelType w:val="hybridMultilevel"/>
    <w:lvl w:ilvl="0">
      <w:lvlJc w:val="left"/>
      <w:lvlText w:val="(%1)"/>
      <w:numFmt w:val="lowerLetter"/>
      <w:start w:val="2"/>
    </w:lvl>
    <w:lvl w:ilvl="1">
      <w:lvlJc w:val="left"/>
      <w:lvlText w:val="(%2)"/>
      <w:numFmt w:val="decimal"/>
      <w:start w:val="1"/>
    </w:lvl>
  </w:abstractNum>
  <w:abstractNum w:abstractNumId="3">
    <w:nsid w:val="14D53685"/>
    <w:multiLevelType w:val="hybridMultilevel"/>
    <w:lvl w:ilvl="0">
      <w:lvlJc w:val="left"/>
      <w:lvlText w:val="1"/>
      <w:numFmt w:val="bullet"/>
      <w:start w:val="1"/>
    </w:lvl>
  </w:abstractNum>
  <w:abstractNum w:abstractNumId="4">
    <w:nsid w:val="230F856C"/>
    <w:multiLevelType w:val="hybridMultilevel"/>
    <w:lvl w:ilvl="0">
      <w:lvlJc w:val="left"/>
      <w:lvlText w:val="(%1)"/>
      <w:numFmt w:val="lowerLetter"/>
      <w:start w:val="3"/>
    </w:lvl>
  </w:abstractNum>
  <w:abstractNum w:abstractNumId="5">
    <w:nsid w:val="6EAA85FB"/>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6">
    <w:nsid w:val="3F06ECB2"/>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7">
    <w:nsid w:val="3B594807"/>
    <w:multiLevelType w:val="hybridMultilevel"/>
    <w:lvl w:ilvl="0">
      <w:lvlJc w:val="left"/>
      <w:lvlText w:val="(%1)"/>
      <w:numFmt w:val="lowerLetter"/>
      <w:start w:val="2"/>
    </w:lvl>
    <w:lvl w:ilvl="1">
      <w:lvlJc w:val="left"/>
      <w:lvlText w:val="(%2)"/>
      <w:numFmt w:val="decimal"/>
      <w:start w:val="1"/>
    </w:lvl>
  </w:abstractNum>
  <w:abstractNum w:abstractNumId="8">
    <w:nsid w:val="6CAA2304"/>
    <w:multiLevelType w:val="hybridMultilevel"/>
    <w:lvl w:ilvl="0">
      <w:lvlJc w:val="left"/>
      <w:lvlText w:val="2"/>
      <w:numFmt w:val="bullet"/>
      <w:start w:val="1"/>
    </w:lvl>
  </w:abstractNum>
  <w:abstractNum w:abstractNumId="9">
    <w:nsid w:val="3F7C2FF4"/>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0">
    <w:nsid w:val="25413BE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1">
    <w:nsid w:val="17180B0B"/>
    <w:multiLevelType w:val="hybridMultilevel"/>
    <w:lvl w:ilvl="0">
      <w:lvlJc w:val="left"/>
      <w:lvlText w:val="(%1)"/>
      <w:numFmt w:val="lowerLetter"/>
      <w:start w:val="2"/>
    </w:lvl>
  </w:abstractNum>
  <w:abstractNum w:abstractNumId="12">
    <w:nsid w:val="579328B9"/>
    <w:multiLevelType w:val="hybridMultilevel"/>
    <w:lvl w:ilvl="0">
      <w:lvlJc w:val="left"/>
      <w:lvlText w:val="%1."/>
      <w:numFmt w:val="decimal"/>
      <w:start w:val="6"/>
    </w:lvl>
    <w:lvl w:ilvl="1">
      <w:lvlJc w:val="left"/>
      <w:lvlText w:val="(%2)"/>
      <w:numFmt w:val="lowerLetter"/>
      <w:start w:val="1"/>
    </w:lvl>
  </w:abstractNum>
  <w:abstractNum w:abstractNumId="13">
    <w:nsid w:val="5D205E20"/>
    <w:multiLevelType w:val="hybridMultilevel"/>
    <w:lvl w:ilvl="0">
      <w:lvlJc w:val="left"/>
      <w:lvlText w:val="(%1)"/>
      <w:numFmt w:val="lowerLetter"/>
      <w:start w:val="3"/>
    </w:lvl>
  </w:abstractNum>
  <w:abstractNum w:abstractNumId="14">
    <w:nsid w:val="11CCA8BA"/>
    <w:multiLevelType w:val="hybridMultilevel"/>
    <w:lvl w:ilvl="0">
      <w:lvlJc w:val="left"/>
      <w:lvlText w:val="%1."/>
      <w:numFmt w:val="decimal"/>
      <w:start w:val="8"/>
    </w:lvl>
    <w:lvl w:ilvl="1">
      <w:lvlJc w:val="left"/>
      <w:lvlText w:val="(%2)"/>
      <w:numFmt w:val="lowerLetter"/>
      <w:start w:val="1"/>
    </w:lvl>
  </w:abstractNum>
  <w:abstractNum w:abstractNumId="15">
    <w:nsid w:val="4D32AB86"/>
    <w:multiLevelType w:val="hybridMultilevel"/>
    <w:lvl w:ilvl="0">
      <w:lvlJc w:val="left"/>
      <w:lvlText w:val="%1"/>
      <w:numFmt w:val="decimal"/>
      <w:start w:val="1"/>
    </w:lvl>
    <w:lvl w:ilvl="1">
      <w:lvlJc w:val="left"/>
      <w:lvlText w:val="(%2)"/>
      <w:numFmt w:val="lowerLetter"/>
      <w:start w:val="2"/>
    </w:lvl>
  </w:abstractNum>
  <w:abstractNum w:abstractNumId="16">
    <w:nsid w:val="3F07ACC3"/>
    <w:multiLevelType w:val="hybridMultilevel"/>
    <w:lvl w:ilvl="0">
      <w:lvlJc w:val="left"/>
      <w:lvlText w:val="%1."/>
      <w:numFmt w:val="decimal"/>
      <w:start w:val="12"/>
    </w:lvl>
    <w:lvl w:ilvl="1">
      <w:lvlJc w:val="left"/>
      <w:lvlText w:val="(%2)"/>
      <w:numFmt w:val="lowerLetter"/>
      <w:start w:val="1"/>
    </w:lvl>
  </w:abstractNum>
  <w:abstractNum w:abstractNumId="17">
    <w:nsid w:val="6B47F63E"/>
    <w:multiLevelType w:val="hybridMultilevel"/>
    <w:lvl w:ilvl="0">
      <w:lvlJc w:val="left"/>
      <w:lvlText w:val="(%1)"/>
      <w:numFmt w:val="lowerLetter"/>
      <w:start w:val="2"/>
    </w:lvl>
  </w:abstractNum>
  <w:abstractNum w:abstractNumId="18">
    <w:nsid w:val="5CB44A05"/>
    <w:multiLevelType w:val="hybridMultilevel"/>
    <w:lvl w:ilvl="0">
      <w:lvlJc w:val="left"/>
      <w:lvlText w:val="%1."/>
      <w:numFmt w:val="decimal"/>
      <w:start w:val="1"/>
    </w:lvl>
    <w:lvl w:ilvl="1">
      <w:lvlJc w:val="left"/>
      <w:lvlText w:val="(%2)"/>
      <w:numFmt w:val="lowerLetter"/>
      <w:start w:val="1"/>
    </w:lvl>
  </w:abstractNum>
  <w:abstractNum w:abstractNumId="19">
    <w:nsid w:val="16CF80F1"/>
    <w:multiLevelType w:val="hybridMultilevel"/>
    <w:lvl w:ilvl="0">
      <w:lvlJc w:val="left"/>
      <w:lvlText w:val="(%1)"/>
      <w:numFmt w:val="lowerLetter"/>
      <w:start w:val="2"/>
    </w:lvl>
  </w:abstractNum>
  <w:abstractNum w:abstractNumId="20">
    <w:nsid w:val="1C695DEC"/>
    <w:multiLevelType w:val="hybridMultilevel"/>
    <w:lvl w:ilvl="0">
      <w:lvlJc w:val="left"/>
      <w:lvlText w:val="(%1)"/>
      <w:numFmt w:val="lowerLetter"/>
      <w:start w:val="5"/>
    </w:lvl>
  </w:abstractNum>
  <w:abstractNum w:abstractNumId="21">
    <w:nsid w:val="3FCFAED9"/>
    <w:multiLevelType w:val="hybridMultilevel"/>
    <w:lvl w:ilvl="0">
      <w:lvlJc w:val="left"/>
      <w:lvlText w:val="%1"/>
      <w:numFmt w:val="decimal"/>
      <w:start w:val="1"/>
    </w:lvl>
    <w:lvl w:ilvl="1">
      <w:lvlJc w:val="left"/>
      <w:lvlText w:val="(%2)"/>
      <w:numFmt w:val="lowerLetter"/>
      <w:start w:val="7"/>
    </w:lvl>
  </w:abstractNum>
  <w:abstractNum w:abstractNumId="22">
    <w:nsid w:val="F856867"/>
    <w:multiLevelType w:val="hybridMultilevel"/>
    <w:lvl w:ilvl="0">
      <w:lvlJc w:val="left"/>
      <w:lvlText w:val="%1."/>
      <w:numFmt w:val="decimal"/>
      <w:start w:val="2"/>
    </w:lvl>
    <w:lvl w:ilvl="1">
      <w:lvlJc w:val="left"/>
      <w:lvlText w:val="(%2)"/>
      <w:numFmt w:val="lowerLetter"/>
      <w:start w:val="1"/>
    </w:lvl>
  </w:abstractNum>
  <w:abstractNum w:abstractNumId="23">
    <w:nsid w:val="11B1CC33"/>
    <w:multiLevelType w:val="hybridMultilevel"/>
    <w:lvl w:ilvl="0">
      <w:lvlJc w:val="left"/>
      <w:lvlText w:val="%1"/>
      <w:numFmt w:val="decimal"/>
      <w:start w:val="1"/>
    </w:lvl>
    <w:lvl w:ilvl="1">
      <w:lvlJc w:val="left"/>
      <w:lvlText w:val="(%2)"/>
      <w:numFmt w:val="lowerLetter"/>
      <w:start w:val="3"/>
    </w:lvl>
  </w:abstractNum>
  <w:abstractNum w:abstractNumId="24">
    <w:nsid w:val="2E22FBB7"/>
    <w:multiLevelType w:val="hybridMultilevel"/>
    <w:lvl w:ilvl="0">
      <w:lvlJc w:val="left"/>
      <w:lvlText w:val="%1."/>
      <w:numFmt w:val="decimal"/>
      <w:start w:val="3"/>
    </w:lvl>
    <w:lvl w:ilvl="1">
      <w:lvlJc w:val="left"/>
      <w:lvlText w:val="(%2)"/>
      <w:numFmt w:val="lowerLetter"/>
      <w:start w:val="1"/>
    </w:lvl>
  </w:abstractNum>
  <w:abstractNum w:abstractNumId="25">
    <w:nsid w:val="29934699"/>
    <w:multiLevelType w:val="hybridMultilevel"/>
    <w:lvl w:ilvl="0">
      <w:lvlJc w:val="left"/>
      <w:lvlText w:val="%1"/>
      <w:numFmt w:val="decimal"/>
      <w:start w:val="1"/>
    </w:lvl>
    <w:lvl w:ilvl="1">
      <w:lvlJc w:val="left"/>
      <w:lvlText w:val="(%2)"/>
      <w:numFmt w:val="lowerLetter"/>
      <w:start w:val="3"/>
    </w:lvl>
  </w:abstractNum>
  <w:abstractNum w:abstractNumId="26">
    <w:nsid w:val="77485850"/>
    <w:multiLevelType w:val="hybridMultilevel"/>
    <w:lvl w:ilvl="0">
      <w:lvlJc w:val="left"/>
      <w:lvlText w:val="%1."/>
      <w:numFmt w:val="decimal"/>
      <w:start w:val="5"/>
    </w:lvl>
    <w:lvl w:ilvl="1">
      <w:lvlJc w:val="left"/>
      <w:lvlText w:val="%2"/>
      <w:numFmt w:val="lowerLetter"/>
      <w:start w:val="1"/>
    </w:lvl>
  </w:abstractNum>
  <w:abstractNum w:abstractNumId="27">
    <w:nsid w:val="744939A3"/>
    <w:multiLevelType w:val="hybridMultilevel"/>
    <w:lvl w:ilvl="0">
      <w:lvlJc w:val="left"/>
      <w:lvlText w:val="%1."/>
      <w:numFmt w:val="decimal"/>
      <w:start w:val="7"/>
    </w:lvl>
    <w:lvl w:ilvl="1">
      <w:lvlJc w:val="left"/>
      <w:lvlText w:val="(%2)"/>
      <w:numFmt w:val="lowerLetter"/>
      <w:start w:val="1"/>
    </w:lvl>
  </w:abstractNum>
  <w:abstractNum w:abstractNumId="28">
    <w:nsid w:val="4FA0D2E3"/>
    <w:multiLevelType w:val="hybridMultilevel"/>
    <w:lvl w:ilvl="0">
      <w:lvlJc w:val="left"/>
      <w:lvlText w:val="%1."/>
      <w:numFmt w:val="decimal"/>
      <w:start w:val="9"/>
    </w:lvl>
  </w:abstractNum>
  <w:abstractNum w:abstractNumId="29">
    <w:nsid w:val="6B1D2C14"/>
    <w:multiLevelType w:val="hybridMultilevel"/>
    <w:lvl w:ilvl="0">
      <w:lvlJc w:val="left"/>
      <w:lvlText w:val="%1."/>
      <w:numFmt w:val="decimal"/>
      <w:start w:val="14"/>
    </w:lvl>
    <w:lvl w:ilvl="1">
      <w:lvlJc w:val="left"/>
      <w:lvlText w:val="(%2)"/>
      <w:numFmt w:val="lowerLetter"/>
      <w:start w:val="1"/>
    </w:lvl>
  </w:abstractNum>
  <w:abstractNum w:abstractNumId="30">
    <w:nsid w:val="68B867D3"/>
    <w:multiLevelType w:val="hybridMultilevel"/>
    <w:lvl w:ilvl="0">
      <w:lvlJc w:val="left"/>
      <w:lvlText w:val="%1"/>
      <w:numFmt w:val="decimal"/>
      <w:start w:val="1"/>
    </w:lvl>
    <w:lvl w:ilvl="1">
      <w:lvlJc w:val="left"/>
      <w:lvlText w:val="(%2)"/>
      <w:numFmt w:val="lowerLetter"/>
      <w:start w:val="2"/>
    </w:lvl>
  </w:abstractNum>
  <w:abstractNum w:abstractNumId="31">
    <w:nsid w:val="3F7F5DD9"/>
    <w:multiLevelType w:val="hybridMultilevel"/>
    <w:lvl w:ilvl="0">
      <w:lvlJc w:val="left"/>
      <w:lvlText w:val="(%1)"/>
      <w:numFmt w:val="decimal"/>
      <w:start w:val="1"/>
    </w:lvl>
    <w:lvl w:ilvl="1">
      <w:lvlJc w:val="left"/>
      <w:lvlText w:val="%2"/>
      <w:numFmt w:val="lowerLetter"/>
      <w:start w:val="1"/>
    </w:lvl>
  </w:abstractNum>
  <w:abstractNum w:abstractNumId="32">
    <w:nsid w:val="2AE05A34"/>
    <w:multiLevelType w:val="hybridMultilevel"/>
    <w:lvl w:ilvl="0">
      <w:lvlJc w:val="left"/>
      <w:lvlText w:val="(%1)"/>
      <w:numFmt w:val="lowerLetter"/>
      <w:start w:val="12"/>
    </w:lvl>
  </w:abstractNum>
  <w:abstractNum w:abstractNumId="33">
    <w:nsid w:val="32794FF7"/>
    <w:multiLevelType w:val="hybridMultilevel"/>
    <w:lvl w:ilvl="0">
      <w:lvlJc w:val="left"/>
      <w:lvlText w:val="%1."/>
      <w:numFmt w:val="decimal"/>
      <w:start w:val="2"/>
    </w:lvl>
  </w:abstractNum>
  <w:abstractNum w:abstractNumId="34">
    <w:nsid w:val="5454945E"/>
    <w:multiLevelType w:val="hybridMultilevel"/>
    <w:lvl w:ilvl="0">
      <w:lvlJc w:val="left"/>
      <w:lvlText w:val="%1."/>
      <w:numFmt w:val="decimal"/>
      <w:start w:val="1"/>
    </w:lvl>
    <w:lvl w:ilvl="1">
      <w:lvlJc w:val="left"/>
      <w:lvlText w:val="(%2)"/>
      <w:numFmt w:val="lowerLetter"/>
      <w:start w:val="1"/>
    </w:lvl>
  </w:abstractNum>
  <w:abstractNum w:abstractNumId="35">
    <w:nsid w:val="4DEFDFA0"/>
    <w:multiLevelType w:val="hybridMultilevel"/>
    <w:lvl w:ilvl="0">
      <w:lvlJc w:val="left"/>
      <w:lvlText w:val="(%1)"/>
      <w:numFmt w:val="lowerLetter"/>
      <w:start w:val="2"/>
    </w:lvl>
  </w:abstractNum>
  <w:abstractNum w:abstractNumId="36">
    <w:nsid w:val="2123D5F2"/>
    <w:multiLevelType w:val="hybridMultilevel"/>
    <w:lvl w:ilvl="0">
      <w:lvlJc w:val="left"/>
      <w:lvlText w:val="(%1)"/>
      <w:numFmt w:val="lowerLetter"/>
      <w:start w:val="5"/>
    </w:lvl>
  </w:abstractNum>
  <w:abstractNum w:abstractNumId="37">
    <w:nsid w:val="135B8110"/>
    <w:multiLevelType w:val="hybridMultilevel"/>
    <w:lvl w:ilvl="0">
      <w:lvlJc w:val="left"/>
      <w:lvlText w:val="%1"/>
      <w:numFmt w:val="decimal"/>
      <w:start w:val="1"/>
    </w:lvl>
    <w:lvl w:ilvl="1">
      <w:lvlJc w:val="left"/>
      <w:lvlText w:val="(%2)"/>
      <w:numFmt w:val="lowerLetter"/>
      <w:start w:val="7"/>
    </w:lvl>
  </w:abstractNum>
  <w:abstractNum w:abstractNumId="38">
    <w:nsid w:val="94927A8"/>
    <w:multiLevelType w:val="hybridMultilevel"/>
    <w:lvl w:ilvl="0">
      <w:lvlJc w:val="left"/>
      <w:lvlText w:val="%1."/>
      <w:numFmt w:val="decimal"/>
      <w:start w:val="2"/>
    </w:lvl>
    <w:lvl w:ilvl="1">
      <w:lvlJc w:val="left"/>
      <w:lvlText w:val="(%2)"/>
      <w:numFmt w:val="lowerLetter"/>
      <w:start w:val="1"/>
    </w:lvl>
  </w:abstractNum>
  <w:abstractNum w:abstractNumId="39">
    <w:nsid w:val="DCDF8F6"/>
    <w:multiLevelType w:val="hybridMultilevel"/>
    <w:lvl w:ilvl="0">
      <w:lvlJc w:val="left"/>
      <w:lvlText w:val="%1"/>
      <w:numFmt w:val="decimal"/>
      <w:start w:val="1"/>
    </w:lvl>
    <w:lvl w:ilvl="1">
      <w:lvlJc w:val="left"/>
      <w:lvlText w:val="(%2)"/>
      <w:numFmt w:val="lowerLetter"/>
      <w:start w:val="3"/>
    </w:lvl>
  </w:abstractNum>
  <w:abstractNum w:abstractNumId="40">
    <w:nsid w:val="52D7B105"/>
    <w:multiLevelType w:val="hybridMultilevel"/>
    <w:lvl w:ilvl="0">
      <w:lvlJc w:val="left"/>
      <w:lvlText w:val="%1."/>
      <w:numFmt w:val="decimal"/>
      <w:start w:val="3"/>
    </w:lvl>
    <w:lvl w:ilvl="1">
      <w:lvlJc w:val="left"/>
      <w:lvlText w:val="(%2)"/>
      <w:numFmt w:val="lowerLetter"/>
      <w:start w:val="1"/>
    </w:lvl>
  </w:abstractNum>
  <w:abstractNum w:abstractNumId="41">
    <w:nsid w:val="2E8A6394"/>
    <w:multiLevelType w:val="hybridMultilevel"/>
    <w:lvl w:ilvl="0">
      <w:lvlJc w:val="left"/>
      <w:lvlText w:val="%1"/>
      <w:numFmt w:val="decimal"/>
      <w:start w:val="1"/>
    </w:lvl>
    <w:lvl w:ilvl="1">
      <w:lvlJc w:val="left"/>
      <w:lvlText w:val="(%2)"/>
      <w:numFmt w:val="lowerLetter"/>
      <w:start w:val="3"/>
    </w:lvl>
  </w:abstractNum>
  <w:abstractNum w:abstractNumId="42">
    <w:nsid w:val="24E60401"/>
    <w:multiLevelType w:val="hybridMultilevel"/>
    <w:lvl w:ilvl="0">
      <w:lvlJc w:val="left"/>
      <w:lvlText w:val="%1."/>
      <w:numFmt w:val="decimal"/>
      <w:start w:val="5"/>
    </w:lvl>
    <w:lvl w:ilvl="1">
      <w:lvlJc w:val="left"/>
      <w:lvlText w:val="%2"/>
      <w:numFmt w:val="lowerLetter"/>
      <w:start w:val="1"/>
    </w:lvl>
  </w:abstractNum>
  <w:abstractNum w:abstractNumId="43">
    <w:nsid w:val="2A6AD9BE"/>
    <w:multiLevelType w:val="hybridMultilevel"/>
    <w:lvl w:ilvl="0">
      <w:lvlJc w:val="left"/>
      <w:lvlText w:val="%1."/>
      <w:numFmt w:val="decimal"/>
      <w:start w:val="6"/>
    </w:lvl>
  </w:abstractNum>
  <w:abstractNum w:abstractNumId="44">
    <w:nsid w:val="BAAC1B4"/>
    <w:multiLevelType w:val="hybridMultilevel"/>
    <w:lvl w:ilvl="0">
      <w:lvlJc w:val="left"/>
      <w:lvlText w:val="%1."/>
      <w:numFmt w:val="decimal"/>
      <w:start w:val="8"/>
    </w:lvl>
    <w:lvl w:ilvl="1">
      <w:lvlJc w:val="left"/>
      <w:lvlText w:val="(%2)"/>
      <w:numFmt w:val="lowerLetter"/>
      <w:start w:val="1"/>
    </w:lvl>
  </w:abstractNum>
  <w:abstractNum w:abstractNumId="45">
    <w:nsid w:val="36B2ACBC"/>
    <w:multiLevelType w:val="hybridMultilevel"/>
    <w:lvl w:ilvl="0">
      <w:lvlJc w:val="left"/>
      <w:lvlText w:val="%1."/>
      <w:numFmt w:val="decimal"/>
      <w:start w:val="10"/>
    </w:lvl>
  </w:abstractNum>
  <w:abstractNum w:abstractNumId="46">
    <w:nsid w:val="779D8544"/>
    <w:multiLevelType w:val="hybridMultilevel"/>
    <w:lvl w:ilvl="0">
      <w:lvlJc w:val="left"/>
      <w:lvlText w:val="%1."/>
      <w:numFmt w:val="decimal"/>
      <w:start w:val="15"/>
    </w:lvl>
    <w:lvl w:ilvl="1">
      <w:lvlJc w:val="left"/>
      <w:lvlText w:val="(%2)"/>
      <w:numFmt w:val="lowerLetter"/>
      <w:start w:val="1"/>
    </w:lvl>
  </w:abstractNum>
  <w:abstractNum w:abstractNumId="47">
    <w:nsid w:val="4AB26E78"/>
    <w:multiLevelType w:val="hybridMultilevel"/>
    <w:lvl w:ilvl="0">
      <w:lvlJc w:val="left"/>
      <w:lvlText w:val="%1"/>
      <w:numFmt w:val="decimal"/>
      <w:start w:val="1"/>
    </w:lvl>
    <w:lvl w:ilvl="1">
      <w:lvlJc w:val="left"/>
      <w:lvlText w:val="(%2)"/>
      <w:numFmt w:val="lowerLetter"/>
      <w:start w:val="2"/>
    </w:lvl>
  </w:abstractNum>
  <w:abstractNum w:abstractNumId="48">
    <w:nsid w:val="21FAA2FA"/>
    <w:multiLevelType w:val="hybridMultilevel"/>
    <w:lvl w:ilvl="0">
      <w:lvlJc w:val="left"/>
      <w:lvlText w:val="(%1)"/>
      <w:numFmt w:val="decimal"/>
      <w:start w:val="1"/>
    </w:lvl>
    <w:lvl w:ilvl="1">
      <w:lvlJc w:val="left"/>
      <w:lvlText w:val="%2"/>
      <w:numFmt w:val="lowerLetter"/>
      <w:start w:val="1"/>
    </w:lvl>
  </w:abstractNum>
  <w:abstractNum w:abstractNumId="49">
    <w:nsid w:val="5451CF49"/>
    <w:multiLevelType w:val="hybridMultilevel"/>
    <w:lvl w:ilvl="0">
      <w:lvlJc w:val="left"/>
      <w:lvlText w:val="(%1)"/>
      <w:numFmt w:val="lowerLetter"/>
      <w:start w:val="12"/>
    </w:lvl>
  </w:abstractNum>
  <w:abstractNum w:abstractNumId="50">
    <w:nsid w:val="6181EF69"/>
    <w:multiLevelType w:val="hybridMultilevel"/>
    <w:lvl w:ilvl="0">
      <w:lvlJc w:val="left"/>
      <w:lvlText w:val="%1."/>
      <w:numFmt w:val="decimal"/>
      <w:start w:val="2"/>
    </w:lvl>
  </w:abstractNum>
  <w:abstractNum w:abstractNumId="51">
    <w:nsid w:val="3E6400E6"/>
    <w:multiLevelType w:val="hybridMultilevel"/>
    <w:lvl w:ilvl="0">
      <w:lvlJc w:val="left"/>
      <w:lvlText w:val="%1."/>
      <w:numFmt w:val="decimal"/>
      <w:start w:val="1"/>
    </w:lvl>
    <w:lvl w:ilvl="1">
      <w:lvlJc w:val="left"/>
      <w:lvlText w:val="(%2)"/>
      <w:numFmt w:val="lowerLetter"/>
      <w:start w:val="1"/>
    </w:lvl>
  </w:abstractNum>
  <w:abstractNum w:abstractNumId="52">
    <w:nsid w:val="14217E23"/>
    <w:multiLevelType w:val="hybridMultilevel"/>
    <w:lvl w:ilvl="0">
      <w:lvlJc w:val="left"/>
      <w:lvlText w:val="(%1)"/>
      <w:numFmt w:val="lowerLetter"/>
      <w:start w:val="2"/>
    </w:lvl>
  </w:abstractNum>
  <w:abstractNum w:abstractNumId="53">
    <w:nsid w:val="710757D0"/>
    <w:multiLevelType w:val="hybridMultilevel"/>
    <w:lvl w:ilvl="0">
      <w:lvlJc w:val="left"/>
      <w:lvlText w:val="(%1)"/>
      <w:numFmt w:val="lowerLetter"/>
      <w:start w:val="5"/>
    </w:lvl>
  </w:abstractNum>
  <w:abstractNum w:abstractNumId="54">
    <w:nsid w:val="5015CD1A"/>
    <w:multiLevelType w:val="hybridMultilevel"/>
    <w:lvl w:ilvl="0">
      <w:lvlJc w:val="left"/>
      <w:lvlText w:val="%1"/>
      <w:numFmt w:val="decimal"/>
      <w:start w:val="1"/>
    </w:lvl>
    <w:lvl w:ilvl="1">
      <w:lvlJc w:val="left"/>
      <w:lvlText w:val="(%2)"/>
      <w:numFmt w:val="lowerLetter"/>
      <w:start w:val="7"/>
    </w:lvl>
  </w:abstractNum>
  <w:abstractNum w:abstractNumId="55">
    <w:nsid w:val="424479DA"/>
    <w:multiLevelType w:val="hybridMultilevel"/>
    <w:lvl w:ilvl="0">
      <w:lvlJc w:val="left"/>
      <w:lvlText w:val="%1."/>
      <w:numFmt w:val="decimal"/>
      <w:start w:val="2"/>
    </w:lvl>
    <w:lvl w:ilvl="1">
      <w:lvlJc w:val="left"/>
      <w:lvlText w:val="(%2)"/>
      <w:numFmt w:val="lowerLetter"/>
      <w:start w:val="1"/>
    </w:lvl>
  </w:abstractNum>
  <w:abstractNum w:abstractNumId="56">
    <w:nsid w:val="1A9A9E69"/>
    <w:multiLevelType w:val="hybridMultilevel"/>
    <w:lvl w:ilvl="0">
      <w:lvlJc w:val="left"/>
      <w:lvlText w:val="%1"/>
      <w:numFmt w:val="decimal"/>
      <w:start w:val="1"/>
    </w:lvl>
    <w:lvl w:ilvl="1">
      <w:lvlJc w:val="left"/>
      <w:lvlText w:val="(%2)"/>
      <w:numFmt w:val="lowerLetter"/>
      <w:start w:val="3"/>
    </w:lvl>
  </w:abstractNum>
  <w:abstractNum w:abstractNumId="57">
    <w:nsid w:val="475E256A"/>
    <w:multiLevelType w:val="hybridMultilevel"/>
    <w:lvl w:ilvl="0">
      <w:lvlJc w:val="left"/>
      <w:lvlText w:val="%1."/>
      <w:numFmt w:val="decimal"/>
      <w:start w:val="3"/>
    </w:lvl>
    <w:lvl w:ilvl="1">
      <w:lvlJc w:val="left"/>
      <w:lvlText w:val="(%2)"/>
      <w:numFmt w:val="lowerLetter"/>
      <w:start w:val="1"/>
    </w:lvl>
  </w:abstractNum>
  <w:abstractNum w:abstractNumId="58">
    <w:nsid w:val="368DB37E"/>
    <w:multiLevelType w:val="hybridMultilevel"/>
    <w:lvl w:ilvl="0">
      <w:lvlJc w:val="left"/>
      <w:lvlText w:val="%1"/>
      <w:numFmt w:val="decimal"/>
      <w:start w:val="1"/>
    </w:lvl>
    <w:lvl w:ilvl="1">
      <w:lvlJc w:val="left"/>
      <w:lvlText w:val="(%2)"/>
      <w:numFmt w:val="lowerLetter"/>
      <w:start w:val="3"/>
    </w:lvl>
  </w:abstractNum>
  <w:abstractNum w:abstractNumId="59">
    <w:nsid w:val="6A3B714C"/>
    <w:multiLevelType w:val="hybridMultilevel"/>
    <w:lvl w:ilvl="0">
      <w:lvlJc w:val="left"/>
      <w:lvlText w:val="%1."/>
      <w:numFmt w:val="decimal"/>
      <w:start w:val="5"/>
    </w:lvl>
    <w:lvl w:ilvl="1">
      <w:lvlJc w:val="left"/>
      <w:lvlText w:val="%2"/>
      <w:numFmt w:val="lowerLetter"/>
      <w:start w:val="1"/>
    </w:lvl>
  </w:abstractNum>
  <w:abstractNum w:abstractNumId="60">
    <w:nsid w:val="327B517E"/>
    <w:multiLevelType w:val="hybridMultilevel"/>
    <w:lvl w:ilvl="0">
      <w:lvlJc w:val="left"/>
      <w:lvlText w:val="%1."/>
      <w:numFmt w:val="decimal"/>
      <w:start w:val="6"/>
    </w:lvl>
    <w:lvl w:ilvl="1">
      <w:lvlJc w:val="left"/>
      <w:lvlText w:val="(%2)"/>
      <w:numFmt w:val="lowerLetter"/>
      <w:start w:val="1"/>
    </w:lvl>
  </w:abstractNum>
  <w:abstractNum w:abstractNumId="61">
    <w:nsid w:val="1F461B51"/>
    <w:multiLevelType w:val="hybridMultilevel"/>
    <w:lvl w:ilvl="0">
      <w:lvlJc w:val="left"/>
      <w:lvlText w:val="%1."/>
      <w:numFmt w:val="decimal"/>
      <w:start w:val="9"/>
    </w:lvl>
  </w:abstractNum>
  <w:abstractNum w:abstractNumId="62">
    <w:nsid w:val="29BACF25"/>
    <w:multiLevelType w:val="hybridMultilevel"/>
    <w:lvl w:ilvl="0">
      <w:lvlJc w:val="left"/>
      <w:lvlText w:val="%1."/>
      <w:numFmt w:val="decimal"/>
      <w:start w:val="14"/>
    </w:lvl>
    <w:lvl w:ilvl="1">
      <w:lvlJc w:val="left"/>
      <w:lvlText w:val="(%2)"/>
      <w:numFmt w:val="lowerLetter"/>
      <w:start w:val="1"/>
    </w:lvl>
  </w:abstractNum>
  <w:abstractNum w:abstractNumId="63">
    <w:nsid w:val="5D5BABB3"/>
    <w:multiLevelType w:val="hybridMultilevel"/>
    <w:lvl w:ilvl="0">
      <w:lvlJc w:val="left"/>
      <w:lvlText w:val="%1"/>
      <w:numFmt w:val="decimal"/>
      <w:start w:val="1"/>
    </w:lvl>
    <w:lvl w:ilvl="1">
      <w:lvlJc w:val="left"/>
      <w:lvlText w:val="(%2)"/>
      <w:numFmt w:val="lowerLetter"/>
      <w:start w:val="2"/>
    </w:lvl>
  </w:abstractNum>
  <w:abstractNum w:abstractNumId="64">
    <w:nsid w:val="51BF6B48"/>
    <w:multiLevelType w:val="hybridMultilevel"/>
    <w:lvl w:ilvl="0">
      <w:lvlJc w:val="left"/>
      <w:lvlText w:val="(%1)"/>
      <w:numFmt w:val="decimal"/>
      <w:start w:val="1"/>
    </w:lvl>
    <w:lvl w:ilvl="1">
      <w:lvlJc w:val="left"/>
      <w:lvlText w:val="%2"/>
      <w:numFmt w:val="lowerLetter"/>
      <w:start w:val="1"/>
    </w:lvl>
  </w:abstractNum>
  <w:abstractNum w:abstractNumId="65">
    <w:nsid w:val="7E0F6384"/>
    <w:multiLevelType w:val="hybridMultilevel"/>
    <w:lvl w:ilvl="0">
      <w:lvlJc w:val="left"/>
      <w:lvlText w:val="(%1)"/>
      <w:numFmt w:val="lowerLetter"/>
      <w:start w:val="10"/>
    </w:lvl>
  </w:abstractNum>
  <w:abstractNum w:abstractNumId="66">
    <w:nsid w:val="2B4B8B53"/>
    <w:multiLevelType w:val="hybridMultilevel"/>
    <w:lvl w:ilvl="0">
      <w:lvlJc w:val="left"/>
      <w:lvlText w:val="%1."/>
      <w:numFmt w:val="decimal"/>
      <w:start w:val="2"/>
    </w:lvl>
  </w:abstractNum>
  <w:abstractNum w:abstractNumId="67">
    <w:nsid w:val="72E3413A"/>
    <w:multiLevelType w:val="hybridMultilevel"/>
    <w:lvl w:ilvl="0">
      <w:lvlJc w:val="left"/>
      <w:lvlText w:val="%1."/>
      <w:numFmt w:val="decimal"/>
      <w:start w:val="1"/>
    </w:lvl>
    <w:lvl w:ilvl="1">
      <w:lvlJc w:val="left"/>
      <w:lvlText w:val="(%2)"/>
      <w:numFmt w:val="lowerLetter"/>
      <w:start w:val="1"/>
    </w:lvl>
  </w:abstractNum>
  <w:abstractNum w:abstractNumId="68">
    <w:nsid w:val="116AE494"/>
    <w:multiLevelType w:val="hybridMultilevel"/>
    <w:lvl w:ilvl="0">
      <w:lvlJc w:val="left"/>
      <w:lvlText w:val="(%1)"/>
      <w:numFmt w:val="lowerLetter"/>
      <w:start w:val="2"/>
    </w:lvl>
  </w:abstractNum>
  <w:abstractNum w:abstractNumId="69">
    <w:nsid w:val="3494B2FB"/>
    <w:multiLevelType w:val="hybridMultilevel"/>
    <w:lvl w:ilvl="0">
      <w:lvlJc w:val="left"/>
      <w:lvlText w:val="(%1)"/>
      <w:numFmt w:val="lowerLetter"/>
      <w:start w:val="4"/>
    </w:lvl>
  </w:abstractNum>
  <w:abstractNum w:abstractNumId="70">
    <w:nsid w:val="B13A31"/>
    <w:multiLevelType w:val="hybridMultilevel"/>
    <w:lvl w:ilvl="0">
      <w:lvlJc w:val="left"/>
      <w:lvlText w:val="(%1)"/>
      <w:numFmt w:val="lowerLetter"/>
      <w:start w:val="5"/>
    </w:lvl>
  </w:abstractNum>
  <w:abstractNum w:abstractNumId="71">
    <w:nsid w:val="64429599"/>
    <w:multiLevelType w:val="hybridMultilevel"/>
    <w:lvl w:ilvl="0">
      <w:lvlJc w:val="left"/>
      <w:lvlText w:val="%1"/>
      <w:numFmt w:val="decimal"/>
      <w:start w:val="1"/>
    </w:lvl>
    <w:lvl w:ilvl="1">
      <w:lvlJc w:val="left"/>
      <w:lvlText w:val="(%2)"/>
      <w:numFmt w:val="lowerLetter"/>
      <w:start w:val="7"/>
    </w:lvl>
  </w:abstractNum>
  <w:abstractNum w:abstractNumId="72">
    <w:nsid w:val="631F1690"/>
    <w:multiLevelType w:val="hybridMultilevel"/>
    <w:lvl w:ilvl="0">
      <w:lvlJc w:val="left"/>
      <w:lvlText w:val="%1."/>
      <w:numFmt w:val="decimal"/>
      <w:start w:val="2"/>
    </w:lvl>
    <w:lvl w:ilvl="1">
      <w:lvlJc w:val="left"/>
      <w:lvlText w:val="(%2)"/>
      <w:numFmt w:val="lowerLetter"/>
      <w:start w:val="1"/>
    </w:lvl>
  </w:abstractNum>
  <w:abstractNum w:abstractNumId="73">
    <w:nsid w:val="25973E32"/>
    <w:multiLevelType w:val="hybridMultilevel"/>
    <w:lvl w:ilvl="0">
      <w:lvlJc w:val="left"/>
      <w:lvlText w:val="%1"/>
      <w:numFmt w:val="decimal"/>
      <w:start w:val="1"/>
    </w:lvl>
    <w:lvl w:ilvl="1">
      <w:lvlJc w:val="left"/>
      <w:lvlText w:val="(%2)"/>
      <w:numFmt w:val="lowerLetter"/>
      <w:start w:val="3"/>
    </w:lvl>
  </w:abstractNum>
  <w:abstractNum w:abstractNumId="74">
    <w:nsid w:val="EAD6F57"/>
    <w:multiLevelType w:val="hybridMultilevel"/>
    <w:lvl w:ilvl="0">
      <w:lvlJc w:val="left"/>
      <w:lvlText w:val="%1."/>
      <w:numFmt w:val="decimal"/>
      <w:start w:val="3"/>
    </w:lvl>
    <w:lvl w:ilvl="1">
      <w:lvlJc w:val="left"/>
      <w:lvlText w:val="(%2)"/>
      <w:numFmt w:val="lowerLetter"/>
      <w:start w:val="1"/>
    </w:lvl>
  </w:abstractNum>
  <w:abstractNum w:abstractNumId="75">
    <w:nsid w:val="6EC9D844"/>
    <w:multiLevelType w:val="hybridMultilevel"/>
    <w:lvl w:ilvl="0">
      <w:lvlJc w:val="left"/>
      <w:lvlText w:val="%1"/>
      <w:numFmt w:val="decimal"/>
      <w:start w:val="1"/>
    </w:lvl>
    <w:lvl w:ilvl="1">
      <w:lvlJc w:val="left"/>
      <w:lvlText w:val="(%2)"/>
      <w:numFmt w:val="lowerLetter"/>
      <w:start w:val="3"/>
    </w:lvl>
  </w:abstractNum>
  <w:abstractNum w:abstractNumId="76">
    <w:nsid w:val="5C49EAEE"/>
    <w:multiLevelType w:val="hybridMultilevel"/>
    <w:lvl w:ilvl="0">
      <w:lvlJc w:val="left"/>
      <w:lvlText w:val="%1."/>
      <w:numFmt w:val="decimal"/>
      <w:start w:val="5"/>
    </w:lvl>
    <w:lvl w:ilvl="1">
      <w:lvlJc w:val="left"/>
      <w:lvlText w:val="%2"/>
      <w:numFmt w:val="lowerLetter"/>
      <w:start w:val="1"/>
    </w:lvl>
  </w:abstractNum>
  <w:abstractNum w:abstractNumId="77">
    <w:nsid w:val="64AF49B"/>
    <w:multiLevelType w:val="hybridMultilevel"/>
    <w:lvl w:ilvl="0">
      <w:lvlJc w:val="left"/>
      <w:lvlText w:val="%1."/>
      <w:numFmt w:val="decimal"/>
      <w:start w:val="6"/>
    </w:lvl>
    <w:lvl w:ilvl="1">
      <w:lvlJc w:val="left"/>
      <w:lvlText w:val="(%2)"/>
      <w:numFmt w:val="lowerLetter"/>
      <w:start w:val="1"/>
    </w:lvl>
  </w:abstractNum>
  <w:abstractNum w:abstractNumId="78">
    <w:nsid w:val="397C46BC"/>
    <w:multiLevelType w:val="hybridMultilevel"/>
    <w:lvl w:ilvl="0">
      <w:lvlJc w:val="left"/>
      <w:lvlText w:val="%1."/>
      <w:numFmt w:val="decimal"/>
      <w:start w:val="9"/>
    </w:lvl>
  </w:abstractNum>
  <w:abstractNum w:abstractNumId="79">
    <w:nsid w:val="7E448DE9"/>
    <w:multiLevelType w:val="hybridMultilevel"/>
    <w:lvl w:ilvl="0">
      <w:lvlJc w:val="left"/>
      <w:lvlText w:val="%1."/>
      <w:numFmt w:val="decimal"/>
      <w:start w:val="14"/>
    </w:lvl>
    <w:lvl w:ilvl="1">
      <w:lvlJc w:val="left"/>
      <w:lvlText w:val="(%2)"/>
      <w:numFmt w:val="lowerLetter"/>
      <w:start w:val="1"/>
    </w:lvl>
  </w:abstractNum>
  <w:abstractNum w:abstractNumId="80">
    <w:nsid w:val="5A9CC3E5"/>
    <w:multiLevelType w:val="hybridMultilevel"/>
    <w:lvl w:ilvl="0">
      <w:lvlJc w:val="left"/>
      <w:lvlText w:val="%1"/>
      <w:numFmt w:val="decimal"/>
      <w:start w:val="1"/>
    </w:lvl>
    <w:lvl w:ilvl="1">
      <w:lvlJc w:val="left"/>
      <w:lvlText w:val="(%2)"/>
      <w:numFmt w:val="lowerLetter"/>
      <w:start w:val="2"/>
    </w:lvl>
  </w:abstractNum>
  <w:abstractNum w:abstractNumId="81">
    <w:nsid w:val="1AFE3625"/>
    <w:multiLevelType w:val="hybridMultilevel"/>
    <w:lvl w:ilvl="0">
      <w:lvlJc w:val="left"/>
      <w:lvlText w:val="(%1)"/>
      <w:numFmt w:val="decimal"/>
      <w:start w:val="1"/>
    </w:lvl>
    <w:lvl w:ilvl="1">
      <w:lvlJc w:val="left"/>
      <w:lvlText w:val="%2"/>
      <w:numFmt w:val="lowerLetter"/>
      <w:start w:val="1"/>
    </w:lvl>
  </w:abstractNum>
  <w:abstractNum w:abstractNumId="82">
    <w:nsid w:val="3CA88ECF"/>
    <w:multiLevelType w:val="hybridMultilevel"/>
    <w:lvl w:ilvl="0">
      <w:lvlJc w:val="left"/>
      <w:lvlText w:val="(%1)"/>
      <w:numFmt w:val="lowerLetter"/>
      <w:start w:val="10"/>
    </w:lvl>
  </w:abstractNum>
  <w:abstractNum w:abstractNumId="83">
    <w:nsid w:val="6EBE4208"/>
    <w:multiLevelType w:val="hybridMultilevel"/>
    <w:lvl w:ilvl="0">
      <w:lvlJc w:val="left"/>
      <w:lvlText w:val="%1."/>
      <w:numFmt w:val="decimal"/>
      <w:start w:val="2"/>
    </w:lvl>
  </w:abstractNum>
  <w:abstractNum w:abstractNumId="84">
    <w:nsid w:val="C058DF5"/>
    <w:multiLevelType w:val="hybridMultilevel"/>
    <w:lvl w:ilvl="0">
      <w:lvlJc w:val="left"/>
      <w:lvlText w:val="%1."/>
      <w:numFmt w:val="decimal"/>
      <w:start w:val="1"/>
    </w:lvl>
    <w:lvl w:ilvl="1">
      <w:lvlJc w:val="left"/>
      <w:lvlText w:val="(%2)"/>
      <w:numFmt w:val="lowerLetter"/>
      <w:start w:val="1"/>
    </w:lvl>
  </w:abstractNum>
  <w:abstractNum w:abstractNumId="85">
    <w:nsid w:val="CBE5BE9"/>
    <w:multiLevelType w:val="hybridMultilevel"/>
    <w:lvl w:ilvl="0">
      <w:lvlJc w:val="left"/>
      <w:lvlText w:val="(%1)"/>
      <w:numFmt w:val="lowerLetter"/>
      <w:start w:val="2"/>
    </w:lvl>
  </w:abstractNum>
  <w:abstractNum w:abstractNumId="86">
    <w:nsid w:val="3102BBE2"/>
    <w:multiLevelType w:val="hybridMultilevel"/>
    <w:lvl w:ilvl="0">
      <w:lvlJc w:val="left"/>
      <w:lvlText w:val="(%1)"/>
      <w:numFmt w:val="lowerLetter"/>
      <w:start w:val="5"/>
    </w:lvl>
  </w:abstractNum>
  <w:abstractNum w:abstractNumId="87">
    <w:nsid w:val="26A02C5E"/>
    <w:multiLevelType w:val="hybridMultilevel"/>
    <w:lvl w:ilvl="0">
      <w:lvlJc w:val="left"/>
      <w:lvlText w:val="(%1)"/>
      <w:numFmt w:val="lowerLetter"/>
      <w:start w:val="8"/>
    </w:lvl>
  </w:abstractNum>
  <w:abstractNum w:abstractNumId="88">
    <w:nsid w:val="541C8153"/>
    <w:multiLevelType w:val="hybridMultilevel"/>
    <w:lvl w:ilvl="0">
      <w:lvlJc w:val="left"/>
      <w:lvlText w:val="%1."/>
      <w:numFmt w:val="decimal"/>
      <w:start w:val="2"/>
    </w:lvl>
    <w:lvl w:ilvl="1">
      <w:lvlJc w:val="left"/>
      <w:lvlText w:val="(%2)"/>
      <w:numFmt w:val="lowerLetter"/>
      <w:start w:val="1"/>
    </w:lvl>
  </w:abstractNum>
  <w:abstractNum w:abstractNumId="89">
    <w:nsid w:val="67906F60"/>
    <w:multiLevelType w:val="hybridMultilevel"/>
    <w:lvl w:ilvl="0">
      <w:lvlJc w:val="left"/>
      <w:lvlText w:val="%1"/>
      <w:numFmt w:val="decimal"/>
      <w:start w:val="1"/>
    </w:lvl>
    <w:lvl w:ilvl="1">
      <w:lvlJc w:val="left"/>
      <w:lvlText w:val="(%2)"/>
      <w:numFmt w:val="lowerLetter"/>
      <w:start w:val="2"/>
    </w:lvl>
  </w:abstractNum>
  <w:abstractNum w:abstractNumId="90">
    <w:nsid w:val="10DB9DAA"/>
    <w:multiLevelType w:val="hybridMultilevel"/>
    <w:lvl w:ilvl="0">
      <w:lvlJc w:val="left"/>
      <w:lvlText w:val="%1."/>
      <w:numFmt w:val="decimal"/>
      <w:start w:val="3"/>
    </w:lvl>
    <w:lvl w:ilvl="1">
      <w:lvlJc w:val="left"/>
      <w:lvlText w:val="%2"/>
      <w:numFmt w:val="lowerLetter"/>
      <w:start w:val="1"/>
    </w:lvl>
  </w:abstractNum>
  <w:abstractNum w:abstractNumId="91">
    <w:nsid w:val="697D2D2"/>
    <w:multiLevelType w:val="hybridMultilevel"/>
    <w:lvl w:ilvl="0">
      <w:lvlJc w:val="left"/>
      <w:lvlText w:val="%1."/>
      <w:numFmt w:val="decimal"/>
      <w:start w:val="4"/>
    </w:lvl>
    <w:lvl w:ilvl="1">
      <w:lvlJc w:val="left"/>
      <w:lvlText w:val="(%2)"/>
      <w:numFmt w:val="lowerLetter"/>
      <w:start w:val="1"/>
    </w:lvl>
  </w:abstractNum>
  <w:abstractNum w:abstractNumId="92">
    <w:nsid w:val="6D68AB2"/>
    <w:multiLevelType w:val="hybridMultilevel"/>
    <w:lvl w:ilvl="0">
      <w:lvlJc w:val="left"/>
      <w:lvlText w:val="%1"/>
      <w:numFmt w:val="decimal"/>
      <w:start w:val="1"/>
    </w:lvl>
    <w:lvl w:ilvl="1">
      <w:lvlJc w:val="left"/>
      <w:lvlText w:val="(%2)"/>
      <w:numFmt w:val="lowerLetter"/>
      <w:start w:val="3"/>
    </w:lvl>
  </w:abstractNum>
  <w:abstractNum w:abstractNumId="93">
    <w:nsid w:val="3A966CD0"/>
    <w:multiLevelType w:val="hybridMultilevel"/>
    <w:lvl w:ilvl="0">
      <w:lvlJc w:val="left"/>
      <w:lvlText w:val="%1."/>
      <w:numFmt w:val="decimal"/>
      <w:start w:val="5"/>
    </w:lvl>
    <w:lvl w:ilvl="1">
      <w:lvlJc w:val="left"/>
      <w:lvlText w:val="(%2)"/>
      <w:numFmt w:val="lowerLetter"/>
      <w:start w:val="1"/>
    </w:lvl>
  </w:abstractNum>
  <w:abstractNum w:abstractNumId="94">
    <w:nsid w:val="63F37E85"/>
    <w:multiLevelType w:val="hybridMultilevel"/>
    <w:lvl w:ilvl="0">
      <w:lvlJc w:val="left"/>
      <w:lvlText w:val="%1"/>
      <w:numFmt w:val="decimal"/>
      <w:start w:val="1"/>
    </w:lvl>
    <w:lvl w:ilvl="1">
      <w:lvlJc w:val="left"/>
      <w:lvlText w:val="(%2)"/>
      <w:numFmt w:val="lowerLetter"/>
      <w:start w:val="3"/>
    </w:lvl>
  </w:abstractNum>
  <w:abstractNum w:abstractNumId="95">
    <w:nsid w:val="5895F5FA"/>
    <w:multiLevelType w:val="hybridMultilevel"/>
    <w:lvl w:ilvl="0">
      <w:lvlJc w:val="left"/>
      <w:lvlText w:val="%1."/>
      <w:numFmt w:val="decimal"/>
      <w:start w:val="8"/>
    </w:lvl>
    <w:lvl w:ilvl="1">
      <w:lvlJc w:val="left"/>
      <w:lvlText w:val="%2"/>
      <w:numFmt w:val="lowerLetter"/>
      <w:start w:val="1"/>
    </w:lvl>
  </w:abstractNum>
  <w:abstractNum w:abstractNumId="96">
    <w:nsid w:val="38A5D054"/>
    <w:multiLevelType w:val="hybridMultilevel"/>
    <w:lvl w:ilvl="0">
      <w:lvlJc w:val="left"/>
      <w:lvlText w:val="%1."/>
      <w:numFmt w:val="decimal"/>
      <w:start w:val="11"/>
    </w:lvl>
  </w:abstractNum>
  <w:abstractNum w:abstractNumId="97">
    <w:nsid w:val="F3F09D8"/>
    <w:multiLevelType w:val="hybridMultilevel"/>
    <w:lvl w:ilvl="0">
      <w:lvlJc w:val="left"/>
      <w:lvlText w:val="%1."/>
      <w:numFmt w:val="decimal"/>
      <w:start w:val="15"/>
    </w:lvl>
    <w:lvl w:ilvl="1">
      <w:lvlJc w:val="left"/>
      <w:lvlText w:val="(%2)"/>
      <w:numFmt w:val="lowerLetter"/>
      <w:start w:val="1"/>
    </w:lvl>
  </w:abstractNum>
  <w:abstractNum w:abstractNumId="98">
    <w:nsid w:val="4B793735"/>
    <w:multiLevelType w:val="hybridMultilevel"/>
    <w:lvl w:ilvl="0">
      <w:lvlJc w:val="left"/>
      <w:lvlText w:val="%1"/>
      <w:numFmt w:val="decimal"/>
      <w:start w:val="1"/>
    </w:lvl>
    <w:lvl w:ilvl="1">
      <w:lvlJc w:val="left"/>
      <w:lvlText w:val="(%2)"/>
      <w:numFmt w:val="lowerLetter"/>
      <w:start w:val="7"/>
    </w:lvl>
  </w:abstractNum>
  <w:abstractNum w:abstractNumId="99">
    <w:nsid w:val="4A10B4E8"/>
    <w:multiLevelType w:val="hybridMultilevel"/>
    <w:lvl w:ilvl="0">
      <w:lvlJc w:val="left"/>
      <w:lvlText w:val="(%1)"/>
      <w:numFmt w:val="decimal"/>
      <w:start w:val="1"/>
    </w:lvl>
    <w:lvl w:ilvl="1">
      <w:lvlJc w:val="left"/>
      <w:lvlText w:val="(%2)"/>
      <w:numFmt w:val="lowerLetter"/>
      <w:start w:val="10"/>
    </w:lvl>
  </w:abstractNum>
  <w:abstractNum w:abstractNumId="100">
    <w:nsid w:val="43D3BCD4"/>
    <w:multiLevelType w:val="hybridMultilevel"/>
    <w:lvl w:ilvl="0">
      <w:lvlJc w:val="left"/>
      <w:lvlText w:val="(%1)"/>
      <w:numFmt w:val="lowerLetter"/>
      <w:start w:val="16"/>
    </w:lvl>
  </w:abstractNum>
  <w:abstractNum w:abstractNumId="101">
    <w:nsid w:val="4C2A7166"/>
    <w:multiLevelType w:val="hybridMultilevel"/>
    <w:lvl w:ilvl="0">
      <w:lvlJc w:val="left"/>
      <w:lvlText w:val="%1."/>
      <w:numFmt w:val="decimal"/>
      <w:start w:val="2"/>
    </w:lvl>
  </w:abstractNum>
  <w:abstractNum w:abstractNumId="102">
    <w:nsid w:val="2E534A82"/>
    <w:multiLevelType w:val="hybridMultilevel"/>
    <w:lvl w:ilvl="0">
      <w:lvlJc w:val="left"/>
      <w:lvlText w:val="%1."/>
      <w:numFmt w:val="decimal"/>
      <w:start w:val="1"/>
    </w:lvl>
    <w:lvl w:ilvl="1">
      <w:lvlJc w:val="left"/>
      <w:lvlText w:val="(%2)"/>
      <w:numFmt w:val="lowerLetter"/>
      <w:start w:val="1"/>
    </w:lvl>
  </w:abstractNum>
  <w:abstractNum w:abstractNumId="103">
    <w:nsid w:val="26F2D364"/>
    <w:multiLevelType w:val="hybridMultilevel"/>
    <w:lvl w:ilvl="0">
      <w:lvlJc w:val="left"/>
      <w:lvlText w:val="(%1)"/>
      <w:numFmt w:val="lowerLetter"/>
      <w:start w:val="2"/>
    </w:lvl>
  </w:abstractNum>
  <w:abstractNum w:abstractNumId="104">
    <w:nsid w:val="71C1AF98"/>
    <w:multiLevelType w:val="hybridMultilevel"/>
    <w:lvl w:ilvl="0">
      <w:lvlJc w:val="left"/>
      <w:lvlText w:val="(%1)"/>
      <w:numFmt w:val="lowerLetter"/>
      <w:start w:val="4"/>
    </w:lvl>
  </w:abstractNum>
  <w:abstractNum w:abstractNumId="105">
    <w:nsid w:val="3D00B9D9"/>
    <w:multiLevelType w:val="hybridMultilevel"/>
    <w:lvl w:ilvl="0">
      <w:lvlJc w:val="left"/>
      <w:lvlText w:val="(%1)"/>
      <w:numFmt w:val="lowerLetter"/>
      <w:start w:val="5"/>
    </w:lvl>
  </w:abstractNum>
  <w:abstractNum w:abstractNumId="106">
    <w:nsid w:val="15BCABA8"/>
    <w:multiLevelType w:val="hybridMultilevel"/>
    <w:lvl w:ilvl="0">
      <w:lvlJc w:val="left"/>
      <w:lvlText w:val="(%1)"/>
      <w:numFmt w:val="lowerLetter"/>
      <w:start w:val="8"/>
    </w:lvl>
  </w:abstractNum>
  <w:abstractNum w:abstractNumId="107">
    <w:nsid w:val="4E0B9A87"/>
    <w:multiLevelType w:val="hybridMultilevel"/>
    <w:lvl w:ilvl="0">
      <w:lvlJc w:val="left"/>
      <w:lvlText w:val="%1."/>
      <w:numFmt w:val="decimal"/>
      <w:start w:val="2"/>
    </w:lvl>
    <w:lvl w:ilvl="1">
      <w:lvlJc w:val="left"/>
      <w:lvlText w:val="(%2)"/>
      <w:numFmt w:val="lowerLetter"/>
      <w:start w:val="1"/>
    </w:lvl>
  </w:abstractNum>
  <w:abstractNum w:abstractNumId="108">
    <w:nsid w:val="434BAE75"/>
    <w:multiLevelType w:val="hybridMultilevel"/>
    <w:lvl w:ilvl="0">
      <w:lvlJc w:val="left"/>
      <w:lvlText w:val="%1."/>
      <w:numFmt w:val="decimal"/>
      <w:start w:val="4"/>
    </w:lvl>
    <w:lvl w:ilvl="1">
      <w:lvlJc w:val="left"/>
      <w:lvlText w:val="(%2)"/>
      <w:numFmt w:val="lowerLetter"/>
      <w:start w:val="1"/>
    </w:lvl>
  </w:abstractNum>
  <w:abstractNum w:abstractNumId="109">
    <w:nsid w:val="4F38F265"/>
    <w:multiLevelType w:val="hybridMultilevel"/>
    <w:lvl w:ilvl="0">
      <w:lvlJc w:val="left"/>
      <w:lvlText w:val="%1"/>
      <w:numFmt w:val="decimal"/>
      <w:start w:val="1"/>
    </w:lvl>
    <w:lvl w:ilvl="1">
      <w:lvlJc w:val="left"/>
      <w:lvlText w:val="(%2)"/>
      <w:numFmt w:val="lowerLetter"/>
      <w:start w:val="3"/>
    </w:lvl>
  </w:abstractNum>
  <w:abstractNum w:abstractNumId="110">
    <w:nsid w:val="4C502870"/>
    <w:multiLevelType w:val="hybridMultilevel"/>
    <w:lvl w:ilvl="0">
      <w:lvlJc w:val="left"/>
      <w:lvlText w:val="%1."/>
      <w:numFmt w:val="decimal"/>
      <w:start w:val="5"/>
    </w:lvl>
    <w:lvl w:ilvl="1">
      <w:lvlJc w:val="left"/>
      <w:lvlText w:val="(%2)"/>
      <w:numFmt w:val="lowerLetter"/>
      <w:start w:val="1"/>
    </w:lvl>
  </w:abstractNum>
  <w:abstractNum w:abstractNumId="111">
    <w:nsid w:val="1DE8725A"/>
    <w:multiLevelType w:val="hybridMultilevel"/>
    <w:lvl w:ilvl="0">
      <w:lvlJc w:val="left"/>
      <w:lvlText w:val="%1"/>
      <w:numFmt w:val="decimal"/>
      <w:start w:val="1"/>
    </w:lvl>
    <w:lvl w:ilvl="1">
      <w:lvlJc w:val="left"/>
      <w:lvlText w:val="(%2)"/>
      <w:numFmt w:val="lowerLetter"/>
      <w:start w:val="2"/>
    </w:lvl>
  </w:abstractNum>
  <w:abstractNum w:abstractNumId="112">
    <w:nsid w:val="6A37288A"/>
    <w:multiLevelType w:val="hybridMultilevel"/>
    <w:lvl w:ilvl="0">
      <w:lvlJc w:val="left"/>
      <w:lvlText w:val="%1."/>
      <w:numFmt w:val="decimal"/>
      <w:start w:val="8"/>
    </w:lvl>
    <w:lvl w:ilvl="1">
      <w:lvlJc w:val="left"/>
      <w:lvlText w:val="%2"/>
      <w:numFmt w:val="lowerLetter"/>
      <w:start w:val="1"/>
    </w:lvl>
  </w:abstractNum>
  <w:abstractNum w:abstractNumId="113">
    <w:nsid w:val="8F8B73F"/>
    <w:multiLevelType w:val="hybridMultilevel"/>
    <w:lvl w:ilvl="0">
      <w:lvlJc w:val="left"/>
      <w:lvlText w:val="%1."/>
      <w:numFmt w:val="decimal"/>
      <w:start w:val="11"/>
    </w:lvl>
  </w:abstractNum>
  <w:abstractNum w:abstractNumId="114">
    <w:nsid w:val="CA6B462"/>
    <w:multiLevelType w:val="hybridMultilevel"/>
    <w:lvl w:ilvl="0">
      <w:lvlJc w:val="left"/>
      <w:lvlText w:val="%1."/>
      <w:numFmt w:val="decimal"/>
      <w:start w:val="15"/>
    </w:lvl>
    <w:lvl w:ilvl="1">
      <w:lvlJc w:val="left"/>
      <w:lvlText w:val="(%2)"/>
      <w:numFmt w:val="lowerLetter"/>
      <w:start w:val="1"/>
    </w:lvl>
  </w:abstractNum>
  <w:abstractNum w:abstractNumId="115">
    <w:nsid w:val="763CB680"/>
    <w:multiLevelType w:val="hybridMultilevel"/>
    <w:lvl w:ilvl="0">
      <w:lvlJc w:val="left"/>
      <w:lvlText w:val="%1"/>
      <w:numFmt w:val="decimal"/>
      <w:start w:val="1"/>
    </w:lvl>
    <w:lvl w:ilvl="1">
      <w:lvlJc w:val="left"/>
      <w:lvlText w:val="(%2)"/>
      <w:numFmt w:val="lowerLetter"/>
      <w:start w:val="5"/>
    </w:lvl>
  </w:abstractNum>
  <w:abstractNum w:abstractNumId="116">
    <w:nsid w:val="15B71329"/>
    <w:multiLevelType w:val="hybridMultilevel"/>
    <w:lvl w:ilvl="0">
      <w:lvlJc w:val="left"/>
      <w:lvlText w:val="(%1)"/>
      <w:numFmt w:val="decimal"/>
      <w:start w:val="1"/>
    </w:lvl>
    <w:lvl w:ilvl="1">
      <w:lvlJc w:val="left"/>
      <w:lvlText w:val="(%2)"/>
      <w:numFmt w:val="lowerLetter"/>
      <w:start w:val="10"/>
    </w:lvl>
  </w:abstractNum>
  <w:abstractNum w:abstractNumId="117">
    <w:nsid w:val="3DA97044"/>
    <w:multiLevelType w:val="hybridMultilevel"/>
    <w:lvl w:ilvl="0">
      <w:lvlJc w:val="left"/>
      <w:lvlText w:val="(%1)"/>
      <w:numFmt w:val="lowerLetter"/>
      <w:start w:val="16"/>
    </w:lvl>
  </w:abstractNum>
  <w:abstractNum w:abstractNumId="118">
    <w:nsid w:val="1CDCE2DE"/>
    <w:multiLevelType w:val="hybridMultilevel"/>
    <w:lvl w:ilvl="0">
      <w:lvlJc w:val="left"/>
      <w:lvlText w:val="%1."/>
      <w:numFmt w:val="decimal"/>
      <w:start w:val="2"/>
    </w:lvl>
  </w:abstractNum>
  <w:abstractNum w:abstractNumId="119">
    <w:nsid w:val="69D3947C"/>
    <w:multiLevelType w:val="hybridMultilevel"/>
    <w:lvl w:ilvl="0">
      <w:lvlJc w:val="left"/>
      <w:lvlText w:val="%1."/>
      <w:numFmt w:val="decimal"/>
      <w:start w:val="1"/>
    </w:lvl>
    <w:lvl w:ilvl="1">
      <w:lvlJc w:val="left"/>
      <w:lvlText w:val="(%2)"/>
      <w:numFmt w:val="lowerLetter"/>
      <w:start w:val="1"/>
    </w:lvl>
  </w:abstractNum>
  <w:abstractNum w:abstractNumId="120">
    <w:nsid w:val="2539DFA5"/>
    <w:multiLevelType w:val="hybridMultilevel"/>
    <w:lvl w:ilvl="0">
      <w:lvlJc w:val="left"/>
      <w:lvlText w:val="(%1)"/>
      <w:numFmt w:val="lowerLetter"/>
      <w:start w:val="2"/>
    </w:lvl>
  </w:abstractNum>
  <w:abstractNum w:abstractNumId="121">
    <w:nsid w:val="2DB88089"/>
    <w:multiLevelType w:val="hybridMultilevel"/>
    <w:lvl w:ilvl="0">
      <w:lvlJc w:val="left"/>
      <w:lvlText w:val="(%1)"/>
      <w:numFmt w:val="lowerLetter"/>
      <w:start w:val="5"/>
    </w:lvl>
  </w:abstractNum>
  <w:abstractNum w:abstractNumId="122">
    <w:nsid w:val="706B674E"/>
    <w:multiLevelType w:val="hybridMultilevel"/>
    <w:lvl w:ilvl="0">
      <w:lvlJc w:val="left"/>
      <w:lvlText w:val="(%1)"/>
      <w:numFmt w:val="lowerLetter"/>
      <w:start w:val="8"/>
    </w:lvl>
  </w:abstractNum>
  <w:abstractNum w:abstractNumId="123">
    <w:nsid w:val="2C106A57"/>
    <w:multiLevelType w:val="hybridMultilevel"/>
    <w:lvl w:ilvl="0">
      <w:lvlJc w:val="left"/>
      <w:lvlText w:val="%1."/>
      <w:numFmt w:val="decimal"/>
      <w:start w:val="2"/>
    </w:lvl>
    <w:lvl w:ilvl="1">
      <w:lvlJc w:val="left"/>
      <w:lvlText w:val="(%2)"/>
      <w:numFmt w:val="lowerLetter"/>
      <w:start w:val="1"/>
    </w:lvl>
  </w:abstractNum>
  <w:abstractNum w:abstractNumId="124">
    <w:nsid w:val="684EED59"/>
    <w:multiLevelType w:val="hybridMultilevel"/>
    <w:lvl w:ilvl="0">
      <w:lvlJc w:val="left"/>
      <w:lvlText w:val="%1."/>
      <w:numFmt w:val="decimal"/>
      <w:start w:val="4"/>
    </w:lvl>
    <w:lvl w:ilvl="1">
      <w:lvlJc w:val="left"/>
      <w:lvlText w:val="(%2)"/>
      <w:numFmt w:val="lowerLetter"/>
      <w:start w:val="1"/>
    </w:lvl>
  </w:abstractNum>
  <w:abstractNum w:abstractNumId="125">
    <w:nsid w:val="545EE5D3"/>
    <w:multiLevelType w:val="hybridMultilevel"/>
    <w:lvl w:ilvl="0">
      <w:lvlJc w:val="left"/>
      <w:lvlText w:val="%1"/>
      <w:numFmt w:val="decimal"/>
      <w:start w:val="1"/>
    </w:lvl>
    <w:lvl w:ilvl="1">
      <w:lvlJc w:val="left"/>
      <w:lvlText w:val="(%2)"/>
      <w:numFmt w:val="lowerLetter"/>
      <w:start w:val="3"/>
    </w:lvl>
  </w:abstractNum>
  <w:abstractNum w:abstractNumId="126">
    <w:nsid w:val="4A66051"/>
    <w:multiLevelType w:val="hybridMultilevel"/>
    <w:lvl w:ilvl="0">
      <w:lvlJc w:val="left"/>
      <w:lvlText w:val="%1."/>
      <w:numFmt w:val="decimal"/>
      <w:start w:val="5"/>
    </w:lvl>
    <w:lvl w:ilvl="1">
      <w:lvlJc w:val="left"/>
      <w:lvlText w:val="(%2)"/>
      <w:numFmt w:val="lowerLetter"/>
      <w:start w:val="1"/>
    </w:lvl>
  </w:abstractNum>
  <w:abstractNum w:abstractNumId="127">
    <w:nsid w:val="20F4BDAD"/>
    <w:multiLevelType w:val="hybridMultilevel"/>
    <w:lvl w:ilvl="0">
      <w:lvlJc w:val="left"/>
      <w:lvlText w:val="%1"/>
      <w:numFmt w:val="decimal"/>
      <w:start w:val="1"/>
    </w:lvl>
    <w:lvl w:ilvl="1">
      <w:lvlJc w:val="left"/>
      <w:lvlText w:val="(%2)"/>
      <w:numFmt w:val="lowerLetter"/>
      <w:start w:val="2"/>
    </w:lvl>
  </w:abstractNum>
  <w:abstractNum w:abstractNumId="128">
    <w:nsid w:val="639DEFAC"/>
    <w:multiLevelType w:val="hybridMultilevel"/>
    <w:lvl w:ilvl="0">
      <w:lvlJc w:val="left"/>
      <w:lvlText w:val="%1."/>
      <w:numFmt w:val="decimal"/>
      <w:start w:val="8"/>
    </w:lvl>
    <w:lvl w:ilvl="1">
      <w:lvlJc w:val="left"/>
      <w:lvlText w:val="%2"/>
      <w:numFmt w:val="lowerLetter"/>
      <w:start w:val="1"/>
    </w:lvl>
  </w:abstractNum>
  <w:abstractNum w:abstractNumId="129">
    <w:nsid w:val="501F9786"/>
    <w:multiLevelType w:val="hybridMultilevel"/>
    <w:lvl w:ilvl="0">
      <w:lvlJc w:val="left"/>
      <w:lvlText w:val="%1."/>
      <w:numFmt w:val="decimal"/>
      <w:start w:val="11"/>
    </w:lvl>
  </w:abstractNum>
  <w:abstractNum w:abstractNumId="130">
    <w:nsid w:val="6B057295"/>
    <w:multiLevelType w:val="hybridMultilevel"/>
    <w:lvl w:ilvl="0">
      <w:lvlJc w:val="left"/>
      <w:lvlText w:val="%1."/>
      <w:numFmt w:val="decimal"/>
      <w:start w:val="15"/>
    </w:lvl>
    <w:lvl w:ilvl="1">
      <w:lvlJc w:val="left"/>
      <w:lvlText w:val="(%2)"/>
      <w:numFmt w:val="lowerLetter"/>
      <w:start w:val="1"/>
    </w:lvl>
  </w:abstractNum>
  <w:abstractNum w:abstractNumId="131">
    <w:nsid w:val="2771AC80"/>
    <w:multiLevelType w:val="hybridMultilevel"/>
    <w:lvl w:ilvl="0">
      <w:lvlJc w:val="left"/>
      <w:lvlText w:val="%1"/>
      <w:numFmt w:val="decimal"/>
      <w:start w:val="1"/>
    </w:lvl>
    <w:lvl w:ilvl="1">
      <w:lvlJc w:val="left"/>
      <w:lvlText w:val="(%2)"/>
      <w:numFmt w:val="lowerLetter"/>
      <w:start w:val="6"/>
    </w:lvl>
  </w:abstractNum>
  <w:abstractNum w:abstractNumId="132">
    <w:nsid w:val="1C4A08EC"/>
    <w:multiLevelType w:val="hybridMultilevel"/>
    <w:lvl w:ilvl="0">
      <w:lvlJc w:val="left"/>
      <w:lvlText w:val="(%1)"/>
      <w:numFmt w:val="decimal"/>
      <w:start w:val="1"/>
    </w:lvl>
    <w:lvl w:ilvl="1">
      <w:lvlJc w:val="left"/>
      <w:lvlText w:val="(%2)"/>
      <w:numFmt w:val="lowerLetter"/>
      <w:start w:val="10"/>
    </w:lvl>
  </w:abstractNum>
  <w:abstractNum w:abstractNumId="133">
    <w:nsid w:val="1958BD17"/>
    <w:multiLevelType w:val="hybridMultilevel"/>
    <w:lvl w:ilvl="0">
      <w:lvlJc w:val="left"/>
      <w:lvlText w:val="(%1)"/>
      <w:numFmt w:val="lowerLetter"/>
      <w:start w:val="17"/>
    </w:lvl>
  </w:abstractNum>
  <w:abstractNum w:abstractNumId="134">
    <w:nsid w:val="4E647FE4"/>
    <w:multiLevelType w:val="hybridMultilevel"/>
    <w:lvl w:ilvl="0">
      <w:lvlJc w:val="left"/>
      <w:lvlText w:val="%1."/>
      <w:numFmt w:val="decimal"/>
      <w:start w:val="2"/>
    </w:lvl>
  </w:abstractNum>
  <w:abstractNum w:abstractNumId="135">
    <w:nsid w:val="E0BB885"/>
    <w:multiLevelType w:val="hybridMultilevel"/>
    <w:lvl w:ilvl="0">
      <w:lvlJc w:val="left"/>
      <w:lvlText w:val="%1."/>
      <w:numFmt w:val="decimal"/>
      <w:start w:val="1"/>
    </w:lvl>
    <w:lvl w:ilvl="1">
      <w:lvlJc w:val="left"/>
      <w:lvlText w:val="(%2)"/>
      <w:numFmt w:val="lowerLetter"/>
      <w:start w:val="1"/>
    </w:lvl>
  </w:abstractNum>
  <w:abstractNum w:abstractNumId="136">
    <w:nsid w:val="565976F1"/>
    <w:multiLevelType w:val="hybridMultilevel"/>
    <w:lvl w:ilvl="0">
      <w:lvlJc w:val="left"/>
      <w:lvlText w:val="(%1)"/>
      <w:numFmt w:val="lowerLetter"/>
      <w:start w:val="2"/>
    </w:lvl>
  </w:abstractNum>
  <w:abstractNum w:abstractNumId="137">
    <w:nsid w:val="64212B8C"/>
    <w:multiLevelType w:val="hybridMultilevel"/>
    <w:lvl w:ilvl="0">
      <w:lvlJc w:val="left"/>
      <w:lvlText w:val="(%1)"/>
      <w:numFmt w:val="lowerLetter"/>
      <w:start w:val="5"/>
    </w:lvl>
  </w:abstractNum>
  <w:abstractNum w:abstractNumId="138">
    <w:nsid w:val="5C17530C"/>
    <w:multiLevelType w:val="hybridMultilevel"/>
    <w:lvl w:ilvl="0">
      <w:lvlJc w:val="left"/>
      <w:lvlText w:val="%1"/>
      <w:numFmt w:val="decimal"/>
      <w:start w:val="1"/>
    </w:lvl>
    <w:lvl w:ilvl="1">
      <w:lvlJc w:val="left"/>
      <w:lvlText w:val="(%2)"/>
      <w:numFmt w:val="lowerLetter"/>
      <w:start w:val="7"/>
    </w:lvl>
  </w:abstractNum>
  <w:abstractNum w:abstractNumId="139">
    <w:nsid w:val="19A52566"/>
    <w:multiLevelType w:val="hybridMultilevel"/>
    <w:lvl w:ilvl="0">
      <w:lvlJc w:val="left"/>
      <w:lvlText w:val="%1."/>
      <w:numFmt w:val="decimal"/>
      <w:start w:val="2"/>
    </w:lvl>
    <w:lvl w:ilvl="1">
      <w:lvlJc w:val="left"/>
      <w:lvlText w:val="(%2)"/>
      <w:numFmt w:val="lowerLetter"/>
      <w:start w:val="1"/>
    </w:lvl>
  </w:abstractNum>
  <w:abstractNum w:abstractNumId="140">
    <w:nsid w:val="335A1DF1"/>
    <w:multiLevelType w:val="hybridMultilevel"/>
    <w:lvl w:ilvl="0">
      <w:lvlJc w:val="left"/>
      <w:lvlText w:val="%1"/>
      <w:numFmt w:val="decimal"/>
      <w:start w:val="1"/>
    </w:lvl>
    <w:lvl w:ilvl="1">
      <w:lvlJc w:val="left"/>
      <w:lvlText w:val="(%2)"/>
      <w:numFmt w:val="lowerLetter"/>
      <w:start w:val="3"/>
    </w:lvl>
  </w:abstractNum>
  <w:abstractNum w:abstractNumId="141">
    <w:nsid w:val="28677B7C"/>
    <w:multiLevelType w:val="hybridMultilevel"/>
    <w:lvl w:ilvl="0">
      <w:lvlJc w:val="left"/>
      <w:lvlText w:val="%1."/>
      <w:numFmt w:val="decimal"/>
      <w:start w:val="3"/>
    </w:lvl>
    <w:lvl w:ilvl="1">
      <w:lvlJc w:val="left"/>
      <w:lvlText w:val="(%2)"/>
      <w:numFmt w:val="lowerLetter"/>
      <w:start w:val="1"/>
    </w:lvl>
  </w:abstractNum>
  <w:abstractNum w:abstractNumId="142">
    <w:nsid w:val="378D97C0"/>
    <w:multiLevelType w:val="hybridMultilevel"/>
    <w:lvl w:ilvl="0">
      <w:lvlJc w:val="left"/>
      <w:lvlText w:val="%1"/>
      <w:numFmt w:val="decimal"/>
      <w:start w:val="1"/>
    </w:lvl>
    <w:lvl w:ilvl="1">
      <w:lvlJc w:val="left"/>
      <w:lvlText w:val="(%2)"/>
      <w:numFmt w:val="lowerLetter"/>
      <w:start w:val="3"/>
    </w:lvl>
  </w:abstractNum>
  <w:abstractNum w:abstractNumId="143">
    <w:nsid w:val="1D91467C"/>
    <w:multiLevelType w:val="hybridMultilevel"/>
    <w:lvl w:ilvl="0">
      <w:lvlJc w:val="left"/>
      <w:lvlText w:val="%1."/>
      <w:numFmt w:val="decimal"/>
      <w:start w:val="5"/>
    </w:lvl>
    <w:lvl w:ilvl="1">
      <w:lvlJc w:val="left"/>
      <w:lvlText w:val="%2"/>
      <w:numFmt w:val="lowerLetter"/>
      <w:start w:val="1"/>
    </w:lvl>
  </w:abstractNum>
  <w:abstractNum w:abstractNumId="144">
    <w:nsid w:val="316032BB"/>
    <w:multiLevelType w:val="hybridMultilevel"/>
    <w:lvl w:ilvl="0">
      <w:lvlJc w:val="left"/>
      <w:lvlText w:val="%1."/>
      <w:numFmt w:val="decimal"/>
      <w:start w:val="7"/>
    </w:lvl>
    <w:lvl w:ilvl="1">
      <w:lvlJc w:val="left"/>
      <w:lvlText w:val="(%2)"/>
      <w:numFmt w:val="lowerLetter"/>
      <w:start w:val="1"/>
    </w:lvl>
  </w:abstractNum>
  <w:abstractNum w:abstractNumId="145">
    <w:nsid w:val="44344C22"/>
    <w:multiLevelType w:val="hybridMultilevel"/>
    <w:lvl w:ilvl="0">
      <w:lvlJc w:val="left"/>
      <w:lvlText w:val="%1."/>
      <w:numFmt w:val="decimal"/>
      <w:start w:val="9"/>
    </w:lvl>
  </w:abstractNum>
  <w:abstractNum w:abstractNumId="146">
    <w:nsid w:val="13CDFCFC"/>
    <w:multiLevelType w:val="hybridMultilevel"/>
    <w:lvl w:ilvl="0">
      <w:lvlJc w:val="left"/>
      <w:lvlText w:val="%1."/>
      <w:numFmt w:val="decimal"/>
      <w:start w:val="14"/>
    </w:lvl>
    <w:lvl w:ilvl="1">
      <w:lvlJc w:val="left"/>
      <w:lvlText w:val="(%2)"/>
      <w:numFmt w:val="lowerLetter"/>
      <w:start w:val="1"/>
    </w:lvl>
  </w:abstractNum>
  <w:abstractNum w:abstractNumId="147">
    <w:nsid w:val="471745E4"/>
    <w:multiLevelType w:val="hybridMultilevel"/>
    <w:lvl w:ilvl="0">
      <w:lvlJc w:val="left"/>
      <w:lvlText w:val="%1"/>
      <w:numFmt w:val="decimal"/>
      <w:start w:val="1"/>
    </w:lvl>
    <w:lvl w:ilvl="1">
      <w:lvlJc w:val="left"/>
      <w:lvlText w:val="(%2)"/>
      <w:numFmt w:val="lowerLetter"/>
      <w:start w:val="2"/>
    </w:lvl>
  </w:abstractNum>
  <w:abstractNum w:abstractNumId="148">
    <w:nsid w:val="1DDBC66"/>
    <w:multiLevelType w:val="hybridMultilevel"/>
    <w:lvl w:ilvl="0">
      <w:lvlJc w:val="left"/>
      <w:lvlText w:val="(%1)"/>
      <w:numFmt w:val="decimal"/>
      <w:start w:val="1"/>
    </w:lvl>
    <w:lvl w:ilvl="1">
      <w:lvlJc w:val="left"/>
      <w:lvlText w:val="%2"/>
      <w:numFmt w:val="lowerLetter"/>
      <w:start w:val="1"/>
    </w:lvl>
  </w:abstractNum>
  <w:abstractNum w:abstractNumId="149">
    <w:nsid w:val="30AADFDA"/>
    <w:multiLevelType w:val="hybridMultilevel"/>
    <w:lvl w:ilvl="0">
      <w:lvlJc w:val="left"/>
      <w:lvlText w:val="(%1)"/>
      <w:numFmt w:val="lowerLetter"/>
      <w:start w:val="12"/>
    </w:lvl>
  </w:abstractNum>
  <w:abstractNum w:abstractNumId="150">
    <w:nsid w:val="30EADA61"/>
    <w:multiLevelType w:val="hybridMultilevel"/>
    <w:lvl w:ilvl="0">
      <w:lvlJc w:val="left"/>
      <w:lvlText w:val="%1."/>
      <w:numFmt w:val="decimal"/>
      <w:start w:val="2"/>
    </w:lvl>
  </w:abstractNum>
  <w:abstractNum w:abstractNumId="151">
    <w:nsid w:val="27179C0B"/>
    <w:multiLevelType w:val="hybridMultilevel"/>
    <w:lvl w:ilvl="0">
      <w:lvlJc w:val="left"/>
      <w:lvlText w:val="%1."/>
      <w:numFmt w:val="decimal"/>
      <w:start w:val="1"/>
    </w:lvl>
    <w:lvl w:ilvl="1">
      <w:lvlJc w:val="left"/>
      <w:lvlText w:val="(%2)"/>
      <w:numFmt w:val="lowerLetter"/>
      <w:start w:val="1"/>
    </w:lvl>
  </w:abstractNum>
  <w:abstractNum w:abstractNumId="152">
    <w:nsid w:val="5E636063"/>
    <w:multiLevelType w:val="hybridMultilevel"/>
    <w:lvl w:ilvl="0">
      <w:lvlJc w:val="left"/>
      <w:lvlText w:val="(%1)"/>
      <w:numFmt w:val="lowerLetter"/>
      <w:start w:val="2"/>
    </w:lvl>
  </w:abstractNum>
  <w:abstractNum w:abstractNumId="153">
    <w:nsid w:val="215641AF"/>
    <w:multiLevelType w:val="hybridMultilevel"/>
    <w:lvl w:ilvl="0">
      <w:lvlJc w:val="left"/>
      <w:lvlText w:val="(%1)"/>
      <w:numFmt w:val="lowerLetter"/>
      <w:start w:val="5"/>
    </w:lvl>
  </w:abstractNum>
  <w:abstractNum w:abstractNumId="154">
    <w:nsid w:val="53280662"/>
    <w:multiLevelType w:val="hybridMultilevel"/>
    <w:lvl w:ilvl="0">
      <w:lvlJc w:val="left"/>
      <w:lvlText w:val="(%1)"/>
      <w:numFmt w:val="lowerLetter"/>
      <w:start w:val="8"/>
    </w:lvl>
  </w:abstractNum>
  <w:abstractNum w:abstractNumId="155">
    <w:nsid w:val="46B24DBC"/>
    <w:multiLevelType w:val="hybridMultilevel"/>
    <w:lvl w:ilvl="0">
      <w:lvlJc w:val="left"/>
      <w:lvlText w:val="%1."/>
      <w:numFmt w:val="decimal"/>
      <w:start w:val="2"/>
    </w:lvl>
    <w:lvl w:ilvl="1">
      <w:lvlJc w:val="left"/>
      <w:lvlText w:val="(%2)"/>
      <w:numFmt w:val="lowerLetter"/>
      <w:start w:val="1"/>
    </w:lvl>
  </w:abstractNum>
  <w:abstractNum w:abstractNumId="156">
    <w:nsid w:val="75B52783"/>
    <w:multiLevelType w:val="hybridMultilevel"/>
    <w:lvl w:ilvl="0">
      <w:lvlJc w:val="left"/>
      <w:lvlText w:val="%1"/>
      <w:numFmt w:val="decimal"/>
      <w:start w:val="1"/>
    </w:lvl>
    <w:lvl w:ilvl="1">
      <w:lvlJc w:val="left"/>
      <w:lvlText w:val="(%2)"/>
      <w:numFmt w:val="lowerLetter"/>
      <w:start w:val="2"/>
    </w:lvl>
  </w:abstractNum>
  <w:abstractNum w:abstractNumId="157">
    <w:nsid w:val="57CE66B4"/>
    <w:multiLevelType w:val="hybridMultilevel"/>
    <w:lvl w:ilvl="0">
      <w:lvlJc w:val="left"/>
      <w:lvlText w:val="%1."/>
      <w:numFmt w:val="decimal"/>
      <w:start w:val="3"/>
    </w:lvl>
    <w:lvl w:ilvl="1">
      <w:lvlJc w:val="left"/>
      <w:lvlText w:val="(%2)"/>
      <w:numFmt w:val="lowerLetter"/>
      <w:start w:val="1"/>
    </w:lvl>
  </w:abstractNum>
  <w:abstractNum w:abstractNumId="158">
    <w:nsid w:val="67A70B69"/>
    <w:multiLevelType w:val="hybridMultilevel"/>
    <w:lvl w:ilvl="0">
      <w:lvlJc w:val="left"/>
      <w:lvlText w:val="(%1)"/>
      <w:numFmt w:val="lowerLetter"/>
      <w:start w:val="2"/>
    </w:lvl>
  </w:abstractNum>
  <w:abstractNum w:abstractNumId="159">
    <w:nsid w:val="5953172F"/>
    <w:multiLevelType w:val="hybridMultilevel"/>
    <w:lvl w:ilvl="0">
      <w:lvlJc w:val="left"/>
      <w:lvlText w:val="%1."/>
      <w:numFmt w:val="decimal"/>
      <w:start w:val="5"/>
    </w:lvl>
    <w:lvl w:ilvl="1">
      <w:lvlJc w:val="left"/>
      <w:lvlText w:val="(%2)"/>
      <w:numFmt w:val="lowerLetter"/>
      <w:start w:val="1"/>
    </w:lvl>
  </w:abstractNum>
  <w:abstractNum w:abstractNumId="160">
    <w:nsid w:val="27EDFE3A"/>
    <w:multiLevelType w:val="hybridMultilevel"/>
    <w:lvl w:ilvl="0">
      <w:lvlJc w:val="left"/>
      <w:lvlText w:val="%1"/>
      <w:numFmt w:val="decimal"/>
      <w:start w:val="1"/>
    </w:lvl>
    <w:lvl w:ilvl="1">
      <w:lvlJc w:val="left"/>
      <w:lvlText w:val="(%2)"/>
      <w:numFmt w:val="lowerLetter"/>
      <w:start w:val="3"/>
    </w:lvl>
  </w:abstractNum>
  <w:abstractNum w:abstractNumId="161">
    <w:nsid w:val="52AC7DFF"/>
    <w:multiLevelType w:val="hybridMultilevel"/>
    <w:lvl w:ilvl="0">
      <w:lvlJc w:val="left"/>
      <w:lvlText w:val="%1."/>
      <w:numFmt w:val="decimal"/>
      <w:start w:val="8"/>
    </w:lvl>
    <w:lvl w:ilvl="1">
      <w:lvlJc w:val="left"/>
      <w:lvlText w:val="%2"/>
      <w:numFmt w:val="lowerLetter"/>
      <w:start w:val="1"/>
    </w:lvl>
  </w:abstractNum>
  <w:abstractNum w:abstractNumId="162">
    <w:nsid w:val="C4C3AF"/>
    <w:multiLevelType w:val="hybridMultilevel"/>
    <w:lvl w:ilvl="0">
      <w:lvlJc w:val="left"/>
      <w:lvlText w:val="%1."/>
      <w:numFmt w:val="decimal"/>
      <w:start w:val="11"/>
    </w:lvl>
  </w:abstractNum>
  <w:abstractNum w:abstractNumId="163">
    <w:nsid w:val="44380727"/>
    <w:multiLevelType w:val="hybridMultilevel"/>
    <w:lvl w:ilvl="0">
      <w:lvlJc w:val="left"/>
      <w:lvlText w:val="%1."/>
      <w:numFmt w:val="decimal"/>
      <w:start w:val="15"/>
    </w:lvl>
    <w:lvl w:ilvl="1">
      <w:lvlJc w:val="left"/>
      <w:lvlText w:val="(%2)"/>
      <w:numFmt w:val="lowerLetter"/>
      <w:start w:val="1"/>
    </w:lvl>
  </w:abstractNum>
  <w:abstractNum w:abstractNumId="164">
    <w:nsid w:val="6C053B16"/>
    <w:multiLevelType w:val="hybridMultilevel"/>
    <w:lvl w:ilvl="0">
      <w:lvlJc w:val="left"/>
      <w:lvlText w:val="%1"/>
      <w:numFmt w:val="decimal"/>
      <w:start w:val="1"/>
    </w:lvl>
    <w:lvl w:ilvl="1">
      <w:lvlJc w:val="left"/>
      <w:lvlText w:val="(%2)"/>
      <w:numFmt w:val="lowerLetter"/>
      <w:start w:val="8"/>
    </w:lvl>
  </w:abstractNum>
  <w:abstractNum w:abstractNumId="165">
    <w:nsid w:val="4F294393"/>
    <w:multiLevelType w:val="hybridMultilevel"/>
    <w:lvl w:ilvl="0">
      <w:lvlJc w:val="left"/>
      <w:lvlText w:val="(%1)"/>
      <w:numFmt w:val="decimal"/>
      <w:start w:val="1"/>
    </w:lvl>
    <w:lvl w:ilvl="1">
      <w:lvlJc w:val="left"/>
      <w:lvlText w:val="(%2)"/>
      <w:numFmt w:val="lowerLetter"/>
      <w:start w:val="10"/>
    </w:lvl>
  </w:abstractNum>
  <w:abstractNum w:abstractNumId="166">
    <w:nsid w:val="5243BFAC"/>
    <w:multiLevelType w:val="hybridMultilevel"/>
    <w:lvl w:ilvl="0">
      <w:lvlJc w:val="left"/>
      <w:lvlText w:val="%1."/>
      <w:numFmt w:val="decimal"/>
      <w:start w:val="2"/>
    </w:lvl>
  </w:abstractNum>
  <w:abstractNum w:abstractNumId="167">
    <w:nsid w:val="425EB207"/>
    <w:multiLevelType w:val="hybridMultilevel"/>
    <w:lvl w:ilvl="0">
      <w:lvlJc w:val="left"/>
      <w:lvlText w:val="(%1)"/>
      <w:numFmt w:val="lowerLetter"/>
      <w:start w:val="2"/>
    </w:lvl>
    <w:lvl w:ilvl="1">
      <w:lvlJc w:val="left"/>
      <w:lvlText w:val="(%2)"/>
      <w:numFmt w:val="decimal"/>
      <w:start w:val="1"/>
    </w:lvl>
  </w:abstractNum>
  <w:abstractNum w:abstractNumId="168">
    <w:nsid w:val="334A6F1F"/>
    <w:multiLevelType w:val="hybridMultilevel"/>
    <w:lvl w:ilvl="0">
      <w:lvlJc w:val="left"/>
      <w:lvlText w:val="1"/>
      <w:numFmt w:val="bullet"/>
      <w:start w:val="1"/>
    </w:lvl>
  </w:abstractNum>
  <w:abstractNum w:abstractNumId="169">
    <w:nsid w:val="2E5B12B8"/>
    <w:multiLevelType w:val="hybridMultilevel"/>
    <w:lvl w:ilvl="0">
      <w:lvlJc w:val="left"/>
      <w:lvlText w:val="(%1)"/>
      <w:numFmt w:val="lowerLetter"/>
      <w:start w:val="3"/>
    </w:lvl>
  </w:abstractNum>
  <w:abstractNum w:abstractNumId="170">
    <w:nsid w:val="5C03D76D"/>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71">
    <w:nsid w:val="66A48D11"/>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72">
    <w:nsid w:val="56C28E34"/>
    <w:multiLevelType w:val="hybridMultilevel"/>
    <w:lvl w:ilvl="0">
      <w:lvlJc w:val="left"/>
      <w:lvlText w:val="(%1)"/>
      <w:numFmt w:val="lowerLetter"/>
      <w:start w:val="2"/>
    </w:lvl>
    <w:lvl w:ilvl="1">
      <w:lvlJc w:val="left"/>
      <w:lvlText w:val="(%2)"/>
      <w:numFmt w:val="decimal"/>
      <w:start w:val="1"/>
    </w:lvl>
  </w:abstractNum>
  <w:abstractNum w:abstractNumId="173">
    <w:nsid w:val="13916F2D"/>
    <w:multiLevelType w:val="hybridMultilevel"/>
    <w:lvl w:ilvl="0">
      <w:lvlJc w:val="left"/>
      <w:lvlText w:val="2"/>
      <w:numFmt w:val="bullet"/>
      <w:start w:val="1"/>
    </w:lvl>
  </w:abstractNum>
  <w:abstractNum w:abstractNumId="174">
    <w:nsid w:val="435D38D"/>
    <w:multiLevelType w:val="hybridMultilevel"/>
    <w:lvl w:ilvl="0">
      <w:lvlJc w:val="left"/>
      <w:lvlText w:val="%1."/>
      <w:numFmt w:val="decimal"/>
      <w:start w:val="3"/>
    </w:lvl>
    <w:lvl w:ilvl="1">
      <w:lvlJc w:val="left"/>
      <w:lvlText w:val="(%2)"/>
      <w:numFmt w:val="lowerLetter"/>
      <w:start w:val="1"/>
    </w:lvl>
  </w:abstractNum>
  <w:abstractNum w:abstractNumId="175">
    <w:nsid w:val="822C0EF"/>
    <w:multiLevelType w:val="hybridMultilevel"/>
    <w:lvl w:ilvl="0">
      <w:lvlJc w:val="left"/>
      <w:lvlText w:val="(%1)"/>
      <w:numFmt w:val="lowerLetter"/>
      <w:start w:val="2"/>
    </w:lvl>
  </w:abstractNum>
  <w:abstractNum w:abstractNumId="176">
    <w:nsid w:val="57C5BB4F"/>
    <w:multiLevelType w:val="hybridMultilevel"/>
    <w:lvl w:ilvl="0">
      <w:lvlJc w:val="left"/>
      <w:lvlText w:val="%1."/>
      <w:numFmt w:val="decimal"/>
      <w:start w:val="6"/>
    </w:lvl>
    <w:lvl w:ilvl="1">
      <w:lvlJc w:val="left"/>
      <w:lvlText w:val="(%2)"/>
      <w:numFmt w:val="lowerLetter"/>
      <w:start w:val="1"/>
    </w:lvl>
  </w:abstractNum>
  <w:abstractNum w:abstractNumId="177">
    <w:nsid w:val="1803D089"/>
    <w:multiLevelType w:val="hybridMultilevel"/>
    <w:lvl w:ilvl="0">
      <w:lvlJc w:val="left"/>
      <w:lvlText w:val="%1."/>
      <w:numFmt w:val="decimal"/>
      <w:start w:val="8"/>
    </w:lvl>
    <w:lvl w:ilvl="1">
      <w:lvlJc w:val="left"/>
      <w:lvlText w:val="(%2)"/>
      <w:numFmt w:val="lowerLetter"/>
      <w:start w:val="1"/>
    </w:lvl>
  </w:abstractNum>
  <w:abstractNum w:abstractNumId="178">
    <w:nsid w:val="4F3A06D4"/>
    <w:multiLevelType w:val="hybridMultilevel"/>
    <w:lvl w:ilvl="0">
      <w:lvlJc w:val="left"/>
      <w:lvlText w:val="%1"/>
      <w:numFmt w:val="decimal"/>
      <w:start w:val="1"/>
    </w:lvl>
    <w:lvl w:ilvl="1">
      <w:lvlJc w:val="left"/>
      <w:lvlText w:val="(%2)"/>
      <w:numFmt w:val="lowerLetter"/>
      <w:start w:val="2"/>
    </w:lvl>
  </w:abstractNum>
  <w:abstractNum w:abstractNumId="179">
    <w:nsid w:val="59A377B6"/>
    <w:multiLevelType w:val="hybridMultilevel"/>
    <w:lvl w:ilvl="0">
      <w:lvlJc w:val="left"/>
      <w:lvlText w:val="%1."/>
      <w:numFmt w:val="decimal"/>
      <w:start w:val="12"/>
    </w:lvl>
    <w:lvl w:ilvl="1">
      <w:lvlJc w:val="left"/>
      <w:lvlText w:val="(%2)"/>
      <w:numFmt w:val="lowerLetter"/>
      <w:start w:val="1"/>
    </w:lvl>
  </w:abstractNum>
  <w:abstractNum w:abstractNumId="180">
    <w:nsid w:val="48AEB063"/>
    <w:multiLevelType w:val="hybridMultilevel"/>
    <w:lvl w:ilvl="0">
      <w:lvlJc w:val="left"/>
      <w:lvlText w:val="%1."/>
      <w:numFmt w:val="decimal"/>
      <w:start w:val="1"/>
    </w:lvl>
    <w:lvl w:ilvl="1">
      <w:lvlJc w:val="left"/>
      <w:lvlText w:val="%2."/>
      <w:numFmt w:val="lowerLetter"/>
      <w:start w:val="1"/>
    </w:lvl>
  </w:abstractNum>
  <w:abstractNum w:abstractNumId="181">
    <w:nsid w:val="24E13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82">
    <w:nsid w:val="BB13C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83">
    <w:nsid w:val="271210C7"/>
    <w:multiLevelType w:val="hybridMultilevel"/>
    <w:lvl w:ilvl="0">
      <w:lvlJc w:val="left"/>
      <w:lvlText w:val="%1."/>
      <w:numFmt w:val="decimal"/>
      <w:start w:val="4"/>
    </w:lvl>
    <w:lvl w:ilvl="1">
      <w:lvlJc w:val="left"/>
      <w:lvlText w:val="%2."/>
      <w:numFmt w:val="lowerLetter"/>
      <w:start w:val="1"/>
    </w:lvl>
  </w:abstractNum>
  <w:abstractNum w:abstractNumId="184">
    <w:nsid w:val="217B22E4"/>
    <w:multiLevelType w:val="hybridMultilevel"/>
    <w:lvl w:ilvl="0">
      <w:lvlJc w:val="left"/>
      <w:lvlText w:val="%1."/>
      <w:numFmt w:val="lowerLetter"/>
      <w:start w:val="4"/>
    </w:lvl>
  </w:abstractNum>
  <w:abstractNum w:abstractNumId="185">
    <w:nsid w:val="53E31A24"/>
    <w:multiLevelType w:val="hybridMultilevel"/>
    <w:lvl w:ilvl="0">
      <w:lvlJc w:val="left"/>
      <w:lvlText w:val="%1."/>
      <w:numFmt w:val="lowerLetter"/>
      <w:start w:val="6"/>
    </w:lvl>
  </w:abstractNum>
  <w:abstractNum w:abstractNumId="186">
    <w:nsid w:val="6DC45E83"/>
    <w:multiLevelType w:val="hybridMultilevel"/>
    <w:lvl w:ilvl="0">
      <w:lvlJc w:val="left"/>
      <w:lvlText w:val="%1."/>
      <w:numFmt w:val="lowerLetter"/>
      <w:start w:val="12"/>
    </w:lvl>
    <w:lvl w:ilvl="1">
      <w:lvlJc w:val="left"/>
      <w:lvlText w:val="(%2)"/>
      <w:numFmt w:val="lowerRoman"/>
      <w:start w:val="1"/>
    </w:lvl>
  </w:abstractNum>
  <w:abstractNum w:abstractNumId="187">
    <w:nsid w:val="17304A67"/>
    <w:multiLevelType w:val="hybridMultilevel"/>
    <w:lvl w:ilvl="0">
      <w:lvlJc w:val="left"/>
      <w:lvlText w:val="%1."/>
      <w:numFmt w:val="lowerLetter"/>
      <w:start w:val="14"/>
    </w:lvl>
  </w:abstractNum>
  <w:abstractNum w:abstractNumId="188">
    <w:nsid w:val="2BB180D8"/>
    <w:multiLevelType w:val="hybridMultilevel"/>
    <w:lvl w:ilvl="0">
      <w:lvlJc w:val="left"/>
      <w:lvlText w:val="%1"/>
      <w:numFmt w:val="decimal"/>
      <w:start w:val="1"/>
    </w:lvl>
    <w:lvl w:ilvl="1">
      <w:lvlJc w:val="left"/>
      <w:lvlText w:val="%2."/>
      <w:numFmt w:val="lowerLetter"/>
      <w:start w:val="17"/>
    </w:lvl>
  </w:abstractNum>
  <w:abstractNum w:abstractNumId="189">
    <w:nsid w:val="556B69ED"/>
    <w:multiLevelType w:val="hybridMultilevel"/>
    <w:lvl w:ilvl="0">
      <w:lvlJc w:val="left"/>
      <w:lvlText w:val="%1."/>
      <w:numFmt w:val="decimal"/>
      <w:start w:val="5"/>
    </w:lvl>
    <w:lvl w:ilvl="1">
      <w:lvlJc w:val="left"/>
      <w:lvlText w:val="%2."/>
      <w:numFmt w:val="lowerLetter"/>
      <w:start w:val="1"/>
    </w:lvl>
  </w:abstractNum>
  <w:abstractNum w:abstractNumId="190">
    <w:nsid w:val="70836196"/>
    <w:multiLevelType w:val="hybridMultilevel"/>
    <w:lvl w:ilvl="0">
      <w:lvlJc w:val="left"/>
      <w:lvlText w:val="%1."/>
      <w:numFmt w:val="lowerLetter"/>
      <w:start w:val="3"/>
    </w:lvl>
  </w:abstractNum>
  <w:abstractNum w:abstractNumId="191">
    <w:nsid w:val="539F7F12"/>
    <w:multiLevelType w:val="hybridMultilevel"/>
    <w:lvl w:ilvl="0">
      <w:lvlJc w:val="left"/>
      <w:lvlText w:val="%1."/>
      <w:numFmt w:val="lowerLetter"/>
      <w:start w:val="6"/>
    </w:lvl>
  </w:abstractNum>
  <w:abstractNum w:abstractNumId="192">
    <w:nsid w:val="2817E7EC"/>
    <w:multiLevelType w:val="hybridMultilevel"/>
    <w:lvl w:ilvl="0">
      <w:lvlJc w:val="left"/>
      <w:lvlText w:val="%1."/>
      <w:numFmt w:val="lowerLetter"/>
      <w:start w:val="10"/>
    </w:lvl>
  </w:abstractNum>
  <w:abstractNum w:abstractNumId="193">
    <w:nsid w:val="71482545"/>
    <w:multiLevelType w:val="hybridMultilevel"/>
    <w:lvl w:ilvl="0">
      <w:lvlJc w:val="left"/>
      <w:lvlText w:val="%1"/>
      <w:numFmt w:val="decimal"/>
      <w:start w:val="1"/>
    </w:lvl>
    <w:lvl w:ilvl="1">
      <w:lvlJc w:val="left"/>
      <w:lvlText w:val="%2."/>
      <w:numFmt w:val="lowerLetter"/>
      <w:start w:val="13"/>
    </w:lvl>
  </w:abstractNum>
  <w:abstractNum w:abstractNumId="194">
    <w:nsid w:val="17D78639"/>
    <w:multiLevelType w:val="hybridMultilevel"/>
    <w:lvl w:ilvl="0">
      <w:lvlJc w:val="left"/>
      <w:lvlText w:val="%1."/>
      <w:numFmt w:val="decimal"/>
      <w:start w:val="6"/>
    </w:lvl>
    <w:lvl w:ilvl="1">
      <w:lvlJc w:val="left"/>
      <w:lvlText w:val="%2."/>
      <w:numFmt w:val="lowerLetter"/>
      <w:start w:val="1"/>
    </w:lvl>
  </w:abstractNum>
  <w:abstractNum w:abstractNumId="195">
    <w:nsid w:val="141D230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96">
    <w:nsid w:val="407168D8"/>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197">
    <w:nsid w:val="6A1B45E5"/>
    <w:multiLevelType w:val="hybridMultilevel"/>
    <w:lvl w:ilvl="0">
      <w:lvlJc w:val="left"/>
      <w:lvlText w:val="%1."/>
      <w:numFmt w:val="lowerLetter"/>
      <w:start w:val="4"/>
    </w:lvl>
  </w:abstractNum>
  <w:abstractNum w:abstractNumId="198">
    <w:nsid w:val="567BD50A"/>
    <w:multiLevelType w:val="hybridMultilevel"/>
    <w:lvl w:ilvl="0">
      <w:lvlJc w:val="left"/>
      <w:lvlText w:val="%1."/>
      <w:numFmt w:val="decimal"/>
      <w:start w:val="7"/>
    </w:lvl>
    <w:lvl w:ilvl="1">
      <w:lvlJc w:val="left"/>
      <w:lvlText w:val="%2."/>
      <w:numFmt w:val="lowerLetter"/>
      <w:start w:val="1"/>
    </w:lvl>
  </w:abstractNum>
  <w:abstractNum w:abstractNumId="199">
    <w:nsid w:val="73BBD7F8"/>
    <w:multiLevelType w:val="hybridMultilevel"/>
    <w:lvl w:ilvl="0">
      <w:lvlJc w:val="left"/>
      <w:lvlText w:val="%1."/>
      <w:numFmt w:val="decimal"/>
      <w:start w:val="8"/>
    </w:lvl>
    <w:lvl w:ilvl="1">
      <w:lvlJc w:val="left"/>
      <w:lvlText w:val="%2."/>
      <w:numFmt w:val="lowerLetter"/>
      <w:start w:val="1"/>
    </w:lvl>
  </w:abstractNum>
  <w:abstractNum w:abstractNumId="200">
    <w:nsid w:val="1876589D"/>
    <w:multiLevelType w:val="hybridMultilevel"/>
    <w:lvl w:ilvl="0">
      <w:lvlJc w:val="left"/>
      <w:lvlText w:val="%1"/>
      <w:numFmt w:val="decimal"/>
      <w:start w:val="1"/>
    </w:lvl>
    <w:lvl w:ilvl="1">
      <w:lvlJc w:val="left"/>
      <w:lvlText w:val="%2."/>
      <w:numFmt w:val="lowerLetter"/>
      <w:start w:val="4"/>
    </w:lvl>
  </w:abstractNum>
  <w:abstractNum w:abstractNumId="201">
    <w:nsid w:val="327FAC77"/>
    <w:multiLevelType w:val="hybridMultilevel"/>
    <w:lvl w:ilvl="0">
      <w:lvlJc w:val="left"/>
      <w:lvlText w:val="%1."/>
      <w:numFmt w:val="decimal"/>
      <w:start w:val="15"/>
    </w:lvl>
    <w:lvl w:ilvl="1">
      <w:lvlJc w:val="left"/>
      <w:lvlText w:val="%2"/>
      <w:numFmt w:val="lowerLetter"/>
      <w:start w:val="1"/>
    </w:lvl>
  </w:abstractNum>
  <w:abstractNum w:abstractNumId="202">
    <w:nsid w:val="5A606509"/>
    <w:multiLevelType w:val="hybridMultilevel"/>
    <w:lvl w:ilvl="0">
      <w:lvlJc w:val="left"/>
      <w:lvlText w:val="%1."/>
      <w:numFmt w:val="decimal"/>
      <w:start w:val="18"/>
    </w:lvl>
    <w:lvl w:ilvl="1">
      <w:lvlJc w:val="left"/>
      <w:lvlText w:val="%2."/>
      <w:numFmt w:val="lowerLetter"/>
      <w:start w:val="1"/>
    </w:lvl>
  </w:abstractNum>
  <w:abstractNum w:abstractNumId="203">
    <w:nsid w:val="6F38E6D1"/>
    <w:multiLevelType w:val="hybridMultilevel"/>
    <w:lvl w:ilvl="0">
      <w:lvlJc w:val="left"/>
      <w:lvlText w:val="%1"/>
      <w:numFmt w:val="decimal"/>
      <w:start w:val="1"/>
    </w:lvl>
    <w:lvl w:ilvl="1">
      <w:lvlJc w:val="left"/>
      <w:lvlText w:val="%2."/>
      <w:numFmt w:val="lowerLetter"/>
      <w:start w:val="6"/>
    </w:lvl>
  </w:abstractNum>
  <w:abstractNum w:abstractNumId="204">
    <w:nsid w:val="46111BA5"/>
    <w:multiLevelType w:val="hybridMultilevel"/>
    <w:lvl w:ilvl="0">
      <w:lvlJc w:val="left"/>
      <w:lvlText w:val="%1."/>
      <w:numFmt w:val="decimal"/>
      <w:start w:val="20"/>
    </w:lvl>
    <w:lvl w:ilvl="1">
      <w:lvlJc w:val="left"/>
      <w:lvlText w:val="%2"/>
      <w:numFmt w:val="lowerLetter"/>
      <w:start w:val="1"/>
    </w:lvl>
  </w:abstractNum>
  <w:abstractNum w:abstractNumId="205">
    <w:nsid w:val="5E963896"/>
    <w:multiLevelType w:val="hybridMultilevel"/>
    <w:lvl w:ilvl="0">
      <w:lvlJc w:val="left"/>
      <w:lvlText w:val="%1."/>
      <w:numFmt w:val="decimal"/>
      <w:start w:val="1"/>
    </w:lvl>
  </w:abstractNum>
  <w:abstractNum w:abstractNumId="206">
    <w:nsid w:val="775BA7C1"/>
    <w:multiLevelType w:val="hybridMultilevel"/>
    <w:lvl w:ilvl="0">
      <w:lvlJc w:val="left"/>
      <w:lvlText w:val="%1."/>
      <w:numFmt w:val="decimal"/>
      <w:start w:val="6"/>
    </w:lvl>
  </w:abstractNum>
  <w:abstractNum w:abstractNumId="207">
    <w:nsid w:val="1DD6D6F4"/>
    <w:multiLevelType w:val="hybridMultilevel"/>
    <w:lvl w:ilvl="0">
      <w:lvlJc w:val="left"/>
      <w:lvlText w:val="%1."/>
      <w:numFmt w:val="decimal"/>
      <w:start w:val="7"/>
    </w:lvl>
  </w:abstractNum>
  <w:abstractNum w:abstractNumId="208">
    <w:nsid w:val="769A091F"/>
    <w:multiLevelType w:val="hybridMultilevel"/>
    <w:lvl w:ilvl="0">
      <w:lvlJc w:val="left"/>
      <w:lvlText w:val="1"/>
      <w:numFmt w:val="bullet"/>
      <w:start w:val="1"/>
    </w:lvl>
  </w:abstractNum>
  <w:abstractNum w:abstractNumId="209">
    <w:nsid w:val="4695AE95"/>
    <w:multiLevelType w:val="hybridMultilevel"/>
    <w:lvl w:ilvl="0">
      <w:lvlJc w:val="left"/>
      <w:lvlText w:val="*"/>
      <w:numFmt w:val="bullet"/>
      <w:start w:val="1"/>
    </w:lvl>
  </w:abstractNum>
  <w:abstractNum w:abstractNumId="210">
    <w:nsid w:val="777A4EAA"/>
    <w:multiLevelType w:val="hybridMultilevel"/>
    <w:lvl w:ilvl="0">
      <w:lvlJc w:val="left"/>
      <w:lvlText w:val="*"/>
      <w:numFmt w:val="bullet"/>
      <w:start w:val="1"/>
    </w:lvl>
  </w:abstractNum>
  <w:abstractNum w:abstractNumId="211">
    <w:nsid w:val="3F48B982"/>
    <w:multiLevelType w:val="hybridMultilevel"/>
    <w:lvl w:ilvl="0">
      <w:lvlJc w:val="left"/>
      <w:lvlText w:val="%1."/>
      <w:numFmt w:val="decimal"/>
      <w:start w:val="1"/>
    </w:lvl>
  </w:abstractNum>
  <w:abstractNum w:abstractNumId="212">
    <w:nsid w:val="46BA8FCA"/>
    <w:multiLevelType w:val="hybridMultilevel"/>
    <w:lvl w:ilvl="0">
      <w:lvlJc w:val="left"/>
      <w:lvlText w:val="%1."/>
      <w:numFmt w:val="decimal"/>
      <w:start w:val="2"/>
    </w:lvl>
  </w:abstractNum>
  <w:abstractNum w:abstractNumId="213">
    <w:nsid w:val="7835626C"/>
    <w:multiLevelType w:val="hybridMultilevel"/>
    <w:lvl w:ilvl="0">
      <w:lvlJc w:val="left"/>
      <w:lvlText w:val="•"/>
      <w:numFmt w:val="bullet"/>
      <w:start w:val="1"/>
    </w:lvl>
  </w:abstractNum>
  <w:abstractNum w:abstractNumId="214">
    <w:nsid w:val="665ACA49"/>
    <w:multiLevelType w:val="hybridMultilevel"/>
    <w:lvl w:ilvl="0">
      <w:lvlJc w:val="left"/>
      <w:lvlText w:val="%1."/>
      <w:numFmt w:val="decimal"/>
      <w:start w:val="1"/>
    </w:lvl>
  </w:abstractNum>
  <w:abstractNum w:abstractNumId="215">
    <w:nsid w:val="6835B2AE"/>
    <w:multiLevelType w:val="hybridMultilevel"/>
    <w:lvl w:ilvl="0">
      <w:lvlJc w:val="left"/>
      <w:lvlText w:val="(%1)"/>
      <w:numFmt w:val="lowerLetter"/>
      <w:start w:val="1"/>
    </w:lvl>
  </w:abstractNum>
  <w:abstractNum w:abstractNumId="216">
    <w:nsid w:val="4C187C90"/>
    <w:multiLevelType w:val="hybridMultilevel"/>
    <w:lvl w:ilvl="0">
      <w:lvlJc w:val="left"/>
      <w:lvlText w:val="(%1)"/>
      <w:numFmt w:val="lowerLetter"/>
      <w:start w:val="4"/>
    </w:lvl>
  </w:abstractNum>
  <w:abstractNum w:abstractNumId="217">
    <w:nsid w:val="541F28CD"/>
    <w:multiLevelType w:val="hybridMultilevel"/>
    <w:lvl w:ilvl="0">
      <w:lvlJc w:val="left"/>
      <w:lvlText w:val="%1."/>
      <w:numFmt w:val="decimal"/>
      <w:start w:val="2"/>
    </w:lvl>
    <w:lvl w:ilvl="1">
      <w:lvlJc w:val="left"/>
      <w:lvlText w:val="(%2)"/>
      <w:numFmt w:val="lowerLetter"/>
      <w:start w:val="1"/>
    </w:lvl>
  </w:abstractNum>
  <w:abstractNum w:abstractNumId="218">
    <w:nsid w:val="7F65FD16"/>
    <w:multiLevelType w:val="hybridMultilevel"/>
    <w:lvl w:ilvl="0">
      <w:lvlJc w:val="left"/>
      <w:lvlText w:val="(%1)"/>
      <w:numFmt w:val="lowerLetter"/>
      <w:start w:val="2"/>
    </w:lvl>
    <w:lvl w:ilvl="1">
      <w:lvlJc w:val="left"/>
      <w:lvlText w:val="(%2)"/>
      <w:numFmt w:val="lowerRoman"/>
      <w:start w:val="1"/>
    </w:lvl>
  </w:abstractNum>
  <w:abstractNum w:abstractNumId="219">
    <w:nsid w:val="77C9FD68"/>
    <w:multiLevelType w:val="hybridMultilevel"/>
    <w:lvl w:ilvl="0">
      <w:lvlJc w:val="left"/>
      <w:lvlText w:val="(%1)"/>
      <w:numFmt w:val="lowerLetter"/>
      <w:start w:val="4"/>
    </w:lvl>
  </w:abstractNum>
  <w:abstractNum w:abstractNumId="220">
    <w:nsid w:val="298A92BA"/>
    <w:multiLevelType w:val="hybridMultilevel"/>
    <w:lvl w:ilvl="0">
      <w:lvlJc w:val="left"/>
      <w:lvlText w:val="(%1)"/>
      <w:numFmt w:val="decimal"/>
      <w:start w:val="2"/>
    </w:lvl>
  </w:abstractNum>
  <w:abstractNum w:abstractNumId="221">
    <w:nsid w:val="6FE95EAC"/>
    <w:multiLevelType w:val="hybridMultilevel"/>
    <w:lvl w:ilvl="0">
      <w:lvlJc w:val="left"/>
      <w:lvlText w:val="%1."/>
      <w:numFmt w:val="decimal"/>
      <w:start w:val="4"/>
    </w:lvl>
    <w:lvl w:ilvl="1">
      <w:lvlJc w:val="left"/>
      <w:lvlText w:val="(%2)"/>
      <w:numFmt w:val="lowerLetter"/>
      <w:start w:val="1"/>
    </w:lvl>
  </w:abstractNum>
  <w:abstractNum w:abstractNumId="222">
    <w:nsid w:val="4B697C7A"/>
    <w:multiLevelType w:val="hybridMultilevel"/>
    <w:lvl w:ilvl="0">
      <w:lvlJc w:val="left"/>
      <w:lvlText w:val="(%1)"/>
      <w:numFmt w:val="lowerLetter"/>
      <w:start w:val="5"/>
    </w:lvl>
  </w:abstractNum>
  <w:abstractNum w:abstractNumId="223">
    <w:nsid w:val="51A27AA6"/>
    <w:multiLevelType w:val="hybridMultilevel"/>
    <w:lvl w:ilvl="0">
      <w:lvlJc w:val="left"/>
      <w:lvlText w:val="%1"/>
      <w:numFmt w:val="decimal"/>
      <w:start w:val="1"/>
    </w:lvl>
    <w:lvl w:ilvl="1">
      <w:lvlJc w:val="left"/>
      <w:lvlText w:val="(%2)"/>
      <w:numFmt w:val="lowerLetter"/>
      <w:start w:val="12"/>
    </w:lvl>
  </w:abstractNum>
  <w:abstractNum w:abstractNumId="224">
    <w:nsid w:val="613183F2"/>
    <w:multiLevelType w:val="hybridMultilevel"/>
    <w:lvl w:ilvl="0">
      <w:lvlJc w:val="left"/>
      <w:lvlText w:val="%1."/>
      <w:numFmt w:val="decimal"/>
      <w:start w:val="5"/>
    </w:lvl>
    <w:lvl w:ilvl="1">
      <w:lvlJc w:val="left"/>
      <w:lvlText w:val="%2"/>
      <w:numFmt w:val="lowerLetter"/>
      <w:start w:val="1"/>
    </w:lvl>
  </w:abstractNum>
  <w:abstractNum w:abstractNumId="225">
    <w:nsid w:val="634102B4"/>
    <w:multiLevelType w:val="hybridMultilevel"/>
    <w:lvl w:ilvl="0">
      <w:lvlJc w:val="left"/>
      <w:lvlText w:val="%1."/>
      <w:numFmt w:val="decimal"/>
      <w:start w:val="9"/>
    </w:lvl>
    <w:lvl w:ilvl="1">
      <w:lvlJc w:val="left"/>
      <w:lvlText w:val="(%2)"/>
      <w:numFmt w:val="lowerLetter"/>
      <w:start w:val="1"/>
    </w:lvl>
  </w:abstractNum>
  <w:abstractNum w:abstractNumId="226">
    <w:nsid w:val="65BF9DA8"/>
    <w:multiLevelType w:val="hybridMultilevel"/>
    <w:lvl w:ilvl="0">
      <w:lvlJc w:val="left"/>
      <w:lvlText w:val="(%1)"/>
      <w:numFmt w:val="lowerLetter"/>
      <w:start w:val="3"/>
    </w:lvl>
  </w:abstractNum>
  <w:abstractNum w:abstractNumId="227">
    <w:nsid w:val="21A2ECCA"/>
    <w:multiLevelType w:val="hybridMultilevel"/>
    <w:lvl w:ilvl="0">
      <w:lvlJc w:val="left"/>
      <w:lvlText w:val="%1"/>
      <w:numFmt w:val="decimal"/>
      <w:start w:val="1"/>
    </w:lvl>
    <w:lvl w:ilvl="1">
      <w:lvlJc w:val="left"/>
      <w:lvlText w:val="(%2)"/>
      <w:numFmt w:val="lowerLetter"/>
      <w:start w:val="4"/>
    </w:lvl>
  </w:abstractNum>
  <w:abstractNum w:abstractNumId="228">
    <w:nsid w:val="4D5C4899"/>
    <w:multiLevelType w:val="hybridMultilevel"/>
    <w:lvl w:ilvl="0">
      <w:lvlJc w:val="left"/>
      <w:lvlText w:val="%1."/>
      <w:numFmt w:val="decimal"/>
      <w:start w:val="10"/>
    </w:lvl>
    <w:lvl w:ilvl="1">
      <w:lvlJc w:val="left"/>
      <w:lvlText w:val="%2"/>
      <w:numFmt w:val="lowerLetter"/>
      <w:start w:val="1"/>
    </w:lvl>
  </w:abstractNum>
  <w:abstractNum w:abstractNumId="229">
    <w:nsid w:val="3C3B72B2"/>
    <w:multiLevelType w:val="hybridMultilevel"/>
    <w:lvl w:ilvl="0">
      <w:lvlJc w:val="left"/>
      <w:lvlText w:val="%1."/>
      <w:numFmt w:val="decimal"/>
      <w:start w:val="12"/>
    </w:lvl>
    <w:lvl w:ilvl="1">
      <w:lvlJc w:val="left"/>
      <w:lvlText w:val="(%2)"/>
      <w:numFmt w:val="lowerLetter"/>
      <w:start w:val="1"/>
    </w:lvl>
  </w:abstractNum>
  <w:abstractNum w:abstractNumId="230">
    <w:nsid w:val="155EC4C2"/>
    <w:multiLevelType w:val="hybridMultilevel"/>
    <w:lvl w:ilvl="0">
      <w:lvlJc w:val="left"/>
      <w:lvlText w:val="(%1)"/>
      <w:numFmt w:val="lowerLetter"/>
      <w:start w:val="6"/>
    </w:lvl>
  </w:abstractNum>
  <w:abstractNum w:abstractNumId="231">
    <w:nsid w:val="65D2A137"/>
    <w:multiLevelType w:val="hybridMultilevel"/>
    <w:lvl w:ilvl="0">
      <w:lvlJc w:val="left"/>
      <w:lvlText w:val="(%1)"/>
      <w:numFmt w:val="lowerLetter"/>
      <w:start w:val="7"/>
    </w:lvl>
  </w:abstractNum>
  <w:abstractNum w:abstractNumId="232">
    <w:nsid w:val="6EBB1F2A"/>
    <w:multiLevelType w:val="hybridMultilevel"/>
    <w:lvl w:ilvl="0">
      <w:lvlJc w:val="left"/>
      <w:lvlText w:val="(%1)"/>
      <w:numFmt w:val="lowerLetter"/>
      <w:start w:val="9"/>
    </w:lvl>
  </w:abstractNum>
  <w:abstractNum w:abstractNumId="233">
    <w:nsid w:val="6FBF29CB"/>
    <w:multiLevelType w:val="hybridMultilevel"/>
    <w:lvl w:ilvl="0">
      <w:lvlJc w:val="left"/>
      <w:lvlText w:val="%1."/>
      <w:numFmt w:val="decimal"/>
      <w:start w:val="1"/>
    </w:lvl>
    <w:lvl w:ilvl="1">
      <w:lvlJc w:val="left"/>
      <w:lvlText w:val="(%2)"/>
      <w:numFmt w:val="lowerLetter"/>
      <w:start w:val="1"/>
    </w:lvl>
  </w:abstractNum>
  <w:abstractNum w:abstractNumId="234">
    <w:nsid w:val="550B8808"/>
    <w:multiLevelType w:val="hybridMultilevel"/>
    <w:lvl w:ilvl="0">
      <w:lvlJc w:val="left"/>
      <w:lvlText w:val="%1"/>
      <w:numFmt w:val="decimal"/>
      <w:start w:val="1"/>
    </w:lvl>
    <w:lvl w:ilvl="1">
      <w:lvlJc w:val="left"/>
      <w:lvlText w:val="(%2)"/>
      <w:numFmt w:val="lowerLetter"/>
      <w:start w:val="2"/>
    </w:lvl>
  </w:abstractNum>
  <w:abstractNum w:abstractNumId="235">
    <w:nsid w:val="34CC3ACF"/>
    <w:multiLevelType w:val="hybridMultilevel"/>
    <w:lvl w:ilvl="0">
      <w:lvlJc w:val="left"/>
      <w:lvlText w:val="%1."/>
      <w:numFmt w:val="decimal"/>
      <w:start w:val="2"/>
    </w:lvl>
    <w:lvl w:ilvl="1">
      <w:lvlJc w:val="left"/>
      <w:lvlText w:val="%2"/>
      <w:numFmt w:val="lowerLetter"/>
      <w:start w:val="1"/>
    </w:lvl>
  </w:abstractNum>
  <w:abstractNum w:abstractNumId="236">
    <w:nsid w:val="4E556261"/>
    <w:multiLevelType w:val="hybridMultilevel"/>
    <w:lvl w:ilvl="0">
      <w:lvlJc w:val="left"/>
      <w:lvlText w:val="%1."/>
      <w:numFmt w:val="decimal"/>
      <w:start w:val="4"/>
    </w:lvl>
  </w:abstractNum>
  <w:abstractNum w:abstractNumId="237">
    <w:nsid w:val="4C672FC9"/>
    <w:multiLevelType w:val="hybridMultilevel"/>
    <w:lvl w:ilvl="0">
      <w:lvlJc w:val="left"/>
      <w:lvlText w:val="(%1)"/>
      <w:numFmt w:val="lowerLetter"/>
      <w:start w:val="1"/>
    </w:lvl>
  </w:abstractNum>
  <w:abstractNum w:abstractNumId="238">
    <w:nsid w:val="52A311C3"/>
    <w:multiLevelType w:val="hybridMultilevel"/>
    <w:lvl w:ilvl="0">
      <w:lvlJc w:val="left"/>
      <w:lvlText w:val="(%1)"/>
      <w:numFmt w:val="lowerLetter"/>
      <w:start w:val="2"/>
    </w:lvl>
  </w:abstractNum>
  <w:abstractNum w:abstractNumId="239">
    <w:nsid w:val="44EF6B80"/>
    <w:multiLevelType w:val="hybridMultilevel"/>
    <w:lvl w:ilvl="0">
      <w:lvlJc w:val="left"/>
      <w:lvlText w:val="(%1)"/>
      <w:numFmt w:val="lowerLetter"/>
      <w:start w:val="3"/>
    </w:lvl>
  </w:abstractNum>
  <w:abstractNum w:abstractNumId="240">
    <w:nsid w:val="12FCDE5E"/>
    <w:multiLevelType w:val="hybridMultilevel"/>
    <w:lvl w:ilvl="0">
      <w:lvlJc w:val="left"/>
      <w:lvlText w:val="%1."/>
      <w:numFmt w:val="decimal"/>
      <w:start w:val="5"/>
    </w:lvl>
    <w:lvl w:ilvl="1">
      <w:lvlJc w:val="left"/>
      <w:lvlText w:val="(%2)"/>
      <w:numFmt w:val="lowerLetter"/>
      <w:start w:val="1"/>
    </w:lvl>
  </w:abstractNum>
  <w:abstractNum w:abstractNumId="241">
    <w:nsid w:val="4A1D606E"/>
    <w:multiLevelType w:val="hybridMultilevel"/>
    <w:lvl w:ilvl="0">
      <w:lvlJc w:val="left"/>
      <w:lvlText w:val="(%1)"/>
      <w:numFmt w:val="lowerLetter"/>
      <w:start w:val="2"/>
    </w:lvl>
  </w:abstractNum>
  <w:abstractNum w:abstractNumId="242">
    <w:nsid w:val="4382503"/>
    <w:multiLevelType w:val="hybridMultilevel"/>
    <w:lvl w:ilvl="0">
      <w:lvlJc w:val="left"/>
      <w:lvlText w:val="(%1)"/>
      <w:numFmt w:val="lowerLetter"/>
      <w:start w:val="4"/>
    </w:lvl>
  </w:abstractNum>
  <w:abstractNum w:abstractNumId="243">
    <w:nsid w:val="59B76E28"/>
    <w:multiLevelType w:val="hybridMultilevel"/>
    <w:lvl w:ilvl="0">
      <w:lvlJc w:val="left"/>
      <w:lvlText w:val="(%1)"/>
      <w:numFmt w:val="lowerLetter"/>
      <w:start w:val="7"/>
    </w:lvl>
  </w:abstractNum>
  <w:abstractNum w:abstractNumId="244">
    <w:nsid w:val="4252C2DA"/>
    <w:multiLevelType w:val="hybridMultilevel"/>
    <w:lvl w:ilvl="0">
      <w:lvlJc w:val="left"/>
      <w:lvlText w:val="(%1)"/>
      <w:numFmt w:val="lowerLetter"/>
      <w:start w:val="11"/>
    </w:lvl>
  </w:abstractNum>
  <w:abstractNum w:abstractNumId="245">
    <w:nsid w:val="6A92EF4C"/>
    <w:multiLevelType w:val="hybridMultilevel"/>
    <w:lvl w:ilvl="0">
      <w:lvlJc w:val="left"/>
      <w:lvlText w:val="%1."/>
      <w:numFmt w:val="decimal"/>
      <w:start w:val="7"/>
    </w:lvl>
    <w:lvl w:ilvl="1">
      <w:lvlJc w:val="left"/>
      <w:lvlText w:val="(%2)"/>
      <w:numFmt w:val="lowerLetter"/>
      <w:start w:val="1"/>
    </w:lvl>
  </w:abstractNum>
  <w:abstractNum w:abstractNumId="246">
    <w:nsid w:val="41ED20D7"/>
    <w:multiLevelType w:val="hybridMultilevel"/>
    <w:lvl w:ilvl="0">
      <w:lvlJc w:val="left"/>
      <w:lvlText w:val="(%1)"/>
      <w:numFmt w:val="lowerLetter"/>
      <w:start w:val="5"/>
    </w:lvl>
  </w:abstractNum>
  <w:abstractNum w:abstractNumId="247">
    <w:nsid w:val="E6B3F6A"/>
    <w:multiLevelType w:val="hybridMultilevel"/>
    <w:lvl w:ilvl="0">
      <w:lvlJc w:val="left"/>
      <w:lvlText w:val="%1."/>
      <w:numFmt w:val="decimal"/>
      <w:start w:val="8"/>
    </w:lvl>
    <w:lvl w:ilvl="1">
      <w:lvlJc w:val="left"/>
      <w:lvlText w:val="(%2)"/>
      <w:numFmt w:val="lowerLetter"/>
      <w:start w:val="1"/>
    </w:lvl>
  </w:abstractNum>
  <w:abstractNum w:abstractNumId="248">
    <w:nsid w:val="3EB21819"/>
    <w:multiLevelType w:val="hybridMultilevel"/>
    <w:lvl w:ilvl="0">
      <w:lvlJc w:val="left"/>
      <w:lvlText w:val="(%1)"/>
      <w:numFmt w:val="lowerLetter"/>
      <w:start w:val="3"/>
    </w:lvl>
  </w:abstractNum>
  <w:abstractNum w:abstractNumId="249">
    <w:nsid w:val="41531DED"/>
    <w:multiLevelType w:val="hybridMultilevel"/>
    <w:lvl w:ilvl="0">
      <w:lvlJc w:val="left"/>
      <w:lvlText w:val="(%1)"/>
      <w:numFmt w:val="lowerLetter"/>
      <w:start w:val="5"/>
    </w:lvl>
  </w:abstractNum>
  <w:abstractNum w:abstractNumId="250">
    <w:nsid w:val="6353CD2"/>
    <w:multiLevelType w:val="hybridMultilevel"/>
    <w:lvl w:ilvl="0">
      <w:lvlJc w:val="left"/>
      <w:lvlText w:val="%1."/>
      <w:numFmt w:val="decimal"/>
      <w:start w:val="9"/>
    </w:lvl>
  </w:abstractNum>
  <w:abstractNum w:abstractNumId="251">
    <w:nsid w:val="683CAAD3"/>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52">
    <w:nsid w:val="313C7C99"/>
    <w:multiLevelType w:val="hybridMultilevel"/>
    <w:lvl w:ilvl="0">
      <w:lvlJc w:val="left"/>
      <w:lvlText w:val="%1"/>
      <w:numFmt w:val="lowerLetter"/>
      <w:start w:val="1"/>
    </w:lvl>
    <w:lvl w:ilvl="1">
      <w:lvlJc w:val="left"/>
      <w:lvlText w:val="(%2)"/>
      <w:numFmt w:val="decimal"/>
      <w:start w:val="6"/>
    </w:lvl>
  </w:abstractNum>
  <w:abstractNum w:abstractNumId="253">
    <w:nsid w:val="519EB94C"/>
    <w:multiLevelType w:val="hybridMultilevel"/>
    <w:lvl w:ilvl="0">
      <w:lvlJc w:val="left"/>
      <w:lvlText w:val="(%1)"/>
      <w:numFmt w:val="lowerLetter"/>
      <w:start w:val="2"/>
    </w:lvl>
    <w:lvl w:ilvl="1">
      <w:lvlJc w:val="left"/>
      <w:lvlText w:val="(%2)"/>
      <w:numFmt w:val="decimal"/>
      <w:start w:val="1"/>
    </w:lvl>
  </w:abstractNum>
  <w:abstractNum w:abstractNumId="254">
    <w:nsid w:val="39DF2579"/>
    <w:multiLevelType w:val="hybridMultilevel"/>
    <w:lvl w:ilvl="0">
      <w:lvlJc w:val="left"/>
      <w:lvlText w:val="%1."/>
      <w:numFmt w:val="decimal"/>
      <w:start w:val="11"/>
    </w:lvl>
    <w:lvl w:ilvl="1">
      <w:lvlJc w:val="left"/>
      <w:lvlText w:val="(%2)"/>
      <w:numFmt w:val="lowerLetter"/>
      <w:start w:val="1"/>
    </w:lvl>
  </w:abstractNum>
  <w:abstractNum w:abstractNumId="255">
    <w:nsid w:val="126E008B"/>
    <w:multiLevelType w:val="hybridMultilevel"/>
    <w:lvl w:ilvl="0">
      <w:lvlJc w:val="left"/>
      <w:lvlText w:val="(%1)"/>
      <w:numFmt w:val="lowerLetter"/>
      <w:start w:val="3"/>
    </w:lvl>
  </w:abstractNum>
  <w:abstractNum w:abstractNumId="256">
    <w:nsid w:val="34DFBC00"/>
    <w:multiLevelType w:val="hybridMultilevel"/>
    <w:lvl w:ilvl="0">
      <w:lvlJc w:val="left"/>
      <w:lvlText w:val="(%1)"/>
      <w:numFmt w:val="lowerLetter"/>
      <w:start w:val="6"/>
    </w:lvl>
  </w:abstractNum>
  <w:abstractNum w:abstractNumId="257">
    <w:nsid w:val="1F9EC322"/>
    <w:multiLevelType w:val="hybridMultilevel"/>
    <w:lvl w:ilvl="0">
      <w:lvlJc w:val="left"/>
      <w:lvlText w:val="(%1)"/>
      <w:numFmt w:val="lowerLetter"/>
      <w:start w:val="7"/>
    </w:lvl>
  </w:abstractNum>
  <w:abstractNum w:abstractNumId="258">
    <w:nsid w:val="3410ED56"/>
    <w:multiLevelType w:val="hybridMultilevel"/>
    <w:lvl w:ilvl="0">
      <w:lvlJc w:val="left"/>
      <w:lvlText w:val="%1."/>
      <w:numFmt w:val="decimal"/>
      <w:start w:val="1"/>
    </w:lvl>
    <w:lvl w:ilvl="1">
      <w:lvlJc w:val="left"/>
      <w:lvlText w:val="(%2)"/>
      <w:numFmt w:val="lowerLetter"/>
      <w:start w:val="1"/>
    </w:lvl>
  </w:abstractNum>
  <w:abstractNum w:abstractNumId="259">
    <w:nsid w:val="23C049A"/>
    <w:multiLevelType w:val="hybridMultilevel"/>
    <w:lvl w:ilvl="0">
      <w:lvlJc w:val="left"/>
      <w:lvlText w:val="(%1)"/>
      <w:numFmt w:val="lowerLetter"/>
      <w:start w:val="2"/>
    </w:lvl>
  </w:abstractNum>
  <w:abstractNum w:abstractNumId="260">
    <w:nsid w:val="5BDA35D4"/>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261">
    <w:nsid w:val="496FB218"/>
    <w:multiLevelType w:val="hybridMultilevel"/>
    <w:lvl w:ilvl="0">
      <w:lvlJc w:val="left"/>
      <w:lvlText w:val="(%1)"/>
      <w:numFmt w:val="lowerLetter"/>
      <w:start w:val="2"/>
    </w:lvl>
  </w:abstractNum>
  <w:abstractNum w:abstractNumId="262">
    <w:nsid w:val="680EA5D1"/>
    <w:multiLevelType w:val="hybridMultilevel"/>
    <w:lvl w:ilvl="0">
      <w:lvlJc w:val="left"/>
      <w:lvlText w:val="(%1)"/>
      <w:numFmt w:val="lowerLetter"/>
      <w:start w:val="4"/>
    </w:lvl>
  </w:abstractNum>
  <w:abstractNum w:abstractNumId="263">
    <w:nsid w:val="4A9554FE"/>
    <w:multiLevelType w:val="hybridMultilevel"/>
    <w:lvl w:ilvl="0">
      <w:lvlJc w:val="left"/>
      <w:lvlText w:val="(%1)"/>
      <w:numFmt w:val="lowerLetter"/>
      <w:start w:val="6"/>
    </w:lvl>
  </w:abstractNum>
  <w:abstractNum w:abstractNumId="264">
    <w:nsid w:val="392EDBE4"/>
    <w:multiLevelType w:val="hybridMultilevel"/>
    <w:lvl w:ilvl="0">
      <w:lvlJc w:val="left"/>
      <w:lvlText w:val="%1"/>
      <w:numFmt w:val="lowerRoman"/>
      <w:start w:val="1"/>
    </w:lvl>
    <w:lvl w:ilvl="1">
      <w:lvlJc w:val="left"/>
      <w:lvlText w:val="(%2)"/>
      <w:numFmt w:val="lowerLetter"/>
      <w:start w:val="9"/>
    </w:lvl>
  </w:abstractNum>
  <w:abstractNum w:abstractNumId="265">
    <w:nsid w:val="3D1A2DD9"/>
    <w:multiLevelType w:val="hybridMultilevel"/>
    <w:lvl w:ilvl="0">
      <w:lvlJc w:val="left"/>
      <w:lvlText w:val="(%1)"/>
      <w:numFmt w:val="lowerRoman"/>
      <w:start w:val="4"/>
    </w:lvl>
    <w:lvl w:ilvl="1">
      <w:lvlJc w:val="left"/>
      <w:lvlText w:val="(%2)"/>
      <w:numFmt w:val="lowerLetter"/>
      <w:start w:val="11"/>
    </w:lvl>
  </w:abstractNum>
  <w:abstractNum w:abstractNumId="266">
    <w:nsid w:val="7F618FCD"/>
    <w:multiLevelType w:val="hybridMultilevel"/>
    <w:lvl w:ilvl="0">
      <w:lvlJc w:val="left"/>
      <w:lvlText w:val="(%1)"/>
      <w:numFmt w:val="lowerRoman"/>
      <w:start w:val="3"/>
    </w:lvl>
    <w:lvl w:ilvl="1">
      <w:lvlJc w:val="left"/>
      <w:lvlText w:val="%2"/>
      <w:numFmt w:val="lowerLetter"/>
      <w:start w:val="1"/>
    </w:lvl>
  </w:abstractNum>
  <w:abstractNum w:abstractNumId="267">
    <w:nsid w:val="7843E45"/>
    <w:multiLevelType w:val="hybridMultilevel"/>
    <w:lvl w:ilvl="0">
      <w:lvlJc w:val="left"/>
      <w:lvlText w:val="(%1)"/>
      <w:numFmt w:val="lowerLetter"/>
      <w:start w:val="13"/>
    </w:lvl>
  </w:abstractNum>
  <w:abstractNum w:abstractNumId="268">
    <w:nsid w:val="9815DA3"/>
    <w:multiLevelType w:val="hybridMultilevel"/>
    <w:lvl w:ilvl="0">
      <w:lvlJc w:val="left"/>
      <w:lvlText w:val="%1"/>
      <w:numFmt w:val="lowerRoman"/>
      <w:start w:val="1"/>
    </w:lvl>
    <w:lvl w:ilvl="1">
      <w:lvlJc w:val="left"/>
      <w:lvlText w:val="(%2)"/>
      <w:numFmt w:val="lowerLetter"/>
      <w:start w:val="19"/>
    </w:lvl>
  </w:abstractNum>
  <w:abstractNum w:abstractNumId="269">
    <w:nsid w:val="5204A191"/>
    <w:multiLevelType w:val="hybridMultilevel"/>
    <w:lvl w:ilvl="0">
      <w:lvlJc w:val="left"/>
      <w:lvlText w:val="(%1)"/>
      <w:numFmt w:val="lowerRoman"/>
      <w:start w:val="8"/>
    </w:lvl>
    <w:lvl w:ilvl="1">
      <w:lvlJc w:val="left"/>
      <w:lvlText w:val="(%2)"/>
      <w:numFmt w:val="lowerLetter"/>
      <w:start w:val="20"/>
    </w:lvl>
  </w:abstractNum>
  <w:abstractNum w:abstractNumId="270">
    <w:nsid w:val="4C73A9C6"/>
    <w:multiLevelType w:val="hybridMultilevel"/>
    <w:lvl w:ilvl="0">
      <w:lvlJc w:val="left"/>
      <w:lvlText w:val="%1"/>
      <w:numFmt w:val="lowerLetter"/>
      <w:start w:val="1"/>
    </w:lvl>
    <w:lvl w:ilvl="1">
      <w:lvlJc w:val="left"/>
      <w:lvlText w:val="(%2)"/>
      <w:numFmt w:val="lowerLetter"/>
      <w:start w:val="23"/>
    </w:lvl>
  </w:abstractNum>
  <w:abstractNum w:abstractNumId="271">
    <w:nsid w:val="1C7E3C01"/>
    <w:multiLevelType w:val="hybridMultilevel"/>
    <w:lvl w:ilvl="0">
      <w:lvlJc w:val="left"/>
      <w:lvlText w:val="(%1)"/>
      <w:numFmt w:val="lowerLetter"/>
      <w:start w:val="35"/>
    </w:lvl>
    <w:lvl w:ilvl="1">
      <w:lvlJc w:val="left"/>
      <w:lvlText w:val="%2"/>
      <w:numFmt w:val="lowerLetter"/>
      <w:start w:val="1"/>
    </w:lvl>
  </w:abstractNum>
  <w:abstractNum w:abstractNumId="272">
    <w:nsid w:val="1C2201FF"/>
    <w:multiLevelType w:val="hybridMultilevel"/>
    <w:lvl w:ilvl="0">
      <w:lvlJc w:val="left"/>
      <w:lvlText w:val="(%1)"/>
      <w:numFmt w:val="lowerLetter"/>
      <w:start w:val="24"/>
    </w:lvl>
  </w:abstractNum>
  <w:abstractNum w:abstractNumId="273">
    <w:nsid w:val="50ABCEC9"/>
    <w:multiLevelType w:val="hybridMultilevel"/>
    <w:lvl w:ilvl="0">
      <w:lvlJc w:val="left"/>
      <w:lvlText w:val="(%1)"/>
      <w:numFmt w:val="lowerLetter"/>
      <w:start w:val="27"/>
    </w:lvl>
  </w:abstractNum>
  <w:abstractNum w:abstractNumId="274">
    <w:nsid w:val="7635AA2A"/>
    <w:multiLevelType w:val="hybridMultilevel"/>
    <w:lvl w:ilvl="0">
      <w:lvlJc w:val="left"/>
      <w:lvlText w:val="%1"/>
      <w:numFmt w:val="upperLetter"/>
      <w:start w:val="1"/>
    </w:lvl>
    <w:lvl w:ilvl="1">
      <w:lvlJc w:val="left"/>
      <w:lvlText w:val="(%2)"/>
      <w:numFmt w:val="lowerLetter"/>
      <w:start w:val="34"/>
    </w:lvl>
  </w:abstractNum>
  <w:abstractNum w:abstractNumId="275">
    <w:nsid w:val="5E74C4D9"/>
    <w:multiLevelType w:val="hybridMultilevel"/>
    <w:lvl w:ilvl="0">
      <w:lvlJc w:val="left"/>
      <w:lvlText w:val="%1."/>
      <w:numFmt w:val="upperLetter"/>
      <w:start w:val="2"/>
    </w:lvl>
    <w:lvl w:ilvl="1">
      <w:lvlJc w:val="left"/>
      <w:lvlText w:val="%2"/>
      <w:numFmt w:val="lowerLetter"/>
      <w:start w:val="1"/>
    </w:lvl>
  </w:abstractNum>
  <w:abstractNum w:abstractNumId="276">
    <w:nsid w:val="3B3EBE15"/>
    <w:multiLevelType w:val="hybridMultilevel"/>
    <w:lvl w:ilvl="0">
      <w:lvlJc w:val="left"/>
      <w:lvlText w:val="%1."/>
      <w:numFmt w:val="decimal"/>
      <w:start w:val="1"/>
    </w:lvl>
    <w:lvl w:ilvl="1">
      <w:lvlJc w:val="left"/>
      <w:lvlText w:val="(%2)"/>
      <w:numFmt w:val="lowerLetter"/>
      <w:start w:val="1"/>
    </w:lvl>
  </w:abstractNum>
  <w:abstractNum w:abstractNumId="277">
    <w:nsid w:val="3822CB01"/>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78">
    <w:nsid w:val="6CE00443"/>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79">
    <w:nsid w:val="79F0D62F"/>
    <w:multiLevelType w:val="hybridMultilevel"/>
    <w:lvl w:ilvl="0">
      <w:lvlJc w:val="left"/>
      <w:lvlText w:val="(%1)"/>
      <w:numFmt w:val="lowerLetter"/>
      <w:start w:val="1"/>
    </w:lvl>
  </w:abstractNum>
  <w:abstractNum w:abstractNumId="280">
    <w:nsid w:val="7975E8EE"/>
    <w:multiLevelType w:val="hybridMultilevel"/>
    <w:lvl w:ilvl="0">
      <w:lvlJc w:val="left"/>
      <w:lvlText w:val="%1)"/>
      <w:numFmt w:val="lowerLetter"/>
      <w:start w:val="2"/>
    </w:lvl>
  </w:abstractNum>
  <w:abstractNum w:abstractNumId="281">
    <w:nsid w:val="73154115"/>
    <w:multiLevelType w:val="hybridMultilevel"/>
    <w:lvl w:ilvl="0">
      <w:lvlJc w:val="left"/>
      <w:lvlText w:val="(%1)"/>
      <w:numFmt w:val="lowerLetter"/>
      <w:start w:val="3"/>
    </w:lvl>
  </w:abstractNum>
  <w:abstractNum w:abstractNumId="282">
    <w:nsid w:val="622D8102"/>
    <w:multiLevelType w:val="hybridMultilevel"/>
    <w:lvl w:ilvl="0">
      <w:lvlJc w:val="left"/>
      <w:lvlText w:val="(%1)"/>
      <w:numFmt w:val="lowerLetter"/>
      <w:start w:val="1"/>
    </w:lvl>
  </w:abstractNum>
  <w:abstractNum w:abstractNumId="283">
    <w:nsid w:val="2AB26587"/>
    <w:multiLevelType w:val="hybridMultilevel"/>
    <w:lvl w:ilvl="0">
      <w:lvlJc w:val="left"/>
      <w:lvlText w:val="%1."/>
      <w:numFmt w:val="decimal"/>
      <w:start w:val="4"/>
    </w:lvl>
    <w:lvl w:ilvl="1">
      <w:lvlJc w:val="left"/>
      <w:lvlText w:val="(%2)"/>
      <w:numFmt w:val="lowerLetter"/>
      <w:start w:val="1"/>
    </w:lvl>
  </w:abstractNum>
  <w:abstractNum w:abstractNumId="284">
    <w:nsid w:val="44B3FA61"/>
    <w:multiLevelType w:val="hybridMultilevel"/>
    <w:lvl w:ilvl="0">
      <w:lvlJc w:val="left"/>
      <w:lvlText w:val="(%1)"/>
      <w:numFmt w:val="lowerLetter"/>
      <w:start w:val="2"/>
    </w:lvl>
  </w:abstractNum>
  <w:abstractNum w:abstractNumId="285">
    <w:nsid w:val="1C0CA67C"/>
    <w:multiLevelType w:val="hybridMultilevel"/>
    <w:lvl w:ilvl="0">
      <w:lvlJc w:val="left"/>
      <w:lvlText w:val="(%1)"/>
      <w:numFmt w:val="lowerLetter"/>
      <w:start w:val="5"/>
    </w:lvl>
  </w:abstractNum>
  <w:abstractNum w:abstractNumId="286">
    <w:nsid w:val="3D206613"/>
    <w:multiLevelType w:val="hybridMultilevel"/>
    <w:lvl w:ilvl="0">
      <w:lvlJc w:val="left"/>
      <w:lvlText w:val="%1"/>
      <w:numFmt w:val="decimal"/>
      <w:start w:val="1"/>
    </w:lvl>
    <w:lvl w:ilvl="1">
      <w:lvlJc w:val="left"/>
      <w:lvlText w:val="(%2)"/>
      <w:numFmt w:val="lowerLetter"/>
      <w:start w:val="7"/>
    </w:lvl>
  </w:abstractNum>
  <w:abstractNum w:abstractNumId="287">
    <w:nsid w:val="7993B662"/>
    <w:multiLevelType w:val="hybridMultilevel"/>
    <w:lvl w:ilvl="0">
      <w:lvlJc w:val="left"/>
      <w:lvlText w:val="%1."/>
      <w:numFmt w:val="decimal"/>
      <w:start w:val="5"/>
    </w:lvl>
    <w:lvl w:ilvl="1">
      <w:lvlJc w:val="left"/>
      <w:lvlText w:val="(%2)"/>
      <w:numFmt w:val="lowerLetter"/>
      <w:start w:val="1"/>
    </w:lvl>
  </w:abstractNum>
  <w:abstractNum w:abstractNumId="288">
    <w:nsid w:val="3BAB699E"/>
    <w:multiLevelType w:val="hybridMultilevel"/>
    <w:lvl w:ilvl="0">
      <w:lvlJc w:val="left"/>
      <w:lvlText w:val="(%1)"/>
      <w:numFmt w:val="lowerLetter"/>
      <w:start w:val="2"/>
    </w:lvl>
  </w:abstractNum>
  <w:abstractNum w:abstractNumId="289">
    <w:nsid w:val="71315369"/>
    <w:multiLevelType w:val="hybridMultilevel"/>
    <w:lvl w:ilvl="0">
      <w:lvlJc w:val="left"/>
      <w:lvlText w:val="(%1)"/>
      <w:numFmt w:val="lowerLetter"/>
      <w:start w:val="8"/>
    </w:lvl>
  </w:abstractNum>
  <w:abstractNum w:abstractNumId="290">
    <w:nsid w:val="7BCFBAFC"/>
    <w:multiLevelType w:val="hybridMultilevel"/>
    <w:lvl w:ilvl="0">
      <w:lvlJc w:val="left"/>
      <w:lvlText w:val="%1."/>
      <w:numFmt w:val="decimal"/>
      <w:start w:val="6"/>
    </w:lvl>
    <w:lvl w:ilvl="1">
      <w:lvlJc w:val="left"/>
      <w:lvlText w:val="(%2)"/>
      <w:numFmt w:val="lowerLetter"/>
      <w:start w:val="1"/>
    </w:lvl>
  </w:abstractNum>
  <w:abstractNum w:abstractNumId="291">
    <w:nsid w:val="17859F72"/>
    <w:multiLevelType w:val="hybridMultilevel"/>
    <w:lvl w:ilvl="0">
      <w:lvlJc w:val="left"/>
      <w:lvlText w:val="(%1)"/>
      <w:numFmt w:val="lowerLetter"/>
      <w:start w:val="10"/>
    </w:lvl>
  </w:abstractNum>
  <w:abstractNum w:abstractNumId="292">
    <w:nsid w:val="3AA10581"/>
    <w:multiLevelType w:val="hybridMultilevel"/>
    <w:lvl w:ilvl="0">
      <w:lvlJc w:val="left"/>
      <w:lvlText w:val="%1."/>
      <w:numFmt w:val="decimal"/>
      <w:start w:val="7"/>
    </w:lvl>
    <w:lvl w:ilvl="1">
      <w:lvlJc w:val="left"/>
      <w:lvlText w:val="(%2)"/>
      <w:numFmt w:val="lowerLetter"/>
      <w:start w:val="1"/>
    </w:lvl>
  </w:abstractNum>
  <w:abstractNum w:abstractNumId="293">
    <w:nsid w:val="63DE60CD"/>
    <w:multiLevelType w:val="hybridMultilevel"/>
    <w:lvl w:ilvl="0">
      <w:lvlJc w:val="left"/>
      <w:lvlText w:val="%1."/>
      <w:numFmt w:val="decimal"/>
      <w:start w:val="8"/>
    </w:lvl>
    <w:lvl w:ilvl="1">
      <w:lvlJc w:val="left"/>
      <w:lvlText w:val="(%2)"/>
      <w:numFmt w:val="lowerLetter"/>
      <w:start w:val="1"/>
    </w:lvl>
  </w:abstractNum>
  <w:abstractNum w:abstractNumId="294">
    <w:nsid w:val="621AF471"/>
    <w:multiLevelType w:val="hybridMultilevel"/>
    <w:lvl w:ilvl="0">
      <w:lvlJc w:val="left"/>
      <w:lvlText w:val="(%1)"/>
      <w:numFmt w:val="lowerLetter"/>
      <w:start w:val="2"/>
    </w:lvl>
  </w:abstractNum>
  <w:abstractNum w:abstractNumId="295">
    <w:nsid w:val="73CFE165"/>
    <w:multiLevelType w:val="hybridMultilevel"/>
    <w:lvl w:ilvl="0">
      <w:lvlJc w:val="left"/>
      <w:lvlText w:val="%1."/>
      <w:numFmt w:val="decimal"/>
      <w:start w:val="9"/>
    </w:lvl>
    <w:lvl w:ilvl="1">
      <w:lvlJc w:val="left"/>
      <w:lvlText w:val="(%2)"/>
      <w:numFmt w:val="lowerLetter"/>
      <w:start w:val="1"/>
    </w:lvl>
  </w:abstractNum>
  <w:abstractNum w:abstractNumId="296">
    <w:nsid w:val="20F88EA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97">
    <w:nsid w:val="617C843E"/>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98">
    <w:nsid w:val="7B541FAB"/>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99">
    <w:nsid w:val="2A79EC49"/>
    <w:multiLevelType w:val="hybridMultilevel"/>
    <w:lvl w:ilvl="0">
      <w:lvlJc w:val="left"/>
      <w:lvlText w:val="%1."/>
      <w:numFmt w:val="decimal"/>
      <w:start w:val="13"/>
    </w:lvl>
  </w:abstractNum>
  <w:abstractNum w:abstractNumId="300">
    <w:nsid w:val="338125CF"/>
    <w:multiLevelType w:val="hybridMultilevel"/>
    <w:lvl w:ilvl="0">
      <w:lvlJc w:val="left"/>
      <w:lvlText w:val="%1."/>
      <w:numFmt w:val="decimal"/>
      <w:start w:val="14"/>
    </w:lvl>
    <w:lvl w:ilvl="1">
      <w:lvlJc w:val="left"/>
      <w:lvlText w:val="(%2)"/>
      <w:numFmt w:val="lowerLetter"/>
      <w:start w:val="1"/>
    </w:lvl>
  </w:abstractNum>
  <w:abstractNum w:abstractNumId="301">
    <w:nsid w:val="47C7C971"/>
    <w:multiLevelType w:val="hybridMultilevel"/>
    <w:lvl w:ilvl="0">
      <w:lvlJc w:val="left"/>
      <w:lvlText w:val="%1."/>
      <w:numFmt w:val="decimal"/>
      <w:start w:val="17"/>
    </w:lvl>
  </w:abstractNum>
  <w:abstractNum w:abstractNumId="302">
    <w:nsid w:val="46F8284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2020-01-21T01:58:41Z</dcterms:created>
  <dcterms:modified xsi:type="dcterms:W3CDTF">2020-01-21T01:58:41Z</dcterms:modified>
</cp:coreProperties>
</file>