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December 12, 2022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001-37939</w:t>
            </w:r>
          </w:p>
        </w:tc>
        <w:tc>
          <w:tcPr>
            <w:tcW w:w="28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0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33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4551 Kennedy Commerce Dr.</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8"/>
        </w:trPr>
        <w:tc>
          <w:tcPr>
            <w:tcW w:w="1000" w:type="dxa"/>
            <w:vAlign w:val="bottom"/>
          </w:tcPr>
          <w:p>
            <w:pPr>
              <w:spacing w:after="0"/>
              <w:rPr>
                <w:sz w:val="17"/>
                <w:szCs w:val="17"/>
                <w:color w:val="auto"/>
              </w:rPr>
            </w:pPr>
          </w:p>
        </w:tc>
        <w:tc>
          <w:tcPr>
            <w:tcW w:w="1180" w:type="dxa"/>
            <w:vAlign w:val="bottom"/>
            <w:tcBorders>
              <w:bottom w:val="single" w:sz="8" w:color="auto"/>
            </w:tcBorders>
            <w:gridSpan w:val="3"/>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1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0" w:type="dxa"/>
            <w:vAlign w:val="bottom"/>
            <w:gridSpan w:val="4"/>
          </w:tcPr>
          <w:p>
            <w:pPr>
              <w:jc w:val="right"/>
              <w:ind w:right="200"/>
              <w:spacing w:after="0" w:line="191" w:lineRule="exact"/>
              <w:rPr>
                <w:sz w:val="20"/>
                <w:szCs w:val="20"/>
                <w:color w:val="auto"/>
              </w:rPr>
            </w:pPr>
            <w:r>
              <w:rPr>
                <w:rFonts w:ascii="Times New Roman" w:cs="Times New Roman" w:eastAsia="Times New Roman" w:hAnsi="Times New Roman"/>
                <w:sz w:val="18"/>
                <w:szCs w:val="18"/>
                <w:b w:val="1"/>
                <w:bCs w:val="1"/>
                <w:color w:val="auto"/>
              </w:rPr>
              <w:t>77027</w:t>
            </w:r>
          </w:p>
        </w:tc>
        <w:tc>
          <w:tcPr>
            <w:tcW w:w="800" w:type="dxa"/>
            <w:vAlign w:val="bottom"/>
          </w:tcPr>
          <w:p>
            <w:pPr>
              <w:spacing w:after="0"/>
              <w:rPr>
                <w:sz w:val="17"/>
                <w:szCs w:val="17"/>
                <w:color w:val="auto"/>
              </w:rPr>
            </w:pPr>
          </w:p>
        </w:tc>
      </w:tr>
      <w:tr>
        <w:trPr>
          <w:trHeight w:val="20"/>
        </w:trPr>
        <w:tc>
          <w:tcPr>
            <w:tcW w:w="3340" w:type="dxa"/>
            <w:vAlign w:val="bottom"/>
            <w:gridSpan w:val="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4"/>
        </w:trPr>
        <w:tc>
          <w:tcPr>
            <w:tcW w:w="33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(713) 400-6400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14"/>
        </w:trPr>
        <w:tc>
          <w:tcPr>
            <w:tcW w:w="4700" w:type="dxa"/>
            <w:vAlign w:val="bottom"/>
          </w:tcPr>
          <w:p>
            <w:pPr>
              <w:spacing w:after="0"/>
              <w:rPr>
                <w:sz w:val="24"/>
                <w:szCs w:val="24"/>
                <w:color w:val="auto"/>
              </w:rPr>
            </w:pP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Trading</w:t>
            </w:r>
          </w:p>
        </w:tc>
        <w:tc>
          <w:tcPr>
            <w:tcW w:w="4300" w:type="dxa"/>
            <w:vAlign w:val="bottom"/>
          </w:tcPr>
          <w:p>
            <w:pPr>
              <w:spacing w:after="0"/>
              <w:rPr>
                <w:sz w:val="24"/>
                <w:szCs w:val="24"/>
                <w:color w:val="auto"/>
              </w:rPr>
            </w:pPr>
          </w:p>
        </w:tc>
      </w:tr>
      <w:tr>
        <w:trPr>
          <w:trHeight w:val="234"/>
        </w:trPr>
        <w:tc>
          <w:tcPr>
            <w:tcW w:w="4700" w:type="dxa"/>
            <w:vAlign w:val="bottom"/>
            <w:tcBorders>
              <w:bottom w:val="single" w:sz="8" w:color="auto"/>
            </w:tcBorders>
          </w:tcPr>
          <w:p>
            <w:pPr>
              <w:jc w:val="center"/>
              <w:ind w:right="9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rPr>
              <w:t>Symbol(s)</w:t>
            </w:r>
          </w:p>
        </w:tc>
        <w:tc>
          <w:tcPr>
            <w:tcW w:w="430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0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MRKR</w:t>
            </w:r>
          </w:p>
        </w:tc>
        <w:tc>
          <w:tcPr>
            <w:tcW w:w="43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December 12, 2022, Marker Therapeutics, Inc., a Delaware corporation referred to herein as we, us, our or the Company, entered into a purchase agreement, or the Purchase Agreement, with Lincoln Park Capital Fund, LLC, or Lincoln Park, which provides that, upon the terms and subject to the conditions and limitations set forth therein, we have the right, but not the obligation, to sell to Lincoln Park up to $25,000,000 of shares of our common stock, or the Purchase Shares, from time to time over the 24-month term beginning on the Commencement Date (as defined below). Concurrently with entering into the Purchase Agreement, we also entered into a registration rights agreement with Lincoln Park, or the Registration Rights Agreement, pursuant to which we agreed to register the sale of the shares of our common stock that have been and may be issued to Lincoln Park under the Purchase Agreement pursuant to a Registration Statement on Form S-1, or the Registration Statement. Lincoln Park has covenanted not to cause or engage in any manner whatsoever, any direct or indirect short selling or hedging of our common stock.</w:t>
      </w:r>
    </w:p>
    <w:p>
      <w:pPr>
        <w:spacing w:after="0" w:line="19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After the Commencement Date, on any business day selected by us, we may direct Lincoln Park to purchase up to 125,000 shares of our common stock on such business day (or the purchase date), which we refer to as a Regular Purchase, provided that (i) a Regular Purchase may be increased to up to 150,000 shares if the closing sale price of our common stock on Nasdaq is not below $0.50 on the applicable purchase date, (ii) a Regular Purchase may be increased to up to 200,000 shares if the closing sale price of our common stock on Nasdaq is not below $0.75 on the applicable purchase date, (iii) a Regular Purchase may be increased to up to 250,000 shares if the closing sale price of our common stock on Nasdaq is not below $1.00 on the applicable purchase date and (iv) a Regular Purchase may be increased to up to 300,000 shares if the closing sale price of our common stock on Nasdaq is not below $1.25 on the applicable purchase date.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purchase price per share for each such Regular Purchase will be equal to the lesser of:</w:t>
      </w:r>
    </w:p>
    <w:p>
      <w:pPr>
        <w:spacing w:after="0" w:line="225"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lowest sale price for our common stock on Nasdaq on the purchase date of such shares; and</w:t>
      </w:r>
    </w:p>
    <w:p>
      <w:pPr>
        <w:spacing w:after="0" w:line="27" w:lineRule="exact"/>
        <w:rPr>
          <w:rFonts w:ascii="Times New Roman" w:cs="Times New Roman" w:eastAsia="Times New Roman" w:hAnsi="Times New Roman"/>
          <w:sz w:val="18"/>
          <w:szCs w:val="18"/>
          <w:color w:val="auto"/>
        </w:rPr>
      </w:pPr>
    </w:p>
    <w:p>
      <w:pPr>
        <w:ind w:left="980" w:right="480" w:hanging="324"/>
        <w:spacing w:after="0" w:line="260"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 the three lowest closing sale prices for our common stock on Nasdaq during the 10 consecutive business days prior to the purchase date of such shares.</w:t>
      </w:r>
    </w:p>
    <w:p>
      <w:pPr>
        <w:spacing w:after="0" w:line="18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addition, we may also direct Lincoln Park, on any business day on which we have submitted a Regular Purchase notice for the maximum amount allowed for such Regular Purchase, to purchase an additional amount of our common stock, which we refer to as an Accelerated Purchase, of up to the lesser of:</w:t>
      </w:r>
    </w:p>
    <w:p>
      <w:pPr>
        <w:spacing w:after="0" w:line="176"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times the number of shares purchased pursuant to such Regular Purchase; and</w:t>
      </w:r>
    </w:p>
    <w:p>
      <w:pPr>
        <w:spacing w:after="0" w:line="27" w:lineRule="exact"/>
        <w:rPr>
          <w:rFonts w:ascii="Times New Roman" w:cs="Times New Roman" w:eastAsia="Times New Roman" w:hAnsi="Times New Roman"/>
          <w:sz w:val="18"/>
          <w:szCs w:val="18"/>
          <w:color w:val="auto"/>
        </w:rPr>
      </w:pPr>
    </w:p>
    <w:p>
      <w:pPr>
        <w:ind w:left="980" w:right="180" w:hanging="324"/>
        <w:spacing w:after="0" w:line="253"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of the aggregate shares of our common stock traded on Nasdaq during all or, if certain trading volume or market price thresholds specified in the Purchase Agreement are crossed on the applicable Accelerated Purchase date, the portion of the normal trading hours on the applicable Accelerated Purchase date prior to such time that any one of such thresholds is crossed, which period of time on the applicable Accelerated Purchase date we refer to as the “Accelerated Purchase Measurement Period”.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purchase price per share for each such Accelerated Purchase will be equal to 97% of the lower of:</w:t>
      </w:r>
    </w:p>
    <w:p>
      <w:pPr>
        <w:spacing w:after="0" w:line="225" w:lineRule="exact"/>
        <w:rPr>
          <w:sz w:val="20"/>
          <w:szCs w:val="20"/>
          <w:color w:val="auto"/>
        </w:rPr>
      </w:pPr>
    </w:p>
    <w:p>
      <w:pPr>
        <w:ind w:left="980" w:right="140" w:hanging="324"/>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volume-weighted average price of our common stock on Nasdaq during the applicable Accelerated Purchase Measurement Period on the applicable Accelerated Purchase date; and</w:t>
      </w: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sale price of our common stock on Nasdaq on the applicable Accelerated Purchase date.</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may also direct Lincoln Park on any business day on which an Accelerated Purchase has been completed and all of the shares to be purchased thereunder have been delivered to Lincoln Park in accordance with the Purchase Agreement, to purchase an additional amount of our common stock, which we refer to as an Additional Accelerated Purchase, as described in the Purchase Agreement.</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the case of Regular Purchases, Accelerated Purchases and Additional Accelerated Purchases, the purchase price per share will be equitably adjusted for any reorganization, recapitalization, non-cash dividend, stock split, reverse stock split or other similar transaction occurring during the business days used to compute the purchase price.</w:t>
      </w:r>
    </w:p>
    <w:p>
      <w:pPr>
        <w:spacing w:after="0" w:line="176" w:lineRule="exact"/>
        <w:rPr>
          <w:sz w:val="20"/>
          <w:szCs w:val="20"/>
          <w:color w:val="auto"/>
        </w:rPr>
      </w:pPr>
    </w:p>
    <w:p>
      <w:pPr>
        <w:ind w:right="380" w:firstLine="690"/>
        <w:spacing w:after="0" w:line="261" w:lineRule="auto"/>
        <w:rPr>
          <w:sz w:val="20"/>
          <w:szCs w:val="20"/>
          <w:color w:val="auto"/>
        </w:rPr>
      </w:pPr>
      <w:r>
        <w:rPr>
          <w:rFonts w:ascii="Times New Roman" w:cs="Times New Roman" w:eastAsia="Times New Roman" w:hAnsi="Times New Roman"/>
          <w:sz w:val="18"/>
          <w:szCs w:val="18"/>
          <w:color w:val="auto"/>
        </w:rPr>
        <w:t>The Purchase Agreement prohibits the Company from directing Lincoln Park to purchase any shares of Common Stock if those shares, when aggregated with all other shares of Common Stock then beneficially owned by Lincoln Park (as calculated pursuant to Section 13(d) of the Securities Exchange Act of 1934, as amended, and Rule 13d-3 thereunder), would result in Lincoln Park beneficially owning more than 9.99% of the then total outstanding shares of common stock.</w:t>
      </w:r>
    </w:p>
    <w:p>
      <w:pPr>
        <w:spacing w:after="0" w:line="18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Pursuant to the terms of the Purchase Agreement, on December 12, 2022, we issued 1,804,098 shares of our common stock, which we refer to as the Commitment Shares, to Lincoln Park as consideration for its commitment to purchase shares of our common stock under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Under applicable rules of Nasdaq, in no event may we issue or sell to Lincoln Park under the Purchase Agreement shares of our common stock, including the Commitment Shares, in excess of 90,000,000 shares, which is equal to 19.99% of the shares of our common stock outstanding immediately prior to the execution of the Purchase Agreement, or the Exchange Cap, unless (i) we obtain stockholder approval to issue shares of our common stock in excess of the Exchange Cap or (ii) the average price of all shares of common stock issued to Lincoln Park under the Purchase Agreement equals or exceeds $0.2883 per share (which represents the lower of (x) the official closing price of our common stock on Nasdaq the day of signing of the Purchase Agreement and (y) the arithmetic average of the official closing price of our common stock on Nasdaq for the five trading days for the Common Stock immediately preceding the execution of this Agreement), such that the transactions contemplated by the Purchase Agreement are exempt from the Exchange Cap limitation under applicable Nasdaq rules. In any event, the Purchase Agreement specifically provides that we may not issue or sell any shares of our common stock under the Purchase Agreement if such issuance or sale would breach any applicable rules or regulations of the Nasdaq.</w:t>
      </w:r>
    </w:p>
    <w:p>
      <w:pPr>
        <w:spacing w:after="0" w:line="1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Sales under the Purchase Agreement may commence only after certain conditions have been satisfied, which date is referred to herein as the Commencement Date, which conditions include that the Registration Statement shall have been declared effective under the Securities Act of 1933, as amended, delivery to Lincoln Park of a prospectus covering the shares of our common stock issued or sold by us to Lincoln Park under the Purchase Agreement, approval for listing on Nasdaq Capital Market of the shares of our common stock issued or sold by us to Lincoln Park under the Purchase Agreement, the issuance of the Commitment Shares to Lincoln Park under the Purchase Agreement, and the receipt by Lincoln Park of a customary opinion of counsel and other certificates and closing documents. The Purchase Agreement may be terminated by us at any time, at our sole discretion, without any cost or penalty, however, the Commitment Shares will not be returned to the Company. There are no limitations on use of proceeds, financial or business covenants, restrictions on future financings (other than restrictions on our ability to enter into additional “equity line” or similar transactions whereby an investor is irrevocably bound to purchase securities over a period of time from us at a price based on the market price of our common stock at the time of such purchase), rights of first refusal, participation rights, penalties or liquidated damages in the Purchase Agreement. We may deliver Purchase Notices under the Purchase Agreement, subject to market conditions, and in light of our capital needs from time to time and under the limitations contained in the Purchase Agreement. Any proceeds that we receive under the Purchase Agreement may be used for any corporate purpose at our sole discretion.</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agreed to file with the Securities and Exchange Commission, or the SEC, as soon as practicable, and in any event within twenty</w:t>
      </w:r>
    </w:p>
    <w:p>
      <w:pPr>
        <w:spacing w:after="0" w:line="27" w:lineRule="exact"/>
        <w:rPr>
          <w:sz w:val="20"/>
          <w:szCs w:val="20"/>
          <w:color w:val="auto"/>
        </w:rPr>
      </w:pPr>
    </w:p>
    <w:p>
      <w:pPr>
        <w:ind w:right="40" w:firstLine="8"/>
        <w:spacing w:after="0" w:line="260" w:lineRule="auto"/>
        <w:tabs>
          <w:tab w:leader="none" w:pos="3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the date of the Purchase Agreement, the Registration Statement covering the resale of the Purchase Shares and all of the Commitment Shares in accordance with the terms of the Registration Rights Agreement.</w:t>
      </w:r>
    </w:p>
    <w:p>
      <w:pPr>
        <w:spacing w:after="0" w:line="181"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foregoing is a summary description of certain terms of the Purchase Agreement and the Registration Rights Agreement and, by its nature, is incomplete. Copies of the Purchase Agreement and the Registration Rights Agreement are filed as Exhibits 10.1 and 10.2 attached hereto. The foregoing descriptions of the Purchase Agreement and the Registration Rights Agreement are qualified in their entirety by reference to such exhibits.</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Purchase Agreement and Registration Rights Agreement contain customary representations and warranties, covenants and indemnification provisions that the parties made to, and solely for the benefit of, each other in the context of all of the terms and conditions of such agreements and in the context of the specific relationship between the parties thereto. The provisions of the Purchase Agreement and Registration Rights Agreement, including any representations and warranties contained therein, are not for the benefit of any party other than the parties thereto and are not intended as documents for investors and the public to obtain factual information about the current state of affairs of the parties thereto. Rather, investors and the public should look to other disclosures contained in our annual, quarterly and current reports we may file with the SEC.</w:t>
      </w:r>
    </w:p>
    <w:p>
      <w:pPr>
        <w:spacing w:after="0" w:line="187" w:lineRule="exact"/>
        <w:rPr>
          <w:sz w:val="20"/>
          <w:szCs w:val="20"/>
          <w:color w:val="auto"/>
        </w:rPr>
      </w:pPr>
    </w:p>
    <w:p>
      <w:pPr>
        <w:jc w:val="both"/>
        <w:ind w:right="160" w:firstLine="690"/>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Current Report on Form 8-K shall not constitute an offer to sell or the solicitation of an offer to buy the shares of our common stock discussed herein, nor shall there be any offer, solicitation or sale of the shares in any jurisdiction in which such offer, solicitation or sale would be unlawful prior to registration or qualification under the securities laws of any such jurisdiction.</w:t>
      </w:r>
    </w:p>
    <w:p>
      <w:pPr>
        <w:spacing w:after="0" w:line="17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To the extent required by Item 3.02 of Form 8-K, the information contained in Item 1.01 of this Current Report on Form 8-K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December 13, 2022, we issued a press release announcing that we entered into the Purchase Agreement with Lincoln Park.</w:t>
      </w:r>
    </w:p>
    <w:p>
      <w:pPr>
        <w:spacing w:after="0" w:line="22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of the Form 8-K, including Exhibit 99.1, is furnished and shall not be deemed “filed” for purposes of Section 18 of the Securities Exchange Act of 1934, as amended (the “Exchange Act”), and is not incorporated by reference into any of the Company’s filings under the Securities Act of 1933, as amended, or the Exchange Act, whether made before or after the date hereof, except as shall be expressly set forth by specific reference in any such filing.</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92"/>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3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Purchase Agreement, dated as of December 12, 2022, by and between the Company and Lincoln Park.</w:t>
            </w:r>
          </w:p>
        </w:tc>
        <w:tc>
          <w:tcPr>
            <w:tcW w:w="2500" w:type="dxa"/>
            <w:vAlign w:val="bottom"/>
            <w:gridSpan w:val="2"/>
          </w:tcPr>
          <w:p>
            <w:pPr>
              <w:spacing w:after="0"/>
              <w:rPr>
                <w:sz w:val="17"/>
                <w:szCs w:val="17"/>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Registration Rights Agreement, dated as of December 12, 2022, by and between the Company and Lincoln Park.</w:t>
            </w:r>
          </w:p>
        </w:tc>
      </w:tr>
      <w:tr>
        <w:trPr>
          <w:trHeight w:val="196"/>
        </w:trPr>
        <w:tc>
          <w:tcPr>
            <w:tcW w:w="3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1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December 13, 2022.</w:t>
            </w:r>
          </w:p>
        </w:tc>
        <w:tc>
          <w:tcPr>
            <w:tcW w:w="1760" w:type="dxa"/>
            <w:vAlign w:val="bottom"/>
          </w:tcPr>
          <w:p>
            <w:pPr>
              <w:spacing w:after="0"/>
              <w:rPr>
                <w:sz w:val="17"/>
                <w:szCs w:val="17"/>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6920" w:type="dxa"/>
            <w:vAlign w:val="bottom"/>
            <w:gridSpan w:val="3"/>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for the cover page of this Current Report on Form 8-K</w:t>
            </w:r>
          </w:p>
        </w:tc>
      </w:tr>
      <w:tr>
        <w:trPr>
          <w:trHeight w:val="675"/>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736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r>
      <w:tr>
        <w:trPr>
          <w:trHeight w:val="432"/>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13, 2022</w:t>
            </w:r>
          </w:p>
        </w:tc>
        <w:tc>
          <w:tcPr>
            <w:tcW w:w="736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Peter Hoang</w:t>
            </w:r>
          </w:p>
        </w:tc>
      </w:tr>
      <w:tr>
        <w:trPr>
          <w:trHeight w:val="189"/>
        </w:trPr>
        <w:tc>
          <w:tcPr>
            <w:tcW w:w="38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160" w:type="dxa"/>
            <w:vAlign w:val="bottom"/>
            <w:tcBorders>
              <w:top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color w:val="auto"/>
              </w:rPr>
              <w:t>Peter Hoang</w:t>
            </w:r>
          </w:p>
        </w:tc>
      </w:tr>
      <w:tr>
        <w:trPr>
          <w:trHeight w:val="236"/>
        </w:trPr>
        <w:tc>
          <w:tcPr>
            <w:tcW w:w="38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675"/>
        </w:trPr>
        <w:tc>
          <w:tcPr>
            <w:tcW w:w="38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AGREEMENT</w:t>
      </w:r>
    </w:p>
    <w:p>
      <w:pPr>
        <w:spacing w:after="0" w:line="225"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THIS PURCHASE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December 12, 2022, is made by and between</w:t>
      </w:r>
      <w:r>
        <w:rPr>
          <w:rFonts w:ascii="Times New Roman" w:cs="Times New Roman" w:eastAsia="Times New Roman" w:hAnsi="Times New Roman"/>
          <w:sz w:val="18"/>
          <w:szCs w:val="18"/>
          <w:b w:val="1"/>
          <w:bCs w:val="1"/>
          <w:color w:val="auto"/>
        </w:rPr>
        <w:t xml:space="preserve"> MARKER THERAPEUTICS,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LINCOLN PARK CAPITAL FUND, LLC</w:t>
      </w:r>
      <w:r>
        <w:rPr>
          <w:rFonts w:ascii="Times New Roman" w:cs="Times New Roman" w:eastAsia="Times New Roman" w:hAnsi="Times New Roman"/>
          <w:sz w:val="18"/>
          <w:szCs w:val="18"/>
          <w:color w:val="auto"/>
        </w:rPr>
        <w:t>, an Illinois limited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this Agreement, the Company wishes to sell to the Investor, and the Investor wishes to buy from the Company, up to Twenty Five Million Dollars ($25,000,000) of the Company’s common stock, $0.001 par value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The shares of Common Stock to be purchased hereunder are referred to herein as the "</w:t>
      </w:r>
      <w:r>
        <w:rPr>
          <w:rFonts w:ascii="Times New Roman" w:cs="Times New Roman" w:eastAsia="Times New Roman" w:hAnsi="Times New Roman"/>
          <w:sz w:val="18"/>
          <w:szCs w:val="18"/>
          <w:u w:val="single" w:color="auto"/>
          <w:color w:val="auto"/>
        </w:rPr>
        <w:t>Purchase Shares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the Investor hereby agree as follows:</w:t>
      </w:r>
    </w:p>
    <w:p>
      <w:pPr>
        <w:spacing w:after="0" w:line="158"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Agreement, the following terms shall have the following meanings:</w:t>
      </w:r>
    </w:p>
    <w:p>
      <w:pPr>
        <w:spacing w:after="0" w:line="225" w:lineRule="exact"/>
        <w:rPr>
          <w:sz w:val="20"/>
          <w:szCs w:val="20"/>
          <w:color w:val="auto"/>
        </w:rPr>
      </w:pPr>
    </w:p>
    <w:p>
      <w:pPr>
        <w:ind w:right="20" w:firstLine="656"/>
        <w:spacing w:after="0" w:line="282" w:lineRule="auto"/>
        <w:tabs>
          <w:tab w:leader="none" w:pos="144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Accelerated Purchase Date</w:t>
      </w:r>
      <w:r>
        <w:rPr>
          <w:rFonts w:ascii="Times New Roman" w:cs="Times New Roman" w:eastAsia="Times New Roman" w:hAnsi="Times New Roman"/>
          <w:sz w:val="18"/>
          <w:szCs w:val="18"/>
          <w:color w:val="auto"/>
        </w:rPr>
        <w:t xml:space="preserve">" means, with respect to any Accelerated Purchase made pursuant to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hereof, the Business Day immediately following the applicable Purchase Date with respect to the corresponding Regular Purchase referred to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hereof.</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20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Accelerated Purchase Minimum Price Threshold</w:t>
      </w:r>
      <w:r>
        <w:rPr>
          <w:rFonts w:ascii="Times New Roman" w:cs="Times New Roman" w:eastAsia="Times New Roman" w:hAnsi="Times New Roman"/>
          <w:sz w:val="18"/>
          <w:szCs w:val="18"/>
          <w:color w:val="auto"/>
        </w:rPr>
        <w:t xml:space="preserve">" means, with respect to any Accelerated Purchase made pursuant to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hereof, any minimum per share price threshold set forth by the Company in the applicable Accelerated Purchase Notice.</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48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Accelerated Purchase Notice</w:t>
      </w:r>
      <w:r>
        <w:rPr>
          <w:rFonts w:ascii="Times New Roman" w:cs="Times New Roman" w:eastAsia="Times New Roman" w:hAnsi="Times New Roman"/>
          <w:sz w:val="18"/>
          <w:szCs w:val="18"/>
          <w:color w:val="auto"/>
        </w:rPr>
        <w:t xml:space="preserve">" means, with respect to any Accelerated Purchase made pursuant to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hereof, an irrevocable written notice from the Company to the Investor directing the Investor to purchase the applicable Accelerated Purchase Share Amount at the Accelerated Purchase Price on the Accelerated Purchase Date for such Accelerated Purchase in accordance with this Agreement, and specifying any Accelerated Purchase Minimum Price Threshold determined by the Company.</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158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Accelerated Purchase Price</w:t>
      </w:r>
      <w:r>
        <w:rPr>
          <w:rFonts w:ascii="Times New Roman" w:cs="Times New Roman" w:eastAsia="Times New Roman" w:hAnsi="Times New Roman"/>
          <w:sz w:val="18"/>
          <w:szCs w:val="18"/>
          <w:color w:val="auto"/>
        </w:rPr>
        <w:t xml:space="preserve">" means, with respect to any Accelerated Purchase made pursuant to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hereof, the lower of ninety-seven percent (97%) of (i) the VWAP for the period beginning at 9:30:01 a.m., Eastern time, on the applicable Accelerated Purchase Date, or such other time publicly announced by the Principal Market as the official open (or commencement) of trading on the Principal Market on such applicable Accelerated Purchase Date (the "</w:t>
      </w:r>
      <w:r>
        <w:rPr>
          <w:rFonts w:ascii="Times New Roman" w:cs="Times New Roman" w:eastAsia="Times New Roman" w:hAnsi="Times New Roman"/>
          <w:sz w:val="18"/>
          <w:szCs w:val="18"/>
          <w:u w:val="single" w:color="auto"/>
          <w:color w:val="auto"/>
        </w:rPr>
        <w:t>Accelerated Purchase Commencement Time</w:t>
      </w:r>
      <w:r>
        <w:rPr>
          <w:rFonts w:ascii="Times New Roman" w:cs="Times New Roman" w:eastAsia="Times New Roman" w:hAnsi="Times New Roman"/>
          <w:sz w:val="18"/>
          <w:szCs w:val="18"/>
          <w:color w:val="auto"/>
        </w:rPr>
        <w:t>"), and ending at the earliest of (A) 4:00:00 p.m., Eastern time, on such applicable Accelerated Purchase Date, or such other time publicly announced by the Principal Market as the official close of trading on the Principal Market on such applicable Accelerated Purchase Date, (B) such time, from and after the Accelerated Purchase Commencement Time for such Accelerated Purchase, that the total number (or volume) of shares of Common Stock traded on the Principal Market has exceeded the applicable Accelerated Purchase Share Volume Maximum, and (C) such time, from and after the Accelerated Purchase Commencement Time for such Accelerated Purchase, that the Sale Price has fallen below the applicable Accelerated Purchase Minimum Price Threshold (such earliest of (i)(A), (i)(B) and (i)(C) above, the "</w:t>
      </w:r>
      <w:r>
        <w:rPr>
          <w:rFonts w:ascii="Times New Roman" w:cs="Times New Roman" w:eastAsia="Times New Roman" w:hAnsi="Times New Roman"/>
          <w:sz w:val="18"/>
          <w:szCs w:val="18"/>
          <w:u w:val="single" w:color="auto"/>
          <w:color w:val="auto"/>
        </w:rPr>
        <w:t>Accelerated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 Termination Time</w:t>
      </w:r>
      <w:r>
        <w:rPr>
          <w:rFonts w:ascii="Times New Roman" w:cs="Times New Roman" w:eastAsia="Times New Roman" w:hAnsi="Times New Roman"/>
          <w:sz w:val="18"/>
          <w:szCs w:val="18"/>
          <w:color w:val="auto"/>
        </w:rPr>
        <w:t>"), and (ii) the Closing Sale Price of the Common Stock on such applicable Accelerated Purchase Date (to be appropriately adjusted for any reorganization, recapitalization, non-cash dividend, stock split, reverse stock split or other similar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jc w:val="both"/>
        <w:ind w:firstLine="656"/>
        <w:spacing w:after="0" w:line="255" w:lineRule="auto"/>
        <w:tabs>
          <w:tab w:leader="none" w:pos="157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Accelerated Purchase Share Amount</w:t>
      </w:r>
      <w:r>
        <w:rPr>
          <w:rFonts w:ascii="Times New Roman" w:cs="Times New Roman" w:eastAsia="Times New Roman" w:hAnsi="Times New Roman"/>
          <w:sz w:val="18"/>
          <w:szCs w:val="18"/>
          <w:color w:val="auto"/>
        </w:rPr>
        <w:t xml:space="preserve">" means, with respect to any Accelerated Purchase made pursuant to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hereof, the number of Purchase Shares directed by the Company to be purchased by the Investor in an Accelerated Purchase Notice, which number of Purchase Shares shall not exceed the lesser of (i) 300% of the number of Purchase Shares directed by the Company to be purchased by the Investor pursuant to the corresponding Regular Purchase Notice for the corresponding Regular Purchase referred to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hereof (subject to the Purchase Share limitations contained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and (ii) an amount equal to (A) the Accelerated Purchase Share Percentage multiplied by (B) the total number (or volume) of shares of Common Stock traded on the Principal Market during the period on the applicable Accelerated Purchase Date beginning at the Accelerated Purchase Commencement Time for such Accelerated Purchase and ending at the Accelerated Purchase Termination Time for such Accelerated Purchase.</w:t>
      </w:r>
    </w:p>
    <w:p>
      <w:pPr>
        <w:spacing w:after="0" w:line="188"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Accelerated Purchase Share Percentage</w:t>
      </w:r>
      <w:r>
        <w:rPr>
          <w:rFonts w:ascii="Times New Roman" w:cs="Times New Roman" w:eastAsia="Times New Roman" w:hAnsi="Times New Roman"/>
          <w:sz w:val="18"/>
          <w:szCs w:val="18"/>
          <w:color w:val="auto"/>
        </w:rPr>
        <w:t xml:space="preserve">" means, with respect to any Accelerated Purchase made pursuant to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hereof, thirty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(30%).</w:t>
      </w:r>
    </w:p>
    <w:p>
      <w:pPr>
        <w:spacing w:after="0" w:line="206" w:lineRule="exact"/>
        <w:rPr>
          <w:rFonts w:ascii="Times New Roman" w:cs="Times New Roman" w:eastAsia="Times New Roman" w:hAnsi="Times New Roman"/>
          <w:sz w:val="18"/>
          <w:szCs w:val="18"/>
          <w:color w:val="auto"/>
        </w:rPr>
      </w:pPr>
    </w:p>
    <w:p>
      <w:pPr>
        <w:jc w:val="both"/>
        <w:ind w:firstLine="656"/>
        <w:spacing w:after="0" w:line="258" w:lineRule="auto"/>
        <w:tabs>
          <w:tab w:leader="none" w:pos="205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Accelerated Purchase Share Volume Maximum</w:t>
      </w:r>
      <w:r>
        <w:rPr>
          <w:rFonts w:ascii="Times New Roman" w:cs="Times New Roman" w:eastAsia="Times New Roman" w:hAnsi="Times New Roman"/>
          <w:sz w:val="18"/>
          <w:szCs w:val="18"/>
          <w:color w:val="auto"/>
        </w:rPr>
        <w:t xml:space="preserve">" means, with respect to any Accelerated Purchase made pursuant to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hereof, a number of shares of Common Stock equal to (i) the applicable Accelerated Purchase Share Amount properly directed by the Company to be purchased by the Investor in the applicable Accelerated Purchase Notice for such Accelerated Purchase, divided by (ii) the Accelerated Purchase Share Percentage (to be appropriately adjusted for any reorganization, recapitalization, non-cash dividend, stock split, reverse stock split or other similar transaction).</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99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Accelerated Purchase Date</w:t>
      </w:r>
      <w:r>
        <w:rPr>
          <w:rFonts w:ascii="Times New Roman" w:cs="Times New Roman" w:eastAsia="Times New Roman" w:hAnsi="Times New Roman"/>
          <w:sz w:val="18"/>
          <w:szCs w:val="18"/>
          <w:color w:val="auto"/>
        </w:rPr>
        <w:t xml:space="preserve">" means, with respect to any Additional Accelerated Purchase made pursuant to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hereof, the Business Day (i) that is the Accelerated Purchase Date with respect to the corresponding Accelerated Purchase referred to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hereof and (ii) on which the Investor receives, prior to 1:00 p.m., Eastern time, on such Business Day, a valid Additional Accelerated Purchase Notice for such Additional Accelerated Purchase in accordance with this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75" w:lineRule="auto"/>
        <w:tabs>
          <w:tab w:leader="none" w:pos="162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Accelerated Purchase Minimum Price Threshold</w:t>
      </w:r>
      <w:r>
        <w:rPr>
          <w:rFonts w:ascii="Times New Roman" w:cs="Times New Roman" w:eastAsia="Times New Roman" w:hAnsi="Times New Roman"/>
          <w:sz w:val="18"/>
          <w:szCs w:val="18"/>
          <w:color w:val="auto"/>
        </w:rPr>
        <w:t xml:space="preserve">" means, with respect to any Additional Accelerated Purchase made pursuant to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hereof, any minimum per share price threshold set forth by the Company in the applicable Additional Accelerated Purchase Notice.</w:t>
      </w:r>
    </w:p>
    <w:p>
      <w:pPr>
        <w:spacing w:after="0" w:line="389" w:lineRule="exact"/>
        <w:rPr>
          <w:rFonts w:ascii="Times New Roman" w:cs="Times New Roman" w:eastAsia="Times New Roman" w:hAnsi="Times New Roman"/>
          <w:sz w:val="18"/>
          <w:szCs w:val="18"/>
          <w:color w:val="auto"/>
        </w:rPr>
      </w:pPr>
    </w:p>
    <w:p>
      <w:pPr>
        <w:jc w:val="both"/>
        <w:ind w:firstLine="656"/>
        <w:spacing w:after="0" w:line="261" w:lineRule="auto"/>
        <w:tabs>
          <w:tab w:leader="none" w:pos="189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Accelerated Purchase Notice</w:t>
      </w:r>
      <w:r>
        <w:rPr>
          <w:rFonts w:ascii="Times New Roman" w:cs="Times New Roman" w:eastAsia="Times New Roman" w:hAnsi="Times New Roman"/>
          <w:sz w:val="18"/>
          <w:szCs w:val="18"/>
          <w:color w:val="auto"/>
        </w:rPr>
        <w:t xml:space="preserve">" means, with respect to any Additional Accelerated Purchase made pursuant to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hereof, an irrevocable written notice from the Company to the Investor directing the Investor to purchase the applicable Additional Accelerated Purchase Share Amount at the Additional Accelerated Purchase Price for such Additional Accelerated Purchase in accordance with this Agreement, and specifying any Additional Accelerated Purchase Minimum Price Threshold determined by the Company.</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197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Accelerated Purchase Price</w:t>
      </w:r>
      <w:r>
        <w:rPr>
          <w:rFonts w:ascii="Times New Roman" w:cs="Times New Roman" w:eastAsia="Times New Roman" w:hAnsi="Times New Roman"/>
          <w:sz w:val="18"/>
          <w:szCs w:val="18"/>
          <w:color w:val="auto"/>
        </w:rPr>
        <w:t xml:space="preserve">" means, with respect to any Additional Accelerated Purchase made pursuant to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hereof, the lower of ninety-seven percent (97%) of (i) the VWAP for the period on the applicable Additional Accelerated Purchase Date, beginning at the latest of (A) the applicable Accelerated Purchase Termination Time with respect to the corresponding Accelerated Purchase referred to in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hereof on such Additional Accelerated Purchase Date, (B) the applicable Additional Accelerated Purchase Termination Time with respect to the most recently completed prior Additional Accelerated Purchase on such Additional Accelerated Purchase Date, as applicable, and (C) the time at which all Purchase Shares subject to all prior Accelerated Purchases and Additional Accelerated Purchases (as applicable), including, without limitation, those that have been effected on the same Business Day as the applicable Additional Accelerated Purchase Date with respect to which the applicable Additional Accelerated Purchase relates, have theretofore been received by the Investor as DWAC Shares in accordance with this Agreement (such latest of (i)(A), (i)</w:t>
      </w:r>
    </w:p>
    <w:p>
      <w:pPr>
        <w:jc w:val="both"/>
        <w:ind w:firstLine="8"/>
        <w:spacing w:after="0" w:line="251" w:lineRule="auto"/>
        <w:tabs>
          <w:tab w:leader="none" w:pos="3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(i)(C) above, the "</w:t>
      </w:r>
      <w:r>
        <w:rPr>
          <w:rFonts w:ascii="Times New Roman" w:cs="Times New Roman" w:eastAsia="Times New Roman" w:hAnsi="Times New Roman"/>
          <w:sz w:val="18"/>
          <w:szCs w:val="18"/>
          <w:u w:val="single" w:color="auto"/>
          <w:color w:val="auto"/>
        </w:rPr>
        <w:t>Additional Accelerated Purchase Commencement Time</w:t>
      </w:r>
      <w:r>
        <w:rPr>
          <w:rFonts w:ascii="Times New Roman" w:cs="Times New Roman" w:eastAsia="Times New Roman" w:hAnsi="Times New Roman"/>
          <w:sz w:val="18"/>
          <w:szCs w:val="18"/>
          <w:color w:val="auto"/>
        </w:rPr>
        <w:t>"), and ending at the earliest of (X) 4:00 p.m., Eastern time, on such Additional Accelerated Purchase Date, or such other time publicly announced by the Principal Market as the official close of trading on the Principal Market on such Additional Accelerated Purchase Date, (Y) such time, from and after the Additional Accelerated Purchase Commencement Time for such Additional Accelerated Purchase, that the total number (or volume) of shares of Common Stock traded on the Principal Market has exceeded the applicable Additional Accelerated Purchase Share Volume Maximum, and (Z) such time, from and after the Additional Accelerated Purchase Commencement Time for such Additional Accelerated Purchase, that the Sale Price has fallen below the applicable Additional Accelerated Purchase Minimum Price Threshold (such earliest of (i)(X), (i)(Y) and (i)(Z) above, the "</w:t>
      </w:r>
      <w:r>
        <w:rPr>
          <w:rFonts w:ascii="Times New Roman" w:cs="Times New Roman" w:eastAsia="Times New Roman" w:hAnsi="Times New Roman"/>
          <w:sz w:val="18"/>
          <w:szCs w:val="18"/>
          <w:u w:val="single" w:color="auto"/>
          <w:color w:val="auto"/>
        </w:rPr>
        <w:t>Additional Accelerated Purchase Termination Time</w:t>
      </w:r>
      <w:r>
        <w:rPr>
          <w:rFonts w:ascii="Times New Roman" w:cs="Times New Roman" w:eastAsia="Times New Roman" w:hAnsi="Times New Roman"/>
          <w:sz w:val="18"/>
          <w:szCs w:val="18"/>
          <w:color w:val="auto"/>
        </w:rPr>
        <w:t>"), and (ii) the Closing Sale Price of the Common Stock on such Additional Accelerated Purchase Date (to be appropriately adjusted for any reorganization, recapitalization, non-cash dividend, stock split, reverse stock split or other similar transaction).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656"/>
        <w:spacing w:after="0" w:line="254" w:lineRule="auto"/>
        <w:tabs>
          <w:tab w:leader="none" w:pos="16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Accelerated Purchase Share Amount</w:t>
      </w:r>
      <w:r>
        <w:rPr>
          <w:rFonts w:ascii="Times New Roman" w:cs="Times New Roman" w:eastAsia="Times New Roman" w:hAnsi="Times New Roman"/>
          <w:sz w:val="18"/>
          <w:szCs w:val="18"/>
          <w:color w:val="auto"/>
        </w:rPr>
        <w:t xml:space="preserve">" means, with respect to any Additional Accelerated Purchase made pursuant to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hereof, the number of Purchase Shares directed by the Company to be purchased by the Investor on an Additional Accelerated Purchase Notice, which number of Purchase Shares shall not exceed the lesser of (i) 300% of the number of Purchase Shares directed by the Company to be purchased by the Investor pursuant to the corresponding Regular Purchase Notice for the corresponding Regular Purchase referred to in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hereof (subject to the Purchase Share limitations contained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and (ii) an amount equal to (A) the Additional Accelerated Purchase Share Percentage multiplied by (B) the total number (or volume) of shares of Common Stock traded on the Principal Market during the period on the applicable Additional Accelerated Purchase Date beginning at the Additional Accelerated Purchase Commencement Time for such Additional Accelerated Purchase and ending at the Additional Accelerated Purchase Termination Time for such Additional Accelerated Purchase.</w:t>
      </w:r>
    </w:p>
    <w:p>
      <w:pPr>
        <w:spacing w:after="0" w:line="191" w:lineRule="exact"/>
        <w:rPr>
          <w:rFonts w:ascii="Times New Roman" w:cs="Times New Roman" w:eastAsia="Times New Roman" w:hAnsi="Times New Roman"/>
          <w:sz w:val="18"/>
          <w:szCs w:val="18"/>
          <w:color w:val="auto"/>
        </w:rPr>
      </w:pPr>
    </w:p>
    <w:p>
      <w:pPr>
        <w:ind w:right="20" w:firstLine="656"/>
        <w:spacing w:after="0" w:line="282" w:lineRule="auto"/>
        <w:tabs>
          <w:tab w:leader="none" w:pos="15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Accelerated Purchase Share Percentage</w:t>
      </w:r>
      <w:r>
        <w:rPr>
          <w:rFonts w:ascii="Times New Roman" w:cs="Times New Roman" w:eastAsia="Times New Roman" w:hAnsi="Times New Roman"/>
          <w:sz w:val="18"/>
          <w:szCs w:val="18"/>
          <w:color w:val="auto"/>
        </w:rPr>
        <w:t xml:space="preserve">" means, with respect to any Additional Accelerated Purchase made pursuant to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hereof, thirty percent (30%).</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39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Accelerated Purchase Share Volume Maximum</w:t>
      </w:r>
      <w:r>
        <w:rPr>
          <w:rFonts w:ascii="Times New Roman" w:cs="Times New Roman" w:eastAsia="Times New Roman" w:hAnsi="Times New Roman"/>
          <w:sz w:val="18"/>
          <w:szCs w:val="18"/>
          <w:color w:val="auto"/>
        </w:rPr>
        <w:t xml:space="preserve">" means, with respect to any Additional Accelerated Purchase made pursuant to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hereof, a number of shares of Common Stock equal to (i) the applicable Additional Accelerated Purchase Share Amount properly directed by the Company to be purchased by the Investor in the applicable Additional Accelerated Purchase Notice for such Additional Accelerated Purchase, divided by (ii) the Additional Accelerated Purchase Share Percentage (to be appropriately adjusted for any reorganization, recapitalization, non-cash dividend, stock split, reverse stock split or other similar transaction).</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39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Adjusted Regular Purchase Share Limit</w:t>
      </w:r>
      <w:r>
        <w:rPr>
          <w:rFonts w:ascii="Times New Roman" w:cs="Times New Roman" w:eastAsia="Times New Roman" w:hAnsi="Times New Roman"/>
          <w:sz w:val="18"/>
          <w:szCs w:val="18"/>
          <w:color w:val="auto"/>
        </w:rPr>
        <w:t xml:space="preserve">" means, with respect to a Regular Purchase made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the maximum number of Purchase Shares which, taking into account the applicable per share Purchase Price therefor calculated in accordance with this Agreement, would enable the Company to deliver to the Investor, on the applicable Purchase Date for such Regular Purchase, a Regular Purchase Notice for a Purchase Amount equal to, or as closely approximating without exceeding, One Hundred Fifty Thousand Dollars $150,000.</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5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with respect to any Person, the common law and any federal, provincial, state, territorial, local, foreign, multinational or international laws, statutes, codes, treaties, standards, rules and regulations, guidelines, ordinances, orders, judgments, writs, injunctions, decrees or settlement agreements (including administrative or judicial precedents or authorities) and the interpretation or administration thereof by, and other determinations, directives, requirements or requests of, any governmental authority, in each case whether or not having the force of law and, in each case, that are applicable to or binding upon such Person or any of its property or to which such Person or any of its property is subject.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firstLine="656"/>
        <w:spacing w:after="0" w:line="282" w:lineRule="auto"/>
        <w:tabs>
          <w:tab w:leader="none" w:pos="139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Amount</w:t>
      </w:r>
      <w:r>
        <w:rPr>
          <w:rFonts w:ascii="Times New Roman" w:cs="Times New Roman" w:eastAsia="Times New Roman" w:hAnsi="Times New Roman"/>
          <w:sz w:val="18"/>
          <w:szCs w:val="18"/>
          <w:color w:val="auto"/>
        </w:rPr>
        <w:t xml:space="preserve">" means, initially, Twenty Five Million Dollars ($25,000,000) in the aggregate, which amount shall be reduced by the Purchase Amount each time the Investor purchases shares of Common Stock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w:t>
      </w:r>
    </w:p>
    <w:p>
      <w:pPr>
        <w:spacing w:after="0" w:line="161"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44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on which the Principal Market is open for trading, including any day on which the Principal Market is open for trading for a period of time less than the customary time.</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means the Company’s Bylaws.</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means the Company’s Certificate of Incorporation, as amended.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55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Sale Price</w:t>
      </w:r>
      <w:r>
        <w:rPr>
          <w:rFonts w:ascii="Times New Roman" w:cs="Times New Roman" w:eastAsia="Times New Roman" w:hAnsi="Times New Roman"/>
          <w:sz w:val="18"/>
          <w:szCs w:val="18"/>
          <w:color w:val="auto"/>
        </w:rPr>
        <w:t>" means, for any security as of any date, the last closing sale price for such security on the Principal Market as reported by the Principal Market.</w:t>
      </w:r>
    </w:p>
    <w:p>
      <w:pPr>
        <w:spacing w:after="0" w:line="161"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3" w:lineRule="auto"/>
        <w:tabs>
          <w:tab w:leader="none" w:pos="149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any information disclosed by either party to the other party, either directly or indirectly, in writing, orally or by inspection of tangible objects (including, without limitation, documents, prototypes, samples, plant and equipment), which is designated, either orally or in writing, as "Confidential," "Proprietary" or some similar designation. Information communicated orally shall be considered Confidential Information if such information is confirmed in writing as being Confidential Information within ten (10) Business Days after the initial disclosure. Confidential Information may also include information disclosed to a disclosing party by third parties. Confidential Information shall not, however, include any information which (i) was publicly known and made generally available in the public domain prior to the time of disclosure by the disclosing party;</w:t>
      </w:r>
    </w:p>
    <w:p>
      <w:pPr>
        <w:spacing w:after="0" w:line="5" w:lineRule="exact"/>
        <w:rPr>
          <w:rFonts w:ascii="Times New Roman" w:cs="Times New Roman" w:eastAsia="Times New Roman" w:hAnsi="Times New Roman"/>
          <w:sz w:val="18"/>
          <w:szCs w:val="18"/>
          <w:color w:val="auto"/>
        </w:rPr>
      </w:pPr>
    </w:p>
    <w:p>
      <w:pPr>
        <w:jc w:val="both"/>
        <w:ind w:firstLine="8"/>
        <w:spacing w:after="0" w:line="253" w:lineRule="auto"/>
        <w:tabs>
          <w:tab w:leader="none" w:pos="2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publicly known and made generally available after disclosure by the disclosing party to the receiving party through no action or inaction of the receiving party; (iii) is already in the possession of the receiving party without confidential restriction at the time of disclosure by the disclosing party as shown by the receiving party’s files and records; (iv) is obtained by the receiving party from a third party and is not known by the receiving party to be a breach of such third party’s obligations of confidentiality; or (v) is independently developed by the receiving party without use of or reference to the disclosing party’s Confidential Information, as shown by documents and other competent evidence in the receiving party’s possession.</w:t>
      </w:r>
    </w:p>
    <w:p>
      <w:pPr>
        <w:spacing w:after="0" w:line="186"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The Depository Trust Company, or any successor performing substantially the same function for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656"/>
        <w:spacing w:after="0" w:line="261" w:lineRule="auto"/>
        <w:tabs>
          <w:tab w:leader="none" w:pos="12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DWAC Shares</w:t>
      </w:r>
      <w:r>
        <w:rPr>
          <w:rFonts w:ascii="Times New Roman" w:cs="Times New Roman" w:eastAsia="Times New Roman" w:hAnsi="Times New Roman"/>
          <w:sz w:val="18"/>
          <w:szCs w:val="18"/>
          <w:color w:val="auto"/>
        </w:rPr>
        <w:t>" means shares of Common Stock that are (i) issued in electronic form, (ii) freely tradable and transferable and without restriction on resale and (iii) timely credited by the Company, once a DWAC notice is received, to the Investor’s or its designee’s specified Deposit/Withdrawal at Custodian (DWAC) account with DTC under its Fast Automated Securities Transfer (FAST) Program, or any similar program hereafter adopted by DTC performing substantially the same function.</w:t>
      </w:r>
    </w:p>
    <w:p>
      <w:pPr>
        <w:spacing w:after="0" w:line="179"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2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 Adjusted Regular Purchase Share Limit</w:t>
      </w:r>
      <w:r>
        <w:rPr>
          <w:rFonts w:ascii="Times New Roman" w:cs="Times New Roman" w:eastAsia="Times New Roman" w:hAnsi="Times New Roman"/>
          <w:sz w:val="18"/>
          <w:szCs w:val="18"/>
          <w:color w:val="auto"/>
        </w:rPr>
        <w:t xml:space="preserve">" means, with respect to any reorganization, recapitalization, non-cash dividend, stock split or other similar transaction from and after the date of this Agreement, the Regular Purchase Share Limit (as defined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in effect on the applicable date of determination, after giving effect to the full proportionate adjustment thereto made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for or in respect of such reorganization, recapitalization, non-cash dividend, stock split or other similar transaction.</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13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material adverse effect on (i) the enforceability of any Transaction Document, (ii) the results of operations, operations, assets, business or financial condition of the Company and its Subsidiaries, taken as a whole, other than any material adverse effect that resulted exclusively from (A) any change in the United States or foreign economies or securities or financial markets in general that does not have a disproportionate effect on the Company and its Subsidiaries, taken as a whole, (B) any change that generally affects the industry in which the Company and its Subsidiaries operate that does not have a disproportionate effect on the Company and its Subsidiaries, taken as a whole, (C) any change arising in connection with earthquakes, hostilities, acts of war, sabotage or terrorism or military actions or any escalation or material worsening of any such hostilities, acts of war, sabotage or terrorism or military actions existing as of the date hereof that does not have a disproportionate effect on the Company and its Subsidiaries, taken as a whole, (D) any action taken by the Investor, its affiliates or its or their successors and assigns with respect to the transactions contemplated by this Agreement, (E) the effect of any change in applicable laws or accounting rules that does not have a disproportionate effect on the Company and its Subsidiaries, taken as a whole, or (F) any change resulting from compliance with terms of this Agreement or the consummation of the transactions contemplated by this Agreement, or (iii) the Company’s ability to perform in any material respect on a timely basis its obligations under any Transaction Document to be performed as of the date of determination.</w:t>
      </w:r>
    </w:p>
    <w:p>
      <w:pPr>
        <w:spacing w:after="0" w:line="189"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the first day of the month immediately following the twenty-four (24) month anniversary of the Commencement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210" w:lineRule="exact"/>
        <w:rPr>
          <w:rFonts w:ascii="Times New Roman" w:cs="Times New Roman" w:eastAsia="Times New Roman" w:hAnsi="Times New Roman"/>
          <w:sz w:val="18"/>
          <w:szCs w:val="18"/>
          <w:color w:val="auto"/>
        </w:rPr>
      </w:pPr>
    </w:p>
    <w:p>
      <w:pPr>
        <w:jc w:val="both"/>
        <w:ind w:firstLine="656"/>
        <w:spacing w:after="0" w:line="231" w:lineRule="auto"/>
        <w:tabs>
          <w:tab w:leader="none" w:pos="11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PEA Period</w:t>
      </w:r>
      <w:r>
        <w:rPr>
          <w:rFonts w:ascii="Times New Roman" w:cs="Times New Roman" w:eastAsia="Times New Roman" w:hAnsi="Times New Roman"/>
          <w:sz w:val="18"/>
          <w:szCs w:val="18"/>
          <w:color w:val="auto"/>
        </w:rPr>
        <w:t>" means the period commencing at 9:30 a.m., Eastern time, on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immediately prior to the filing of any post-effective amendment to the Registration Statement (as defined herein) or New Registration Statement (as such term is defined in the Registration Rights Agreement), and ending at 9:30 a.m., Eastern time, on the Business Day immediately following, the effective date of any post-effective amendment to the Registration Statement (as defined herein) or New Registration Statement (as such term is defined in the Registration Rights Agreement).</w:t>
      </w:r>
    </w:p>
    <w:p>
      <w:pPr>
        <w:spacing w:after="0" w:line="198" w:lineRule="exact"/>
        <w:rPr>
          <w:rFonts w:ascii="Times New Roman" w:cs="Times New Roman" w:eastAsia="Times New Roman" w:hAnsi="Times New Roman"/>
          <w:sz w:val="18"/>
          <w:szCs w:val="18"/>
          <w:color w:val="auto"/>
        </w:rPr>
      </w:pPr>
    </w:p>
    <w:p>
      <w:pPr>
        <w:ind w:right="20" w:firstLine="656"/>
        <w:spacing w:after="0" w:line="282" w:lineRule="auto"/>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entity including but not limited to any limited liability company, a partnership, a joint venture, a corporation, a trust, an unincorporated organization and a government or any department or agency thereof.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656"/>
        <w:spacing w:after="0" w:line="277" w:lineRule="auto"/>
        <w:tabs>
          <w:tab w:leader="none" w:pos="1312"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Principal Market</w:t>
      </w:r>
      <w:r>
        <w:rPr>
          <w:rFonts w:ascii="Times New Roman" w:cs="Times New Roman" w:eastAsia="Times New Roman" w:hAnsi="Times New Roman"/>
          <w:sz w:val="17"/>
          <w:szCs w:val="17"/>
          <w:color w:val="auto"/>
        </w:rPr>
        <w:t>" means The Nasdaq Capital Market (or any nationally recognized successor thereto); provided, however, that in the event the Company’s Common Stock is at any time not listed on The Nasdaq Capital Market (or any nationally recognized successor thereto) but is listed or traded on The Nasdaq Global Select Market, The Nasdaq Global Market, the New York Stock Exchange, the NYSE American, the NYSE Arca, the OTC Bulletin Board, or the OTCQX or OTCQB operated by the OTC Markets Group, Inc. (or any nationally recognized successor to any of the foregoing), then the "Principal Market" shall mean such other market or exchange which then constitutes the principal trading market for the Company’s Common Stock.</w:t>
      </w:r>
    </w:p>
    <w:p>
      <w:pPr>
        <w:spacing w:after="0" w:line="167" w:lineRule="exact"/>
        <w:rPr>
          <w:rFonts w:ascii="Times New Roman" w:cs="Times New Roman" w:eastAsia="Times New Roman" w:hAnsi="Times New Roman"/>
          <w:sz w:val="17"/>
          <w:szCs w:val="17"/>
          <w:color w:val="auto"/>
        </w:rPr>
      </w:pPr>
    </w:p>
    <w:p>
      <w:pPr>
        <w:ind w:firstLine="656"/>
        <w:spacing w:after="0" w:line="282" w:lineRule="auto"/>
        <w:tabs>
          <w:tab w:leader="none" w:pos="150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Amount</w:t>
      </w:r>
      <w:r>
        <w:rPr>
          <w:rFonts w:ascii="Times New Roman" w:cs="Times New Roman" w:eastAsia="Times New Roman" w:hAnsi="Times New Roman"/>
          <w:sz w:val="18"/>
          <w:szCs w:val="18"/>
          <w:color w:val="auto"/>
        </w:rPr>
        <w:t xml:space="preserve">" means, with respect to any Regular Purchase, any Accelerated Purchase, or any Additional Accelerated Purchase made hereunder, as applicable, the portion of the Available Amount to be purchased by the Investor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16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Date</w:t>
      </w:r>
      <w:r>
        <w:rPr>
          <w:rFonts w:ascii="Times New Roman" w:cs="Times New Roman" w:eastAsia="Times New Roman" w:hAnsi="Times New Roman"/>
          <w:sz w:val="18"/>
          <w:szCs w:val="18"/>
          <w:color w:val="auto"/>
        </w:rPr>
        <w:t xml:space="preserve">" means, with respect to a Regular Purchase made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the Business Day on which the Investor receives, after 4:00 p.m., Eastern time, but prior to 6:00 p.m., Eastern time, on such Business Day, a valid Regular Purchase Notice for such Regular Purchase in accordance with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21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means, with respect to a Regular Purchase made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the lower of: (i) the lowest Sale Price on the Purchase Date for such Regular Purchase or (ii) the arithmetic average of the three (3) lowest Closing Sale Prices for the Common Stock during the ten</w:t>
      </w:r>
    </w:p>
    <w:p>
      <w:pPr>
        <w:jc w:val="both"/>
        <w:ind w:firstLine="8"/>
        <w:spacing w:after="0" w:line="255" w:lineRule="auto"/>
        <w:tabs>
          <w:tab w:leader="none" w:pos="36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Business Days ending on the Business Day immediately preceding such Purchase Date for such Regular Purchase (in each case, to be appropriately adjusted for any reorganization, recapitalization, non-cash dividend, stock split or other similar transaction that occurs on or after the date of this Agreement).</w:t>
      </w:r>
    </w:p>
    <w:p>
      <w:pPr>
        <w:spacing w:after="0" w:line="185"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that certain Registration Rights Agreement, of even date herewith between the Company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w:t>
      </w:r>
    </w:p>
    <w:p>
      <w:pPr>
        <w:spacing w:after="0" w:line="206"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has the meaning set forth in the Registration Rights Agreement.</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5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Regular Purchase Notice</w:t>
      </w:r>
      <w:r>
        <w:rPr>
          <w:rFonts w:ascii="Times New Roman" w:cs="Times New Roman" w:eastAsia="Times New Roman" w:hAnsi="Times New Roman"/>
          <w:sz w:val="18"/>
          <w:szCs w:val="18"/>
          <w:color w:val="auto"/>
        </w:rPr>
        <w:t xml:space="preserve">" means, with respect to a Regular Purchase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an irrevocable written notice from the Company to the Investor directing the Investor to buy a specified number of Purchase Shares (subject to the Purchase Share limitations contained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at the applicable Purchase Price for such Regular Purchase in accordance with this Agreement.</w:t>
      </w:r>
    </w:p>
    <w:p>
      <w:pPr>
        <w:spacing w:after="0" w:line="175" w:lineRule="exact"/>
        <w:rPr>
          <w:rFonts w:ascii="Times New Roman" w:cs="Times New Roman" w:eastAsia="Times New Roman" w:hAnsi="Times New Roman"/>
          <w:sz w:val="18"/>
          <w:szCs w:val="18"/>
          <w:color w:val="auto"/>
        </w:rPr>
      </w:pPr>
    </w:p>
    <w:p>
      <w:pPr>
        <w:ind w:left="1500" w:hanging="844"/>
        <w:spacing w:after="0"/>
        <w:tabs>
          <w:tab w:leader="none" w:pos="15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Price</w:t>
      </w:r>
      <w:r>
        <w:rPr>
          <w:rFonts w:ascii="Times New Roman" w:cs="Times New Roman" w:eastAsia="Times New Roman" w:hAnsi="Times New Roman"/>
          <w:sz w:val="18"/>
          <w:szCs w:val="18"/>
          <w:color w:val="auto"/>
        </w:rPr>
        <w:t>" means any trade price for the shares of Common Stock on the Principal Market as reported by the Principal Market.</w:t>
      </w:r>
    </w:p>
    <w:p>
      <w:pPr>
        <w:spacing w:after="0" w:line="225"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collectively, the Purchase Shares and the Commitment Shares (as defined below).</w:t>
      </w:r>
    </w:p>
    <w:p>
      <w:pPr>
        <w:spacing w:after="0" w:line="225"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19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Person the Company wholly-owns or controls, or in which the Company, directly or indirectly, owns a majority of the voting stock or similar voting interest, in each case that would be disclosable pursuant to Item 601(b)(21) of Regulation S-K promulgated under the Securities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firstLine="656"/>
        <w:spacing w:after="0" w:line="282" w:lineRule="auto"/>
        <w:tabs>
          <w:tab w:leader="none" w:pos="12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collectively, this Agreement and the schedules and exhibits hereto, the Registration Rights Agreement and the schedules and exhibits thereto.</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American Stock Transfer &amp; Company, LLC, or such other Person who is then serving as the transfer agent for the Company in respect of the Common Stock.</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in respect of an Accelerated Purchase Date and an Additional Accelerated Purchase Date, as applicable, the volume weighted average price of the Common Stock on the Principal Market, as reported on the Principal Market.</w:t>
      </w:r>
    </w:p>
    <w:p>
      <w:pPr>
        <w:spacing w:after="0" w:line="158"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OF COMMON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terms and conditions set forth in this Agreement, the Company has the right, but not the obligation to sell to the Investor,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sole and absolute discretion, and the Investor has the obligation to purchase from the Company, Purchase Shares as follows:</w:t>
      </w:r>
    </w:p>
    <w:p>
      <w:pPr>
        <w:spacing w:after="0" w:line="207" w:lineRule="exact"/>
        <w:rPr>
          <w:sz w:val="20"/>
          <w:szCs w:val="20"/>
          <w:color w:val="auto"/>
        </w:rPr>
      </w:pPr>
    </w:p>
    <w:p>
      <w:pPr>
        <w:jc w:val="both"/>
        <w:ind w:firstLine="656"/>
        <w:spacing w:after="0" w:line="253" w:lineRule="auto"/>
        <w:tabs>
          <w:tab w:leader="none" w:pos="148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Commencement of Regular Sales of Common Stock</w:t>
      </w:r>
      <w:r>
        <w:rPr>
          <w:rFonts w:ascii="Times New Roman" w:cs="Times New Roman" w:eastAsia="Times New Roman" w:hAnsi="Times New Roman"/>
          <w:sz w:val="18"/>
          <w:szCs w:val="18"/>
          <w:color w:val="auto"/>
        </w:rPr>
        <w:t>. Beginning one (1) Business Day following the satisfaction of the conditions set forth in Sections 7 and 8 hereof (the "</w:t>
      </w:r>
      <w:r>
        <w:rPr>
          <w:rFonts w:ascii="Times New Roman" w:cs="Times New Roman" w:eastAsia="Times New Roman" w:hAnsi="Times New Roman"/>
          <w:sz w:val="18"/>
          <w:szCs w:val="18"/>
          <w:u w:val="single" w:color="auto"/>
          <w:color w:val="auto"/>
        </w:rPr>
        <w:t>Commencement</w:t>
      </w:r>
      <w:r>
        <w:rPr>
          <w:rFonts w:ascii="Times New Roman" w:cs="Times New Roman" w:eastAsia="Times New Roman" w:hAnsi="Times New Roman"/>
          <w:sz w:val="18"/>
          <w:szCs w:val="18"/>
          <w:color w:val="auto"/>
        </w:rPr>
        <w:t>" and the date of satisfaction of such conditions the "</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and thereafter, the Company shall have the right, but not the obligation, to direct the Investor, by its delivery to the Investor of a Regular Purchase Notice from time to time, to purchase up to One Hundred Twenty-Five (125,000) Purchase Shares, subject to adjustment as set forth below in this Section 2(a) (such maximum number of Purchase Shares, as may be adjusted from time to time, the "Regular Purchase Share Limit"), at the Purchase Price on the Purchase Date (each such purchase a "</w:t>
      </w:r>
      <w:r>
        <w:rPr>
          <w:rFonts w:ascii="Times New Roman" w:cs="Times New Roman" w:eastAsia="Times New Roman" w:hAnsi="Times New Roman"/>
          <w:sz w:val="18"/>
          <w:szCs w:val="18"/>
          <w:u w:val="single" w:color="auto"/>
          <w:color w:val="auto"/>
        </w:rPr>
        <w:t>Regular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Regular Purchase Share Limit shall be increased to: (i) One Hundred Fifty Thousand (150,000) Purchase Shares, if the Closing Sale Price of the Common Stock on the applicable Purchase Date is not below $0.50, (ii) Two Hundred Thousand</w:t>
      </w:r>
    </w:p>
    <w:p>
      <w:pPr>
        <w:spacing w:after="0" w:line="2"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(200,000) Purchase Shares, if the Closing Sale Price of the Common Stock on the applicable Purchase Date is not below $0.75, (iii) Two Hundred Fifty Thousand (250,000) Purchase Shares if the Closing Sale Price of the Common Stock on the applicable Purchase Date is not below $1.00, and (iv) Three Hundred Thousand (300,000) Purchase Shares if the Closing Sale Price of the Common Stock on the applicable Purchase Date is not below $1.25 (all of which share and dollar amounts shall be appropriately proportionately adjusted for any reorganization, recapitalization, non-cash dividend, stock split or other similar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after giving effect to the full proportionate adjustment to the Regular Purchase Share Limit therefor, the Fully Adjusted Regular Purchase Share Limit then in effect would preclude the Company from delivering to the Investor a Regular Purchase Notice hereunder for a Purchase Amount (calculated by multiplying (X) the number of Purchase Shares equal to the Fully Adjusted Regular Purchase Share Limit, by (Y) the Purchase Price per Purchase Share covered by such Regular Purchase Notice on the applicable Purchase Date therefor) equal to or greater than the Alternate Adjusted Regular Purchase Share Limit, the Regular Purchase Share Limit for such Regular Purchase Notice shall not be fully adjusted to equal the applicable Fully Adjusted Regular Purchase Share Limit, but rather the Regular Purchase Share Limit for such Regular Purchase Notice shall be adjusted to equal the applicable Alternate Adjusted Regular Purchase Share Limit as of the applicable Purchase Date for such Regular Purchase Notice;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Investor’s committed obligation under any single Regular Purchase, other than any Regular Purchase with respect to which an Alternate Adjusted Regular Purchase Share Limit shall apply, shall not exceed One Million Five Hundred Thousand Dollars ($1,500,000). If the Company delivers any Regular Purchase Notice for a Purchase Amount in excess of the limitations contained in the immediately preceding sentence, such Regular Purchase Notice shall be void ab initio only with respect to the extent of the amount by which the number of Purchase Shares set forth in such Regular Purchase Notice exceeds the number of Purchase Shares which the Company is permitted to include in such Purchase Notice in accordance herewith, and the Investor shall have no obligation to purchase such excess Purchase Shares in respect of such Regular Purchase Notice; provided, however, that the Investor shall remain obligated to purchase the number of Purchase Shares which the Company is permitted to include in such Regular Purchase Notice. The Company may deliver a Regular Purchase Notice to the Investor multiple times on the same Business Day, provided the Company has not failed to deliver Purchase Shares for the most recent prior Regular Purchase. Notwithstanding the foregoing, the Company shall not deliver any Regular Purchase Notices during the PEA Period.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56"/>
        <w:spacing w:after="0" w:line="252" w:lineRule="auto"/>
        <w:tabs>
          <w:tab w:leader="none" w:pos="16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Accelerated Purchases</w:t>
      </w:r>
      <w:r>
        <w:rPr>
          <w:rFonts w:ascii="Times New Roman" w:cs="Times New Roman" w:eastAsia="Times New Roman" w:hAnsi="Times New Roman"/>
          <w:sz w:val="18"/>
          <w:szCs w:val="18"/>
          <w:color w:val="auto"/>
        </w:rPr>
        <w:t xml:space="preserve">. Subject to the terms and conditions of this Agreement, from and after one (1) Business Day following the Commencement Date, in addition to purchases of Purchase Shares as described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above, the Company shall also have the right, but not the obligation, to direct the Investor, by its delivery to the Investor of an Accelerated Purchase Notice from time to time in accordance with this Agreement, to purchase the applicable Accelerated Purchase Share Amount at the Accelerated Purchase Price on the Accelerated Purchase Date therefor in accordance with this Agreement (each such purchase, an "</w:t>
      </w:r>
      <w:r>
        <w:rPr>
          <w:rFonts w:ascii="Times New Roman" w:cs="Times New Roman" w:eastAsia="Times New Roman" w:hAnsi="Times New Roman"/>
          <w:sz w:val="18"/>
          <w:szCs w:val="18"/>
          <w:u w:val="single" w:color="auto"/>
          <w:color w:val="auto"/>
        </w:rPr>
        <w:t>Accelerated Purchase</w:t>
      </w:r>
      <w:r>
        <w:rPr>
          <w:rFonts w:ascii="Times New Roman" w:cs="Times New Roman" w:eastAsia="Times New Roman" w:hAnsi="Times New Roman"/>
          <w:sz w:val="18"/>
          <w:szCs w:val="18"/>
          <w:color w:val="auto"/>
        </w:rPr>
        <w:t xml:space="preserve">"). The Company may deliver an Accelerated Purchase Notice to the Investor only on a Purchase Date on which the Company also properly submitted a Regular Purchase Notice providing for a Regular Purchase of a number of Purchase Shares not less than the Regular Purchase Share Limit then in effect on such Purchase Date in accordance with this Agreement (including, without limitation, giving effect to any automatic increase to the Regular Purchase Share Limit as a result of the Closing Sale Price of the Common Stock exceeding certain thresholds set forth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above on such Purchase Date and any other adjustments to the Regular Purchase Share Limit, in each case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above). If the Company delivers any Accelerated Purchase Notice directing the Investor to purchase an amount of Purchase Shares that exceeds the Accelerated Purchase Share Amount that the Company is then permitted to include in such Accelerated Purchase Notice, such Accelerated Purchase Notice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only with respect to the extent of the amount by which the number of Purchase Shares set forth in such Accelerated Purchase Notice exceeds the Accelerated Purchase Share Amount that the Company is then permitted to include in such Accelerated Purchase Notice (which shall be confirmed in an Accelerated Purchase Confirmation), and the Investor shall have no obligation to purchase such excess Purchase Shares in respect of such Accelerated Purchase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Investor shall remain obligated to purchase the Accelerated Purchase Share Amount which the Company is permitted to include in such Accelerated Purchase Notice. Within one (1) Business Day after completion of each Accelerated Purchase Date for an Accelerated Purchase, the Investor will provide to the Company a written confirmation of such Accelerated Purchase setting forth the applicable Accelerated Purchase Share Amount and Accelerated Purchase Price for such Accelerated Purchase (each, an "</w:t>
      </w:r>
      <w:r>
        <w:rPr>
          <w:rFonts w:ascii="Times New Roman" w:cs="Times New Roman" w:eastAsia="Times New Roman" w:hAnsi="Times New Roman"/>
          <w:sz w:val="18"/>
          <w:szCs w:val="18"/>
          <w:u w:val="single" w:color="auto"/>
          <w:color w:val="auto"/>
        </w:rPr>
        <w:t>Accelerated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 Confirmation</w:t>
      </w:r>
      <w:r>
        <w:rPr>
          <w:rFonts w:ascii="Times New Roman" w:cs="Times New Roman" w:eastAsia="Times New Roman" w:hAnsi="Times New Roman"/>
          <w:sz w:val="18"/>
          <w:szCs w:val="18"/>
          <w:color w:val="auto"/>
        </w:rPr>
        <w:t>"). Notwithstanding the foregoing, the Company shall not deliver any Accelerated Purchase Notices during the PEA Period.</w:t>
      </w:r>
    </w:p>
    <w:p>
      <w:pPr>
        <w:spacing w:after="0" w:line="190" w:lineRule="exact"/>
        <w:rPr>
          <w:rFonts w:ascii="Times New Roman" w:cs="Times New Roman" w:eastAsia="Times New Roman" w:hAnsi="Times New Roman"/>
          <w:sz w:val="18"/>
          <w:szCs w:val="18"/>
          <w:color w:val="auto"/>
        </w:rPr>
      </w:pPr>
    </w:p>
    <w:p>
      <w:pPr>
        <w:jc w:val="both"/>
        <w:ind w:firstLine="656"/>
        <w:spacing w:after="0" w:line="251" w:lineRule="auto"/>
        <w:tabs>
          <w:tab w:leader="none" w:pos="16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Accelerated Purchases</w:t>
      </w:r>
      <w:r>
        <w:rPr>
          <w:rFonts w:ascii="Times New Roman" w:cs="Times New Roman" w:eastAsia="Times New Roman" w:hAnsi="Times New Roman"/>
          <w:sz w:val="18"/>
          <w:szCs w:val="18"/>
          <w:color w:val="auto"/>
        </w:rPr>
        <w:t xml:space="preserve">. Subject to the terms and conditions of this Agreement, from and after one (1) Business Day following the Commencement Date, in addition to purchases of Purchase Shares as described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above, the Company shall also have the right, but not the obligation, to direct the Investor, by its timely delivery to the Investor of an Additional Accelerated Purchase Notice on an Additional Accelerated Purchase Date in accordance with this Agreement, to purchase the applicable Additional Accelerated Purchase Share Amount at the applicable Additional Accelerated Purchase Price therefor in accordance with this Agreement (each such purchase, an "</w:t>
      </w:r>
      <w:r>
        <w:rPr>
          <w:rFonts w:ascii="Times New Roman" w:cs="Times New Roman" w:eastAsia="Times New Roman" w:hAnsi="Times New Roman"/>
          <w:sz w:val="18"/>
          <w:szCs w:val="18"/>
          <w:u w:val="single" w:color="auto"/>
          <w:color w:val="auto"/>
        </w:rPr>
        <w:t>Additional Accelerated Purchase</w:t>
      </w:r>
      <w:r>
        <w:rPr>
          <w:rFonts w:ascii="Times New Roman" w:cs="Times New Roman" w:eastAsia="Times New Roman" w:hAnsi="Times New Roman"/>
          <w:sz w:val="18"/>
          <w:szCs w:val="18"/>
          <w:color w:val="auto"/>
        </w:rPr>
        <w:t xml:space="preserve">"). The Company may deliver multiple Additional Accelerated Purchase Notices to the Investor on an Additional Accelerated Purchase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may deliver an Additional Accelerated Purchase Notice to the Investor only (i) on a Business Day that is also the Accelerated Purchase Date for an Accelerated Purchase with respect to which the Company properly submitted to the Investor an Accelerated Purchase Notice in accordance with this Agreement on the applicable Purchase Date for a Regular Purchase of a number of Purchase Shares not less than the Regular Purchase Share Limit then in effect in accordance with this Agreement (including, without limitation, giving effect to any automatic increase to the Regular Purchase Share Limit as a result of the Closing Sale Price of the Common Stock exceeding certain thresholds set forth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above on such Purchase Date and any other adjustments to the Regular Purchase Share Limit, in each case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above), and (ii) if all Purchase Shares subject to all prior Regular Purchases, Accelerated Purchases and Additional Accelerated Purchases, including, without limitation, those that have been effected on the same Business Day as the applicable Additional Accelerated Purchase Date with respect to which the applicable Additional Accelerated Purchase relates, in each case have theretofore been received by the Investor as DWAC Shares in accordance with this Agreement. If the Company delivers any Additional Accelerated Purchase Notice directing the Investor to purchase an amount of Purchase Shares that exceeds the Additional Accelerated Purchase Share Amount that the Company is then permitted to include in such Additional Accelerated Purchase Notice, such Additional Accelerated Purchase Notice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only with respect to the extent of the amount by which the number of Purchase Shares set forth in such Additional Accelerated Purchase Notice exceeds the Additional Accelerated Purchase Share Amount that the Company is then permitted to include in such Additional Accelerated Purchase Notice (which shall be confirmed in an Additional Accelerated Purchase Confirmation), and the Investor shall have no obligation to purchase such excess Purchase Shares in respect of such Additional Accelerated Purchase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Investor shall remain obligated to purchase the Additional Accelerated Purchase Share Amount which the Company is permitted to include in such Additional Accelerated Purchase Notice. Within one</w:t>
      </w:r>
    </w:p>
    <w:p>
      <w:pPr>
        <w:spacing w:after="0" w:line="7" w:lineRule="exact"/>
        <w:rPr>
          <w:rFonts w:ascii="Times New Roman" w:cs="Times New Roman" w:eastAsia="Times New Roman" w:hAnsi="Times New Roman"/>
          <w:sz w:val="18"/>
          <w:szCs w:val="18"/>
          <w:color w:val="auto"/>
        </w:rPr>
      </w:pPr>
    </w:p>
    <w:p>
      <w:pPr>
        <w:jc w:val="both"/>
        <w:ind w:firstLine="8"/>
        <w:spacing w:after="0" w:line="253" w:lineRule="auto"/>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after completion of each Additional Accelerated Purchase Date, the Investor will provide to the Company a written confirmation of each Additional Accelerated Purchase on such Additional Accelerated Purchase Date setting forth the applicable Additional Accelerated Purchase Share Amount and Additional Accelerated Purchase Price for each such Additional Accelerated Purchase on such Additional Accelerated Purchase Date (each, an "</w:t>
      </w:r>
      <w:r>
        <w:rPr>
          <w:rFonts w:ascii="Times New Roman" w:cs="Times New Roman" w:eastAsia="Times New Roman" w:hAnsi="Times New Roman"/>
          <w:sz w:val="18"/>
          <w:szCs w:val="18"/>
          <w:u w:val="single" w:color="auto"/>
          <w:color w:val="auto"/>
        </w:rPr>
        <w:t>Additional Accelerated Purchase Confirmation</w:t>
      </w:r>
      <w:r>
        <w:rPr>
          <w:rFonts w:ascii="Times New Roman" w:cs="Times New Roman" w:eastAsia="Times New Roman" w:hAnsi="Times New Roman"/>
          <w:sz w:val="18"/>
          <w:szCs w:val="18"/>
          <w:color w:val="auto"/>
        </w:rPr>
        <w:t>"). Notwithstanding the foregoing, the Company shall not deliver any Additional Accelerated Purchase Notices during the PEA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656"/>
        <w:spacing w:after="0" w:line="253" w:lineRule="auto"/>
        <w:tabs>
          <w:tab w:leader="none" w:pos="142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Principal Market Rules</w:t>
      </w:r>
      <w:r>
        <w:rPr>
          <w:rFonts w:ascii="Times New Roman" w:cs="Times New Roman" w:eastAsia="Times New Roman" w:hAnsi="Times New Roman"/>
          <w:sz w:val="18"/>
          <w:szCs w:val="18"/>
          <w:color w:val="auto"/>
        </w:rPr>
        <w:t xml:space="preserve">. Notwithstanding anything in this Agreement to the contrary, and in addition to the limitations set forth in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the Company shall not issue more than 90,000,000 shares (including the Commitment Shares) of Common Stock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Cap</w:t>
      </w:r>
      <w:r>
        <w:rPr>
          <w:rFonts w:ascii="Times New Roman" w:cs="Times New Roman" w:eastAsia="Times New Roman" w:hAnsi="Times New Roman"/>
          <w:sz w:val="18"/>
          <w:szCs w:val="18"/>
          <w:color w:val="auto"/>
        </w:rPr>
        <w:t xml:space="preserve">") under this Agreement, which equals 19.99% of the Company’s outstanding shares of Common Stock as of the date hereof, unless stockholder approval is obtained to issue in excess of the Exchange Cap;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limitation shall not apply if at any time the Exchange Cap is reached and at all times thereafter the average price paid for all shares of Common Stock issued under this Agreement is equal to or greater than $0. 2883 (the "</w:t>
      </w:r>
      <w:r>
        <w:rPr>
          <w:rFonts w:ascii="Times New Roman" w:cs="Times New Roman" w:eastAsia="Times New Roman" w:hAnsi="Times New Roman"/>
          <w:sz w:val="18"/>
          <w:szCs w:val="18"/>
          <w:u w:val="single" w:color="auto"/>
          <w:color w:val="auto"/>
        </w:rPr>
        <w:t>Minimum Price</w:t>
      </w:r>
      <w:r>
        <w:rPr>
          <w:rFonts w:ascii="Times New Roman" w:cs="Times New Roman" w:eastAsia="Times New Roman" w:hAnsi="Times New Roman"/>
          <w:sz w:val="18"/>
          <w:szCs w:val="18"/>
          <w:color w:val="auto"/>
        </w:rPr>
        <w:t>"), a price equal to the lower of (i) the Nasdaq Official Closing Price immediately preceding the execution of this Agreement and</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26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arithmetic average of the five (5) Nasdaq Official Closing Prices for the Common Stock immediately preceding the execution of this Agreement, as calculated in accordance with the rules of the Principal Market (in such circumstance, for purposes of the Principal Market, the transaction contemplated hereby would not be "below market" and the Exchange Cap would not apply). Notwithstanding the foregoing, the Company shall not be required or permitted to issue, and the Investor shall not be required to purchase, any shares of Common Stock under this Agreement if such issuance would violate the rules or regulations of the Principal Market. The Company may, in its sole discretion, determine whether to obtain stockholder approval to issue more than 19.99% of its outstanding shares of Common Stock hereunder if such issuance would require stockholder approval under the rules or regulations of the Principal Market. The Exchange Cap shall be reduced, on a share-for-share basis, by the number of shares of Common Stock issued or issuable that may be aggregated with the transactions contemplated by this Agreement under applicable rules of the Principal Market.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56"/>
        <w:spacing w:after="0" w:line="251" w:lineRule="auto"/>
        <w:tabs>
          <w:tab w:leader="none" w:pos="157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for Purchase Shares.</w:t>
      </w:r>
      <w:r>
        <w:rPr>
          <w:rFonts w:ascii="Times New Roman" w:cs="Times New Roman" w:eastAsia="Times New Roman" w:hAnsi="Times New Roman"/>
          <w:sz w:val="18"/>
          <w:szCs w:val="18"/>
          <w:color w:val="auto"/>
        </w:rPr>
        <w:t xml:space="preserve"> For each Regular Purchase, the Investor shall pay to the Company an amount equal to the Purchase Amount with respect to such Regular Purchase, as applicable, as full payment for such Purchase Shares via wire transfer of immediately available funds on the same Business Day that the Investor receives such Purchase Shares, if such Purchase Shares are received by the Investor before 1:00 p.m., Eastern time, or, if such Purchase Shares are received by the Investor after 1:00 p.m., Eastern time, the next Business Day. For each Accelerated Purchase and each Additional Accelerated Purchase, the Investor shall pay to the Company an amount equal to the Purchase Amount with respect to such Accelerated Purchase and Additional Accelerated Purchase, respectively, as full payment for such Purchase Shares via wire transfer of immediately available funds on the second Business Day following the date that the Investor receives such Purchase Shares. If the Company or the Transfer Agent shall fail for any reason or for no reason to electronically transfer any Purchase Shares as DWAC Shares with respect to any Regular Purchase, Accelerated Purchase or Additional Accelerated Purchase (as applicable) within two (2) Business Days following the receipt by the Company of the Purchase Price, Accelerated Purchase Price or Additional Accelerated Purchase Price, respectively, therefor in compliance with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and if on or after such Business Day the Investor purchases (in an open market transaction or otherwise) shares of Common Stock to deliver in satisfaction of a sale by the Investor of such Purchase Shares that the Investor anticipated receiving from the Company in respect of such Regular Purchase, Accelerated Purchase or Additional Accelerated Purchase (as applicable), then the Company shall, within two (2) Business Days after the Investor’s request, either (i) pay cash to the Investor in an amount equal to the Investor’s total purchase price (including customary brokerage commissions, if any) for the shares of Common Stock so purchased (the "</w:t>
      </w:r>
      <w:r>
        <w:rPr>
          <w:rFonts w:ascii="Times New Roman" w:cs="Times New Roman" w:eastAsia="Times New Roman" w:hAnsi="Times New Roman"/>
          <w:sz w:val="18"/>
          <w:szCs w:val="18"/>
          <w:u w:val="single" w:color="auto"/>
          <w:color w:val="auto"/>
        </w:rPr>
        <w:t>Cover Price</w:t>
      </w:r>
      <w:r>
        <w:rPr>
          <w:rFonts w:ascii="Times New Roman" w:cs="Times New Roman" w:eastAsia="Times New Roman" w:hAnsi="Times New Roman"/>
          <w:sz w:val="18"/>
          <w:szCs w:val="18"/>
          <w:color w:val="auto"/>
        </w:rPr>
        <w:t>"), at which point the Company’s obligation to deliver such Purchase Shares as DWAC Shares shall terminate, or (ii) promptly honor its obligation to deliver to the Investor such Purchase Shares as DWAC Shares and pay cash to the Investor in an amount equal to the excess (if any) of the Cover Price over the total Purchase Amount paid by the Investor pursuant to this Agreement for all of the Purchase Shares to be purchased by the Investor in connection with such purchases. The Company shall not issue any fraction of a share of Common Stock upon any Regular Purchase, Accelerated Purchase or Additional Accelerated Purchase. If the issuance would result in the issuance of a fraction of a share of Common Stock, the Company shall round such fraction of a share of Common Stock up or down to the nearest whole share (with 0.5 rounded up). All payments made under this Agreement shall be made in lawful money of the United States of America or wire transfer of immediately available funds to such account as the Company may from time to time designate by written notice in accordance with the provisions of this Agreement. Whenever any amount expressed to be due by the terms of this Agreement is due on any day that is not a Business Day, the same shall instead be due on the next succeeding day that is a Business Day.</w:t>
      </w:r>
    </w:p>
    <w:p>
      <w:pPr>
        <w:spacing w:after="0" w:line="205" w:lineRule="exact"/>
        <w:rPr>
          <w:rFonts w:ascii="Times New Roman" w:cs="Times New Roman" w:eastAsia="Times New Roman" w:hAnsi="Times New Roman"/>
          <w:sz w:val="18"/>
          <w:szCs w:val="18"/>
          <w:color w:val="auto"/>
        </w:rPr>
      </w:pPr>
    </w:p>
    <w:p>
      <w:pPr>
        <w:jc w:val="both"/>
        <w:ind w:firstLine="656"/>
        <w:spacing w:after="0" w:line="255" w:lineRule="auto"/>
        <w:tabs>
          <w:tab w:leader="none" w:pos="138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xml:space="preserve"> Notwithstanding anything to the contrary contained in this Agreement, the Company shall not issue or sell, and the Investor shall not purchase or acquire, any shares of Common Stock under this Agreement which, when aggregated with all other shares of Common Stock then beneficially owned by the Investor and its affiliates (as calculated pursuant to Section 13(d) of the Exchange Act and Rule 13d-3 promulgated thereunder), would result in the beneficial ownership by the Investor and its affiliates of more than 9.99% of the then issued and outstanding shares of Common Stock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The Investor and the Company shall each cooperate in good faith in the determinations required hereby and the application hereof. The Investor’s written certification to the Company of the applicability of the Beneficial Ownership Limitation, and the resulting effect thereof hereunder at any time, shall be conclusive with respect to the applicability thereof and such result absent manifest error.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1300" w:hanging="644"/>
        <w:spacing w:after="0"/>
        <w:tabs>
          <w:tab w:leader="none" w:pos="13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INVESTOR’S REPRESENTATIONS AND WARRANTIES.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Investor represents and warrants to the Company that as of the date hereof and as of the Commencement Date:</w:t>
      </w:r>
    </w:p>
    <w:p>
      <w:pPr>
        <w:spacing w:after="0" w:line="225" w:lineRule="exact"/>
        <w:rPr>
          <w:sz w:val="20"/>
          <w:szCs w:val="20"/>
          <w:color w:val="auto"/>
        </w:rPr>
      </w:pPr>
    </w:p>
    <w:p>
      <w:pPr>
        <w:jc w:val="both"/>
        <w:ind w:firstLine="656"/>
        <w:spacing w:after="0" w:line="266" w:lineRule="auto"/>
        <w:tabs>
          <w:tab w:leader="none" w:pos="14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Investor is an entity duly organized, validly existing and in good standing under the laws of the jurisdiction of its organization, with the requisite power and authority to enter into and to consummate the transactions contemplated by this Agreement and the other Transaction Documents to which it is a party and otherwise to carry out its obligations hereunder and thereunder.</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1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Purpose</w:t>
      </w:r>
      <w:r>
        <w:rPr>
          <w:rFonts w:ascii="Times New Roman" w:cs="Times New Roman" w:eastAsia="Times New Roman" w:hAnsi="Times New Roman"/>
          <w:sz w:val="18"/>
          <w:szCs w:val="18"/>
          <w:color w:val="auto"/>
        </w:rPr>
        <w:t>. The Investor is acquiring the Securities as principal for its own account for investment only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the Investor’s right to sell the Securities at any time pursuant to the Registration Statement described herein or otherwise in compliance with applicable federal and state securities laws). The Investor is acquiring the Securities hereunder in the ordinary course of its business.</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71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 Status</w:t>
      </w:r>
      <w:r>
        <w:rPr>
          <w:rFonts w:ascii="Times New Roman" w:cs="Times New Roman" w:eastAsia="Times New Roman" w:hAnsi="Times New Roman"/>
          <w:sz w:val="18"/>
          <w:szCs w:val="18"/>
          <w:color w:val="auto"/>
        </w:rPr>
        <w:t>. The Investor is an "accredited investor" as that term is defined in Rule 501(a)(3) of Regulation D promulgated under the Securities Act.</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141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The Investor understands that its investment in the Securities involves a high degree of risk. The Investor (i) is able to bear the economic risk of an investment in the Securities including a total loss thereof, (ii) has such knowledge and experience in financial and business matters that it is capable of evaluating the merits and risks of the proposed investment in the Securities and (iii) has had an opportunity to ask questions of and receive answers from the officers of the Company concerning the financial condition and business of the Company and other matters related to an investment in the Securities. Neither such inquiries nor any other due diligence investigations conducted by the Investor or its representatives shall modify, amend or affect the Investor’s right to rely on the Company’s representations and warranties contained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below. The Investor has sought such accounting, legal and tax advice as it has considered necessary to make an informed investment decision with respect to its acquisition of the Securities and is not relying on any accounting, legal tax or other advice from the Company or its officers, employees or representatives. The Investor acknowledges and agrees that the Company neither makes nor has made any representations or warranties with respect to the transactions contemplated hereby other than those specifically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w:t>
      </w:r>
    </w:p>
    <w:p>
      <w:pPr>
        <w:spacing w:after="0" w:line="194" w:lineRule="exact"/>
        <w:rPr>
          <w:rFonts w:ascii="Times New Roman" w:cs="Times New Roman" w:eastAsia="Times New Roman" w:hAnsi="Times New Roman"/>
          <w:sz w:val="18"/>
          <w:szCs w:val="18"/>
          <w:color w:val="auto"/>
        </w:rPr>
      </w:pPr>
    </w:p>
    <w:p>
      <w:pPr>
        <w:jc w:val="both"/>
        <w:ind w:firstLine="656"/>
        <w:spacing w:after="0" w:line="266" w:lineRule="auto"/>
        <w:tabs>
          <w:tab w:leader="none" w:pos="154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Governmental Review</w:t>
      </w:r>
      <w:r>
        <w:rPr>
          <w:rFonts w:ascii="Times New Roman" w:cs="Times New Roman" w:eastAsia="Times New Roman" w:hAnsi="Times New Roman"/>
          <w:sz w:val="18"/>
          <w:szCs w:val="18"/>
          <w:color w:val="auto"/>
        </w:rPr>
        <w:t>. The Investor understands that no U.S. federal or state agency or any other government or governmental agency has passed on or made any recommendation or endorsement of the Securities or the fairness or suitability of an investment in the Securities nor have such authorities passed upon or endorsed the merits of the offering of the Securities.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firstLine="656"/>
        <w:spacing w:after="0" w:line="261" w:lineRule="auto"/>
        <w:tabs>
          <w:tab w:leader="none" w:pos="15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 Enforcement</w:t>
      </w:r>
      <w:r>
        <w:rPr>
          <w:rFonts w:ascii="Times New Roman" w:cs="Times New Roman" w:eastAsia="Times New Roman" w:hAnsi="Times New Roman"/>
          <w:sz w:val="18"/>
          <w:szCs w:val="18"/>
          <w:color w:val="auto"/>
        </w:rPr>
        <w:t>. This Agreement and the other Transaction Documents have been duly and validly authorized, executed and delivered on behalf of the Investor and each is a valid and binding agreement of the Investor enforceable against the Investor in accordance with its terms, subject as to enforceability to general principles of equity and to applicable bankruptcy, insolvency, reorganization, moratorium, liquidation and other similar laws relating to, or affecting generally, the enforcement of applicable creditors’ rights and remedies.</w:t>
      </w:r>
    </w:p>
    <w:p>
      <w:pPr>
        <w:spacing w:after="0" w:line="179"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Residency</w:t>
      </w:r>
      <w:r>
        <w:rPr>
          <w:rFonts w:ascii="Times New Roman" w:cs="Times New Roman" w:eastAsia="Times New Roman" w:hAnsi="Times New Roman"/>
          <w:sz w:val="18"/>
          <w:szCs w:val="18"/>
          <w:color w:val="auto"/>
        </w:rPr>
        <w:t>. The Investor’s principal place of business is located in of the State of Illinois.</w:t>
      </w:r>
    </w:p>
    <w:p>
      <w:pPr>
        <w:spacing w:after="0" w:line="225" w:lineRule="exact"/>
        <w:rPr>
          <w:rFonts w:ascii="Times New Roman" w:cs="Times New Roman" w:eastAsia="Times New Roman" w:hAnsi="Times New Roman"/>
          <w:sz w:val="18"/>
          <w:szCs w:val="18"/>
          <w:color w:val="auto"/>
        </w:rPr>
      </w:pPr>
    </w:p>
    <w:p>
      <w:pPr>
        <w:jc w:val="both"/>
        <w:ind w:firstLine="656"/>
        <w:spacing w:after="0" w:line="257" w:lineRule="auto"/>
        <w:tabs>
          <w:tab w:leader="none" w:pos="13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Short Selling</w:t>
      </w:r>
      <w:r>
        <w:rPr>
          <w:rFonts w:ascii="Times New Roman" w:cs="Times New Roman" w:eastAsia="Times New Roman" w:hAnsi="Times New Roman"/>
          <w:sz w:val="18"/>
          <w:szCs w:val="18"/>
          <w:color w:val="auto"/>
        </w:rPr>
        <w:t>. The Investor represents and warrants to the Company that at no time prior to the date of this Agreement has any of the Investor, its agents (in their capacities as such), representatives or affiliates (in their capacities as such) engaged in or effected, in any manner whatsoever, directly or indirectly, any (i) "short sale" (as such term is defined in Rule 200 of Regulation SHO of the Exchange Act) of the Common Stock or</w:t>
      </w:r>
    </w:p>
    <w:p>
      <w:pPr>
        <w:spacing w:after="0" w:line="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transaction that establishes a net short position with respect to the Common Stock.</w:t>
      </w:r>
    </w:p>
    <w:p>
      <w:pPr>
        <w:spacing w:after="0" w:line="203"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represents and warrants to the Investor that, as of the date hereof and as of the Commencement Date:</w:t>
      </w:r>
    </w:p>
    <w:p>
      <w:pPr>
        <w:spacing w:after="0" w:line="225" w:lineRule="exact"/>
        <w:rPr>
          <w:sz w:val="20"/>
          <w:szCs w:val="20"/>
          <w:color w:val="auto"/>
        </w:rPr>
      </w:pPr>
    </w:p>
    <w:p>
      <w:pPr>
        <w:jc w:val="both"/>
        <w:ind w:firstLine="656"/>
        <w:spacing w:after="0" w:line="253" w:lineRule="auto"/>
        <w:tabs>
          <w:tab w:leader="none" w:pos="140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its Subsidiaries is an entity duly incorporated or otherwise organized, validly existing and in good standing under the laws of the jurisdiction of its incorporation or organization, with the requisite corporate power and authority to own and use its properties and assets and to carry on its business as currently conducted. Neither the Company nor any of its Subsidiaries is in violation or default of any of the provisions of its respective certificate or articles of formation or incorporation, bylaws or other organizational or charter documents except as would not be expected to result in a Material Adverse Effect. Each of the Company and its Subsidiaries is duly qualified to conduct business and is in good standing as a foreign corporation or other entity in each jurisdiction in which the nature of the business conducted or property owned by it makes such qualification necessary, and no proceeding has been instituted in any such jurisdiction revoking, limiting or curtailing or seeking to revoke, limit or curtail such power and authority or qualification, except where the failure to be so qualified or in good standing or such proceeding, as the case may be, would not reasonably be expected to result in a Material Adverse Effect. The Company has no subsidiaries except for the subsidiaries set forth on Exhibit 21.1 to the Company’s Annual Report on Form 10-K for the year ended December 31, 2021.</w:t>
      </w:r>
    </w:p>
    <w:p>
      <w:pPr>
        <w:spacing w:after="0" w:line="194" w:lineRule="exact"/>
        <w:rPr>
          <w:rFonts w:ascii="Times New Roman" w:cs="Times New Roman" w:eastAsia="Times New Roman" w:hAnsi="Times New Roman"/>
          <w:sz w:val="18"/>
          <w:szCs w:val="18"/>
          <w:color w:val="auto"/>
        </w:rPr>
      </w:pPr>
    </w:p>
    <w:p>
      <w:pPr>
        <w:jc w:val="both"/>
        <w:ind w:firstLine="656"/>
        <w:spacing w:after="0" w:line="261" w:lineRule="auto"/>
        <w:tabs>
          <w:tab w:leader="none" w:pos="151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 Validity</w:t>
      </w:r>
      <w:r>
        <w:rPr>
          <w:rFonts w:ascii="Times New Roman" w:cs="Times New Roman" w:eastAsia="Times New Roman" w:hAnsi="Times New Roman"/>
          <w:sz w:val="18"/>
          <w:szCs w:val="18"/>
          <w:color w:val="auto"/>
        </w:rPr>
        <w:t>. (i) The Company has the requisite corporate power and authority to enter into and perform its obligations under this Agreement and each of the other Transaction Documents, and to issue the Securities in accordance with the terms hereof and thereof,</w:t>
      </w:r>
    </w:p>
    <w:p>
      <w:pPr>
        <w:jc w:val="both"/>
        <w:ind w:firstLine="8"/>
        <w:spacing w:after="0" w:line="251" w:lineRule="auto"/>
        <w:tabs>
          <w:tab w:leader="none" w:pos="28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the Transaction Documents by the Company and the consummation by it of the transactions contemplated hereby and thereby, including without limitation, the issuance of the Commitment Shares (as defined below in </w:t>
      </w:r>
      <w:r>
        <w:rPr>
          <w:rFonts w:ascii="Times New Roman" w:cs="Times New Roman" w:eastAsia="Times New Roman" w:hAnsi="Times New Roman"/>
          <w:sz w:val="18"/>
          <w:szCs w:val="18"/>
          <w:u w:val="single" w:color="auto"/>
          <w:color w:val="auto"/>
        </w:rPr>
        <w:t>Section 5(e)</w:t>
      </w:r>
      <w:r>
        <w:rPr>
          <w:rFonts w:ascii="Times New Roman" w:cs="Times New Roman" w:eastAsia="Times New Roman" w:hAnsi="Times New Roman"/>
          <w:sz w:val="18"/>
          <w:szCs w:val="18"/>
          <w:color w:val="auto"/>
        </w:rPr>
        <w:t>), the reservation for issuance and the issuance of the Purchase Shares issuable under this Agreement, have been duly authorized by the Company’s board of directors, or a validly authorized committee thereof (collectively,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and no further consent or authorization is required by the Company, its Board of Directors or any committee thereof, or its stockholders (save to the extent provided in this Agreement), (iii) this Agreement has been, and each other Transaction Document shall be on the Commencement Date, duly executed and delivered by the Company and (iv) this Agreement constitutes, and each other Transaction Document upon its execution on behalf of the Company, shall constitute, the valid and binding obligations of the Company enforceable against the Company in accordance with their terms, except as such enforceability may be limited by general principles of equity or applicable bankruptcy, insolvency, reorganization, moratorium, liquidation or similar laws relating to, or affecting generally, the enforcement of creditors’ rights and remedies. The Board of Directors of the Company has approved the resolutions (the "</w:t>
      </w:r>
      <w:r>
        <w:rPr>
          <w:rFonts w:ascii="Times New Roman" w:cs="Times New Roman" w:eastAsia="Times New Roman" w:hAnsi="Times New Roman"/>
          <w:sz w:val="18"/>
          <w:szCs w:val="18"/>
          <w:u w:val="single" w:color="auto"/>
          <w:color w:val="auto"/>
        </w:rPr>
        <w:t>Signing Resolutions</w:t>
      </w:r>
      <w:r>
        <w:rPr>
          <w:rFonts w:ascii="Times New Roman" w:cs="Times New Roman" w:eastAsia="Times New Roman" w:hAnsi="Times New Roman"/>
          <w:sz w:val="18"/>
          <w:szCs w:val="18"/>
          <w:color w:val="auto"/>
        </w:rPr>
        <w:t xml:space="preserve">") substantially in the form as set forth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to authorize this Agreement and the transactions contemplated hereby. The Signing Resolutions are valid, in full force and effect and have not been modified or supplemented in any respect. The Company has delivered to the Investor a true and correct copy of a unanimous written consent adopting the Signing Resolutions executed by all of the members of the Board of Directors of the Company. Except as set forth in this Agreement, no other approvals or consents of the Board of Directors, any other authorized committee thereof, and/or stockholders is necessary under applicable laws and the Company’s Charter and/or Bylaws to authorize the execution and delivery of this Agreement or any of the transactions contemplated hereby, including, but not limited to, the issuance of the Commitment Shares and the issuance of the Purchase Shares.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56"/>
        <w:spacing w:after="0" w:line="252" w:lineRule="auto"/>
        <w:tabs>
          <w:tab w:leader="none" w:pos="148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As of the date hereof, the authorized capital stock of the Company consists of 300,000,000 shares of $0.001 par value Common Stock and 5,000,000 shares of $0.001 par value preferred stock. Except as disclosed in the SEC Documents (as defined below) filed prior to the date hereof, (i) no shares of the Company’s capital stock are subject to preemptive rights or any other similar rights or any liens or encumbrances suffered or permitted by the Company, (ii) there are no outstanding debt securities, (iii) there are no outstanding options, warrants, scrip, rights to subscribe to, calls or commitments of any character whatsoever relating to, or securities or rights convertible into, any shares of capital stock of the Company or any of its Subsidiaries, or contracts, commitments, understandings or arrangements by which the Company or any of its Subsidiaries is or may become bound to issue additional shares of capital stock of the Company or any of its Subsidiaries or options, warrants, scrip, rights to subscribe to, calls or commitments of any character whatsoever relating to, or securities or rights convertible into, any shares of capital stock of the Company or any of its Subsidiaries, (iv) there are no agreements or arrangements under which the Company or any of its Subsidiaries is obligated to register the sale of any of their securities under the Securities Act (except the Registration Rights Agreement and those registration rights for which a registration statement has been filed), (v)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(vi) there are no securities or instruments containing anti-dilution or similar provisions that will be triggered by the issuance of the Securities as described in this Agreement and (vii) the Company does not have any stock appreciation rights or "phantom stock" plans or agreements or any similar plan or agreement. The Company has furnished to the Investor true and correct copies of the Charter and the Bylaws, each as in effect on the date hereof, and copies of any documents containing the material rights of holders of securities convertible or exercisable for Common Stock, to the extent not filed as an exhibit to the Company’s Annual Report on Form 10-K for the fiscal year ended December 31, 2021 or other Exchange Act reports.</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16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Securities</w:t>
      </w:r>
      <w:r>
        <w:rPr>
          <w:rFonts w:ascii="Times New Roman" w:cs="Times New Roman" w:eastAsia="Times New Roman" w:hAnsi="Times New Roman"/>
          <w:sz w:val="18"/>
          <w:szCs w:val="18"/>
          <w:color w:val="auto"/>
        </w:rPr>
        <w:t>. Upon issuance and payment therefor in accordance with the terms and conditions of this Agreement, the Purchase Shares shall be validly issued, fully paid and nonassessable and free from all taxes, liens, charges, restrictions, rights of first refusal and preemptive rights with respect to the issue thereof, with the holders being entitled to all rights accorded to a holder of Common Stock. 90,000,000 shares of Common Stock have been duly authorized and reserved for issuance upon purchase under this Agreement as Purchase Shares. 1,804,098 shares of Common Stock have been duly authorized and reserved for issuance as Commitment Shares in accordance with this Agreement (subject, in each case, to equitable adjustment for any reorganization, recapitalization, non-cash dividend, stock split or other similar transaction). Upon issuance in accordance with the terms and conditions of this Agreement, each of the Purchase Shares and the Commitment Shares shall be validly issued, fully paid and nonassessable and free from all taxes, Liens, charges, restrictions, rights of first refusal and preemptive rights with respect to the issue thereof, with the holders being entitled to all rights accorded to a holder of Common Stock. Upon receipt of the Purchase Shares and the Commitment Shares, the Investor will have good and marketable title to such Securities and such Securities will be immediately freely tradeable on the Principal Market by any holder who is not an “affiliate” of the Company under the Securities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56"/>
        <w:spacing w:after="0" w:line="251" w:lineRule="auto"/>
        <w:tabs>
          <w:tab w:leader="none" w:pos="148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the Transaction Documents by the Company and the consummation by the Company of the transactions contemplated hereby and thereby (including, without limitation, the reservation for issuance and issuance of the Purchase Shares and the Commitment Shares) will not (i) result in a violation of the Charter, any certificate of designations, preferences and rights of any outstanding series of preferred stock of the Company or the Bylaws or (ii) except to the extent waived, conflict with, or constitute a default (or an event which with notice or lapse of time or both would become a default) under, or give to others any rights of termination, amendment, acceleration or cancellation of, any agreement, indenture or instrument to which the Company or any of its Subsidiaries is a party, or result in a violation of any law, rule, regulation, order, judgment or decree (including federal and state securities laws and regulations and the rules and regulations of the Principal Market applicable to the Company or any of its Subsidiaries) or by which any property or asset of the Company or any of its Subsidiaries is bound or affected, except in the case of conflicts, defaults, terminations, amendments, accelerations, cancellations and violations under clause (ii), which would not reasonably be expected to result in a Material Adverse Effect. Neither the Company nor its Subsidiaries is in violation of any term of or in default under its Charter, any certificate of designation, preferences and rights of any outstanding series of preferred stock of the Company or Bylaws or their organizational charter or bylaws, respectively. Neither the Company nor any of its Subsidiaries is in violation of any term of or is in default under any material contract, agreement, mortgage, indebtedness, indenture, instrument, judgment, decree or order or any statute, rule or regulation applicable to the Company or its Subsidiaries, except for possible conflicts, defaults, terminations or amendments that would not reasonably be expected to have a Material Adverse Effect. The business of the Company and its Subsidiaries is not being conducted, and shall not be conducted, in violation of any law, ordinance or regulation of any governmental entity, except for possible violations, the sanctions for which either individually or in the aggregate would not reasonably be expected to have a Material Adverse Effect. Except as specifically contemplated by this Agreement and as required under the Securities Act or applicable state securities laws and the rules and regulations of the Principal Market, the Company is not required to obtain any consent, authorization or order of, or make any filing or registration with, any court or governmental agency or any regulatory or self-regulatory agency in order for it to execute, deliver or perform any of its obligations under or contemplated by the Transaction Documents in accordance with the terms hereof or thereof. Except as set forth elsewhere in this Agreement, (i) all consents, authorizations, orders, filings and registrations which the Company is required to obtain pursuant to the preceding sentence on or prior to the date hereof or on or prior to the Commencement Date shall have been obtained or effected on or prior to the date hereof and on or prior to the Commencement Date, respectively, and (ii) all consents, authorizations, orders, filings and registrations which the Company is required to obtain pursuant to the preceding sentence with respect to the Commencement shall be obtained or effected on or prior to the Commencement Date.</w:t>
      </w:r>
    </w:p>
    <w:p>
      <w:pPr>
        <w:spacing w:after="0" w:line="204" w:lineRule="exact"/>
        <w:rPr>
          <w:rFonts w:ascii="Times New Roman" w:cs="Times New Roman" w:eastAsia="Times New Roman" w:hAnsi="Times New Roman"/>
          <w:sz w:val="18"/>
          <w:szCs w:val="18"/>
          <w:color w:val="auto"/>
        </w:rPr>
      </w:pPr>
    </w:p>
    <w:p>
      <w:pPr>
        <w:jc w:val="both"/>
        <w:ind w:firstLine="656"/>
        <w:spacing w:after="0" w:line="252" w:lineRule="auto"/>
        <w:tabs>
          <w:tab w:leader="none" w:pos="136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Documents;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twelve months preceding the date hereof (or such shorter period as the Company was required by law or regulation to file such material) (the foregoing materials, including the exhibits thereto and documents incorporated by reference therein, together with the Registration Statement, being collectively referred to herein as the "</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on a timely basis or has received a valid extension of such time of filing and has filed any such SEC Documents prior to the expiration of any such extension. As of their respective dates, the SEC Documents complied in all material respects with the requirements of the Securities Act and the Exchange Act, as applicable. None of the SEC Documents,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Documents comply in all material respects with applicable accounting requirements and the rules and regulations of the SEC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presented, subject, in the case of unaudited financial statements, to normal, immaterial, year-end audit adjustments. Except as publicly available through the SEC’s Electronic Data Gathering, Analysis, and Retrieval system (EDGAR), the Company has received no notices or correspondence from the SEC for the one year preceding the date hereof other than SEC comment letters relating to the Company’s filings under the Exchange Act and the Securities Act. There are no SEC comments that have not been resolved to the satisfaction of the SEC staff. To the Company’s knowledge, the SEC has not commenced any enforcement proceedings against the Company or any of its Subsidiaries.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56"/>
        <w:spacing w:after="0" w:line="253" w:lineRule="auto"/>
        <w:tabs>
          <w:tab w:leader="none" w:pos="14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Except as disclosed in the SEC Documents, since September 30, 2022, there has been no material adverse change in the business, properties, operations, financial condition or results of operations of the Company or its Subsidiaries. For purposes of this Agreement, neither a decrease in cash or cash equivalents or in the market price of the Common Stock nor losses incurred in the ordinary course of the Company’s business shall be deemed or considered a material adverse changes; provided that the underlying cause of any such decrease or loss may be considered in determining whether a material adverse change has occured. The Company has not taken any steps, and does not currently expect to take any steps, to seek protection pursuant to any Bankruptcy Law nor does the Company or any of its Subsidiaries have any knowledge or reason to believe that its creditors intend to initiate involuntary bankruptcy or insolvency proceedings. The Company is financially solvent and is generally able to pay its debts as they become due. Notwithstanding the foregoing, the Company and the Investor acknowledge that the matters set forth in the explanatory paragraph regarding substantial doubt about the Company’s ability to continue as a going concern in the report of the Company’s independent registered public accounting firm for the year ended December 31, 2021, which shall not be deemed to be a breach of this Section 3(g).</w:t>
      </w:r>
    </w:p>
    <w:p>
      <w:pPr>
        <w:spacing w:after="0" w:line="194" w:lineRule="exact"/>
        <w:rPr>
          <w:rFonts w:ascii="Times New Roman" w:cs="Times New Roman" w:eastAsia="Times New Roman" w:hAnsi="Times New Roman"/>
          <w:sz w:val="18"/>
          <w:szCs w:val="18"/>
          <w:color w:val="auto"/>
        </w:rPr>
      </w:pPr>
    </w:p>
    <w:p>
      <w:pPr>
        <w:jc w:val="both"/>
        <w:ind w:firstLine="656"/>
        <w:spacing w:after="0" w:line="261" w:lineRule="auto"/>
        <w:tabs>
          <w:tab w:leader="none" w:pos="153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Except as disclosed in the SEC Documents filed prior to the date hereof, there is no action, suit, proceeding, inquiry or investigation before or by any court, public board, government agency, self-regulatory organization or body pending or, to the knowledge of the Company or any of its Subsidiaries, threatened against the Company, the Common Stock or any of the Company’s or its Subsidiaries’ officers or directors in their capacities as such, which could reasonably be expected to have a Material Adverse Effect.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56"/>
        <w:spacing w:after="0" w:line="255" w:lineRule="auto"/>
        <w:tabs>
          <w:tab w:leader="none" w:pos="141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Investor’s Status</w:t>
      </w:r>
      <w:r>
        <w:rPr>
          <w:rFonts w:ascii="Times New Roman" w:cs="Times New Roman" w:eastAsia="Times New Roman" w:hAnsi="Times New Roman"/>
          <w:sz w:val="18"/>
          <w:szCs w:val="18"/>
          <w:color w:val="auto"/>
        </w:rPr>
        <w:t>. The Company acknowledges and agrees that the Investor is acting solely in the capacity of arm’s length purchaser with respect to the Transaction Documents and the transactions contemplated hereby and thereby. The Company further acknowledges that the Investor is not acting as a financial advisor or fiduciary of the Company (or in any similar capacity) with respect to the Transaction Documents and the transactions contemplated hereby and thereby and any advice given by the Investor or any of its representatives or agents in connection with the Transaction Documents and the transactions contemplated hereby and thereby is merely incidental to the Investor’s purchase of the Securities. The Company further represents to the Investor that the Company’s decision to enter into the Transaction Documents has been based solely on the independent evaluation by the Company and its representatives and advisors.</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153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Aggregated Offering</w:t>
      </w:r>
      <w:r>
        <w:rPr>
          <w:rFonts w:ascii="Times New Roman" w:cs="Times New Roman" w:eastAsia="Times New Roman" w:hAnsi="Times New Roman"/>
          <w:sz w:val="18"/>
          <w:szCs w:val="18"/>
          <w:color w:val="auto"/>
        </w:rPr>
        <w:t>.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or aggregated with prior offerings by the Company in a manner that would require stockholder approval pursuant to the rules of the Principal Market on which any of the securities of the Company are listed or designated. The issuance and sale of the Commitment Shares hereunder does not, and subject to the terms of this Agreement, the issuance and sale of the additional Purchase Shares will not, contravene the rules and regulations of the Principal Market.</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17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The Company and its Subsidiaries own or possess adequate rights or licenses to use all material trademarks, trade names, service marks, service mark registrations, service names, patents, patent rights, copyrights, inventions, licenses, approvals, governmental authorizations, trade secrets and rights necessary to conduct their respective businesses as now conducted, except as such failure to own, possess or acquire such rights would not reasonably be expected, individually or in the aggregate, to result in a Material Adverse Effect. None of the Company’s material trademarks, trade names, service marks, service mark registrations, service names, patents, patent rights, copyrights, inventions, licenses, approvals, government authorizations, trade secrets or other intellectual property rights have expired or terminated, or, by the terms and conditions thereof, could expire or terminate within two years from the date of this Agreement, except as would not reasonably be expected to have a Material Adverse Effect. Except as set forth in the SEC Documents filed prior to the date hereof, the Company and its Subsidiaries do not have any knowledge of any infringement by the Company or its Subsidiaries of any material trademark, trade name rights, patents, patent rights, copyrights, inventions, licenses, service names, service marks, service mark registrations, trade secret or other similar rights of others, or of any such development of similar or identical trade secrets or technical information by others, and there is no claim, action or proceeding that has been brought against, or to the Company’s knowledge, being threatened against, the Company or its Subsidiaries regarding trademark, trade name, patents, patent rights, invention, copyright, license, service names, service marks, service mark registrations, trade secret or other infringement, which could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139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To the Company’s knowledge,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in each of the three foregoing clauses, the failure to so comply could not reasonably be expected to have, individually or in the aggregate, a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56"/>
        <w:spacing w:after="0" w:line="253" w:lineRule="auto"/>
        <w:tabs>
          <w:tab w:leader="none" w:pos="167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Except as set forth in the SEC Documents filed prior to the date hereof, the Company and its Subsidiaries have good and marketable title in fee simple to all real property owned by them and good and marketable title in all personal property owned by them that is material to the business of the Company and its Subsidiaries, taken as a whole, in each case free and clear of all liens, encumbrances and defects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and, except for Liens as do not materially affect the value of such property and do not materially interfere with the use made and proposed to be made of such property by the Company and its Subsidiaries and Liens for the payment of federal, state or other taxes, the payment of which is neither delinquent nor subject to penalties, and Liens that would not reasonably be expected, individually or in the aggregate, to result in a Material Adverse Effect. Any real property and facilities held under lease by the Company and its Subsidiaries are held by them under valid, subsisting and enforceable leases with which the Company and its Subsidiaries are in compliance with such exceptions as are not material and do not interfere with the use made and proposed to be made of such property and buildings by the Company and its Subsidiaries, taken as a whole, except for such interference which would not reasonably be expected to have a Material Adverse Effect.</w:t>
      </w:r>
    </w:p>
    <w:p>
      <w:pPr>
        <w:spacing w:after="0" w:line="194" w:lineRule="exact"/>
        <w:rPr>
          <w:rFonts w:ascii="Times New Roman" w:cs="Times New Roman" w:eastAsia="Times New Roman" w:hAnsi="Times New Roman"/>
          <w:sz w:val="18"/>
          <w:szCs w:val="18"/>
          <w:color w:val="auto"/>
        </w:rPr>
      </w:pPr>
    </w:p>
    <w:p>
      <w:pPr>
        <w:jc w:val="both"/>
        <w:ind w:firstLine="656"/>
        <w:spacing w:after="0" w:line="255" w:lineRule="auto"/>
        <w:tabs>
          <w:tab w:leader="none" w:pos="14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(including in respect of directors and officers liability insurance).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materially and adversely affect the condition, financial or otherwise, or the earnings, business or operations of the Company and its Subsidiaries, taken as a whole.</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Except as disclosed in the SEC Documents filed prior to the date hereof, the Company and its Subsidiaries possess all material certificates, authorizations and permits issued by the appropriate federal, state or foreign regulatory authorities necessary to conduct their respective businesses as currently conducted, except where the failure to possess such certificates, authorizations or permits would not reasonably be expected to have a Material Adverse Effect, and neither the Company nor any such Subsidiary has received any written notice of proceedings relating to the revocation or modification of any such material certificate, authorization or permit.</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is not in violation of any Applicable Law, except as would not reasonably be expected to have a Material Adverse Effect.</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143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The Company and each of its Subsidiaries has made or filed all federal, state, local or foreign income and all other material tax returns, reports and declarations required by any jurisdiction to which it is subject or otherwise filed timely extensions (unless and only to the extent that the Company and each of its Subsidiaries has set aside on its books provisions reasonably adequate for the payment of all unpaid and unreported taxes) and has paid all taxes and other governmental assessments and charges that are material in amount, shown or determined to be due on such returns, reports and declarations, except those being contested in good faith and has set aside on its books provision reasonably adequate for the payment of all taxes for periods subsequent to the periods to which such returns, reports or declarations apply, and except as would not reasonably be expected to have a Material Adverse Effect. To the Company’s knowledge, there are no unpaid taxes in any material amount claimed to be due by the taxing authority of any jurisdiction.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56"/>
        <w:spacing w:after="0" w:line="261" w:lineRule="auto"/>
        <w:tabs>
          <w:tab w:leader="none" w:pos="16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Except as disclosed in the SEC Documents filed prior to the date hereof, none of the Company’s stockholders, officers or directors or any family member or affiliate of any of the foregoing, has either directly or indirectly an interest in, or is a party to, any transaction that would be required to be disclosed as a related party transaction pursuant to Item 404 of Regulation S-K promulgated under the Securities Act.</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4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its board of directors have taken or will take prior to the Commencement Date all necessary action, if any, in order to render inapplicable any control share acquisition, business combination, poison pill (including any distribution under a rights agreement) or other similar anti-takeover provision under the Charter or the laws of the state of its incorporation which is or could become applicable to the Investor as a result of the transactions contemplated by this Agreement, including, without limitation, the Company’s issuance of the Securities and the Investor’s ownership of the Securities.</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141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Except with respect to the material terms and conditions of the transactions contemplated by the Transaction Documents or any other agreements to be entered into by the Company and the Investor that, in each case, which shall be timely publicly disclosed by the Company, the Company confirms that neither it nor any other Person acting on its behalf has provided the Investor or its agents or counsel with any information that the Company believes constitutes or would reasonably constitute material, non-public information which is not otherwise disclosed in the Registration Statement or the SEC Documents filed prior to the date hereof. The Company understands and confirms that the Investor will rely on the foregoing representation in effecting purchases and sales of securities of the Company. All of the disclosure furnished by or on behalf of the Company to the Investor regarding the Company, its business and the transactions contemplated hereby, including the disclosure schedules to this Agreement, taken as a whole is true and correct in all material respects and does not contain any untrue statement of a material fact or omit to state any material fact necessary in order to make the statements made therein, in light of the circumstances under which they were made, not misleading. The press releases disseminated by the Company during the twelve (12)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when made, not misleading. The Company acknowledges and agrees that the Investor neither makes nor has made any representations or warranties with respect to the transactions contemplated hereby other than those specifically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w:t>
      </w:r>
    </w:p>
    <w:p>
      <w:pPr>
        <w:spacing w:after="0" w:line="187" w:lineRule="exact"/>
        <w:rPr>
          <w:rFonts w:ascii="Times New Roman" w:cs="Times New Roman" w:eastAsia="Times New Roman" w:hAnsi="Times New Roman"/>
          <w:sz w:val="18"/>
          <w:szCs w:val="18"/>
          <w:color w:val="auto"/>
        </w:rPr>
      </w:pPr>
    </w:p>
    <w:p>
      <w:pPr>
        <w:jc w:val="both"/>
        <w:ind w:firstLine="656"/>
        <w:spacing w:after="0" w:line="251" w:lineRule="auto"/>
        <w:tabs>
          <w:tab w:leader="none" w:pos="155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of its Subsidiaries nor, to the knowledge of the Company, any director or officer, nor any agent, employee or affiliate of the Company or any Subsidiary is aware of or has taken any action, directly or indirectly, that would result in a violation by such persons of the Foreign Corrupt Practices Act of 1977, as amended, and the rules and regulations thereunder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each of its Subsidiaries and, to the knowledge of the Company, its affiliates have conducted their businesses in compliance with the FCPA and have instituted and maintain policies and procedures reasonably designed to ensure, and which are reasonably expected to continue to ensure, continued compliance therewith. The operations of the Company and each of its Subsidiaries are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applicable governmental agency, including, without limitation, Title 18 U.S. Code section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(collectively, the "</w:t>
      </w:r>
      <w:r>
        <w:rPr>
          <w:rFonts w:ascii="Times New Roman" w:cs="Times New Roman" w:eastAsia="Times New Roman" w:hAnsi="Times New Roman"/>
          <w:sz w:val="18"/>
          <w:szCs w:val="18"/>
          <w:u w:val="single" w:color="auto"/>
          <w:color w:val="auto"/>
        </w:rPr>
        <w:t>Money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 Neither the Company nor any of its Subsidiaries, nor to the knowledge of the Company any of the directors, officers or employees, agents, affiliates or representatives of the Company or each of its Subsidiaries, is an individual or entity that is, or is owned or controlled by an individual or entity that is: (i) the subject of any sanctions administered or enforced by the U.S. Department of Treasury’s Office of Foreign Assets Control, the United Nations Security Council, the European Union, Her Majesty’s Treasury,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nor (ii) located, organized or resident in a country or territory that is the subject of Sanctions (including, without limitation, the Balkans, Belarus, Burma/Myanmar, Cote D’Ivoire, Cuba, Democratic Republic of Congo, Iran, Iraq, Liberia, Libya, North Korea, Russia, Sudan, Syria, Venezuela and Zimbabwe). Neither the Company nor any of its Subsidiaries will, directly or indirectly, use the proceeds of the transactions contemplated hereby, or lend, contribute or otherwise make available such proceeds to any subsidiary, joint venture partner or other individual or entity: (i) to fund or facilitate any activities or business of or with any individual or entity or in any country or territory that, at the time of such funding or facilitation, is the subject of Sanctions or (ii) in any other manner that will result in a violation of Sanctions by any individual or entity (including any individual or entity participating in the transactions contemplated hereby, whether as underwriter, advisor, investor or otherwise). For the past five years, neither the Company nor any of its Subsidiaries has knowingly engaged in, and is not now knowingly engaged in, any dealings or transactions with any individual or entity, or in any country or territory, that at the time of the dealing or transaction is or was the subject of Sanctions.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656"/>
        <w:spacing w:after="0" w:line="261" w:lineRule="auto"/>
        <w:tabs>
          <w:tab w:leader="none" w:pos="16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DTC Eligibility</w:t>
      </w:r>
      <w:r>
        <w:rPr>
          <w:rFonts w:ascii="Times New Roman" w:cs="Times New Roman" w:eastAsia="Times New Roman" w:hAnsi="Times New Roman"/>
          <w:sz w:val="18"/>
          <w:szCs w:val="18"/>
          <w:color w:val="auto"/>
        </w:rPr>
        <w:t>. The Company, through the Transfer Agent, currently participates in the DTC Fast Automated Securities Transfer (FAST) Program and the Common Stock can be transferred electronically to third parties via the DTC Fast Automated Securities Transfer (FAST) Program. The Common Stock is not subject to any DTC “chill,” freeze or similar restriction with respect to any DTC services, including the clearing of shares of Common Stock through DTC.</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43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w:t>
      </w:r>
      <w:r>
        <w:rPr>
          <w:rFonts w:ascii="Times New Roman" w:cs="Times New Roman" w:eastAsia="Times New Roman" w:hAnsi="Times New Roman"/>
          <w:sz w:val="18"/>
          <w:szCs w:val="18"/>
          <w:color w:val="auto"/>
        </w:rPr>
        <w:t>. The Company is in material compliance with all provisions of the Sarbanes-Oxley Act of 2002, as amended, which are applicable to it as of the date 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4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xml:space="preserve">. No brokerage or finder’s fees or commissions are or will be payable by the Company to any broker, financial advisor or consultant, finder, placement agent, investment banker, bank or other Person with respect to the transactions contemplated by the Transaction Documents. The Investor shall have no obligation with respect to any fees or with respect to any claims made by or on behalf of other Persons for fees of a type contemplated in this </w:t>
      </w:r>
      <w:r>
        <w:rPr>
          <w:rFonts w:ascii="Times New Roman" w:cs="Times New Roman" w:eastAsia="Times New Roman" w:hAnsi="Times New Roman"/>
          <w:sz w:val="18"/>
          <w:szCs w:val="18"/>
          <w:u w:val="single" w:color="auto"/>
          <w:color w:val="auto"/>
        </w:rPr>
        <w:t>Section 4(x)</w:t>
      </w:r>
      <w:r>
        <w:rPr>
          <w:rFonts w:ascii="Times New Roman" w:cs="Times New Roman" w:eastAsia="Times New Roman" w:hAnsi="Times New Roman"/>
          <w:sz w:val="18"/>
          <w:szCs w:val="18"/>
          <w:color w:val="auto"/>
        </w:rPr>
        <w:t xml:space="preserve"> that may be due in connection with the transactions contemplated by the Transaction Documents.</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45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required to be registered as, and immediately after receipt of any payment for the Purchase Shares will not be required to be registered as, an "investment company" within the meaning of the Investment Company Act of 1940, as amended.</w:t>
      </w:r>
    </w:p>
    <w:p>
      <w:pPr>
        <w:spacing w:after="0" w:line="377" w:lineRule="exact"/>
        <w:rPr>
          <w:rFonts w:ascii="Times New Roman" w:cs="Times New Roman" w:eastAsia="Times New Roman" w:hAnsi="Times New Roman"/>
          <w:sz w:val="18"/>
          <w:szCs w:val="18"/>
          <w:color w:val="auto"/>
        </w:rPr>
      </w:pPr>
    </w:p>
    <w:p>
      <w:pPr>
        <w:jc w:val="both"/>
        <w:ind w:firstLine="656"/>
        <w:spacing w:after="0" w:line="254" w:lineRule="auto"/>
        <w:tabs>
          <w:tab w:leader="none" w:pos="160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of the Exchange Act, and the Company has taken no action designed to, or which to its knowledge is likely to have the effect of, terminating the registration of the Common Stock pursuant to the Exchange Act nor has the Company received any notification that the SEC is currently contemplating terminating such registration. The Company has filed with The Nasdaq Stock Market a Notification Form: Listing of Additional Shares for the listing of the Securities. The Company has taken no action designed to, or likely to have the effect of, delisting the Common Stock from the Principal Market, nor has the Company received any notice from any Person to the effect that the Company is not in compliance with the listing or maintenance requirements of the Principal Market, except as disclosed in the SEC Documents filed prior the date hereof. The Company is, and has no reason to believe that it will not in the foreseeable future continue to be, in compliance with all such listing and maintenance requirements, except as disclosed in the SEC Documents filed prior to the date 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right="20" w:firstLine="656"/>
        <w:spacing w:after="0" w:line="282" w:lineRule="auto"/>
        <w:tabs>
          <w:tab w:leader="none" w:pos="119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accountants are set forth in the SEC Documents and, to the knowledge of the Company, such accountants are an independent registered public accounting firm as required by the Securities Act.</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25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Market Manipulation</w:t>
      </w:r>
      <w:r>
        <w:rPr>
          <w:rFonts w:ascii="Times New Roman" w:cs="Times New Roman" w:eastAsia="Times New Roman" w:hAnsi="Times New Roman"/>
          <w:sz w:val="18"/>
          <w:szCs w:val="18"/>
          <w:color w:val="auto"/>
        </w:rPr>
        <w:t>. The Company has not, and to its knowledge no Person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in connection with the transactions contemplated in this Agreement.</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26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Shell Company Status</w:t>
      </w:r>
      <w:r>
        <w:rPr>
          <w:rFonts w:ascii="Times New Roman" w:cs="Times New Roman" w:eastAsia="Times New Roman" w:hAnsi="Times New Roman"/>
          <w:sz w:val="18"/>
          <w:szCs w:val="18"/>
          <w:color w:val="auto"/>
        </w:rPr>
        <w:t>. The Company is not, and has never been, an issuer identified in Rule 144(i)(1) under the Securities Act and has filed with the SEC current "Form 10 information" (as defined in Rule 144(i)(3) under the Securities Act) at least 12 calendar months prior to the date of this Agreement reflecting its status as an entity that is not an issuer identified in Rule 144(i)(1)(i) under the Securities Act.</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132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None of the Company, any of its predecessors, any affiliated issuer, any director, executive officer, other officer of the Company participating in the offering contemplated hereby,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w:t>
      </w:r>
    </w:p>
    <w:p>
      <w:pPr>
        <w:spacing w:after="0" w:line="3" w:lineRule="exact"/>
        <w:rPr>
          <w:rFonts w:ascii="Times New Roman" w:cs="Times New Roman" w:eastAsia="Times New Roman" w:hAnsi="Times New Roman"/>
          <w:sz w:val="18"/>
          <w:szCs w:val="18"/>
          <w:color w:val="auto"/>
        </w:rPr>
      </w:pPr>
    </w:p>
    <w:p>
      <w:pPr>
        <w:ind w:firstLine="8"/>
        <w:spacing w:after="0" w:line="260" w:lineRule="auto"/>
        <w:tabs>
          <w:tab w:leader="none" w:pos="26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 The Company has exercised reasonable care to determine whether any Issuer Covered Person is subject to a Disqualification Event.</w:t>
      </w:r>
    </w:p>
    <w:p>
      <w:pPr>
        <w:spacing w:after="0" w:line="18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7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Schedules</w:t>
      </w:r>
      <w:r>
        <w:rPr>
          <w:rFonts w:ascii="Times New Roman" w:cs="Times New Roman" w:eastAsia="Times New Roman" w:hAnsi="Times New Roman"/>
          <w:sz w:val="18"/>
          <w:szCs w:val="18"/>
          <w:color w:val="auto"/>
        </w:rPr>
        <w:t>. In the event that on the date hereof, or the Commencement Date, the Company does not deliver any disclosure schedule contemplated by this Agreement, the Company hereby acknowledges and agrees that each such undelivered disclosure schedule shall be deemed to read as follows: "Nothing to Disclose."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left="1300" w:hanging="644"/>
        <w:spacing w:after="0"/>
        <w:tabs>
          <w:tab w:leader="none" w:pos="13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jc w:val="both"/>
        <w:ind w:firstLine="656"/>
        <w:spacing w:after="0" w:line="252" w:lineRule="auto"/>
        <w:tabs>
          <w:tab w:leader="none" w:pos="150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of Current Report and Registration Statement</w:t>
      </w:r>
      <w:r>
        <w:rPr>
          <w:rFonts w:ascii="Times New Roman" w:cs="Times New Roman" w:eastAsia="Times New Roman" w:hAnsi="Times New Roman"/>
          <w:sz w:val="18"/>
          <w:szCs w:val="18"/>
          <w:color w:val="auto"/>
        </w:rPr>
        <w:t>. The Company agrees that it shall, within the time required under the Exchange Act, file with the SEC a report on Form 8-K relating to the transactions contemplated by, and describing the material terms and conditions of, the Transaction Documents (the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The Company shall also file with the SEC, as soon as practicable, and in any event within twenty (20) Business Days of the date of this Agreement, a Registration Statement on Form S-1 covering the resale of the Purchase Shares and all of the Commitment Shares in accordance with the terms of the Registration Rights Agreement. The Company shall permit the Investor to review and comment upon the final pre-filing draft version of each of the Current Report and the Registration Statement at least two (2) Business Days prior to their respective filing with the SEC and, with respect to information regarding the Investor or the transaction contemplated hereby, the Company shall not file the Current Report or the Registration Statement with the SEC in a form to which the Investor reasonably objects. The Investor shall use its reasonable best efforts to comment upon the final pre-filing draft version of the Current Report and the Registration Statement within one (1) Business Day from the date the Investor receives a substantially complete draft thereof from the Company. The Investor shall furnish to the Company such information regarding itself, the Securities held by it and the intended method of distribution thereof, including any arrangement between the Investor and any other Person relating to the sale or distribution of the Securities, as shall be reasonably requested by the Company in connection with the preparation and filing of the Current Report and the Registration Statement, and shall otherwise cooperate with the Company as reasonably requested by the Company in connection with the preparation and filing of the Current Report and the Registration Statement with the SEC.</w:t>
      </w:r>
    </w:p>
    <w:p>
      <w:pPr>
        <w:spacing w:after="0" w:line="197" w:lineRule="exact"/>
        <w:rPr>
          <w:rFonts w:ascii="Times New Roman" w:cs="Times New Roman" w:eastAsia="Times New Roman" w:hAnsi="Times New Roman"/>
          <w:sz w:val="18"/>
          <w:szCs w:val="18"/>
          <w:color w:val="auto"/>
        </w:rPr>
      </w:pPr>
    </w:p>
    <w:p>
      <w:pPr>
        <w:jc w:val="both"/>
        <w:ind w:firstLine="656"/>
        <w:spacing w:after="0" w:line="261" w:lineRule="auto"/>
        <w:tabs>
          <w:tab w:leader="none" w:pos="141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w:t>
      </w:r>
      <w:r>
        <w:rPr>
          <w:rFonts w:ascii="Times New Roman" w:cs="Times New Roman" w:eastAsia="Times New Roman" w:hAnsi="Times New Roman"/>
          <w:sz w:val="18"/>
          <w:szCs w:val="18"/>
          <w:color w:val="auto"/>
        </w:rPr>
        <w:t>. The Company shall take all such action, if any, as is reasonably necessary in order to obtain an exemption for or to register or qualify (i) the issuance and the sale of the Securities to the Investor under this Agreement and (ii) any subsequent resale of all Commitment Shares and all Purchase Shares by the Investor, in each case, under applicable securities or "Blue Sky" laws of the states of the United States in such states as is reasonably requested by the Investor from time to time, and shall provide evidence of any such action so taken to the Investor.</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144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Listing/DTC</w:t>
      </w:r>
      <w:r>
        <w:rPr>
          <w:rFonts w:ascii="Times New Roman" w:cs="Times New Roman" w:eastAsia="Times New Roman" w:hAnsi="Times New Roman"/>
          <w:sz w:val="18"/>
          <w:szCs w:val="18"/>
          <w:color w:val="auto"/>
        </w:rPr>
        <w:t xml:space="preserve">. The Company shall use commercially reasonable efforts to maintain, so long as any shares of Common Stock shall be so listed, such listing of all Purchase Shares and Commitment Shares from time to time issuable hereunder. The Company shall use commercially reasonable efforts to maintain the listing of the Common Stock on the Principal Market and shall use commercially reasonable efforts to comply in all respects with the Company’s reporting, filing and other obligations under the Exchange Act, or rules and regulations of the Principal Market. The Company shall not take any action that would reasonably be expected to result in the delisting or suspension of the Common Stock on the Principal Market. The Company shall promptly, and in no event later than the following Business Day, provide to the Investor copies of any notices it receives from any Person regarding the continued eligibility of the Common Stock for listing on the Principal Market; provided, however, that the Company shall not be required to provide the Investor copies of any such notice that the Company reasonably believes constitutes material non-public information that the Company would not be required to contemporaneously publicly disclose in any report or statement filed with the SEC under the Exchange Act or the Securities Act. The Company shall pay all fees and expenses in connection with satisfying its obligations under this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 The Company shall take all commercially reasonable action necessary to ensure that its Common Stock can be transferred electronically as DWAC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both"/>
        <w:ind w:firstLine="656"/>
        <w:spacing w:after="0" w:line="258" w:lineRule="auto"/>
        <w:tabs>
          <w:tab w:leader="none" w:pos="146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Prohibition of Short Sales and Hedging Transactions</w:t>
      </w:r>
      <w:r>
        <w:rPr>
          <w:rFonts w:ascii="Times New Roman" w:cs="Times New Roman" w:eastAsia="Times New Roman" w:hAnsi="Times New Roman"/>
          <w:sz w:val="18"/>
          <w:szCs w:val="18"/>
          <w:color w:val="auto"/>
        </w:rPr>
        <w:t>. The Investor agrees that beginning on the date of this Agreement and ending on the date of termination of this Agreement as provided in Section 11, the Investor and its agents (in their capacities as such), representatives (in their capacities as such) and affiliates shall not in any manner whatsoever enter into or effect, directly or indirectly, any (i) "short sale" (as such term is defined in Rule 200 of Regulation SHO of the Exchange Act) of the Common Stock or (ii) hedging transaction, which establishes a net short position with respect to the Common Stock.</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140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Commitment Shares</w:t>
      </w:r>
      <w:r>
        <w:rPr>
          <w:rFonts w:ascii="Times New Roman" w:cs="Times New Roman" w:eastAsia="Times New Roman" w:hAnsi="Times New Roman"/>
          <w:sz w:val="18"/>
          <w:szCs w:val="18"/>
          <w:color w:val="auto"/>
        </w:rPr>
        <w:t>. In consideration for the Investor’s execution and delivery of this Agreement, the Company shall cause the Transfer Agent to issue on the date of this Agreement 1,804,098 shares of Common Stock (to be appropriately adjusted for any reorganization, recapitalization, non-cash dividend, stock split, reverse stock split or other similar transaction) (the "</w:t>
      </w:r>
      <w:r>
        <w:rPr>
          <w:rFonts w:ascii="Times New Roman" w:cs="Times New Roman" w:eastAsia="Times New Roman" w:hAnsi="Times New Roman"/>
          <w:sz w:val="18"/>
          <w:szCs w:val="18"/>
          <w:u w:val="single" w:color="auto"/>
          <w:color w:val="auto"/>
        </w:rPr>
        <w:t>Commitment Shares</w:t>
      </w:r>
      <w:r>
        <w:rPr>
          <w:rFonts w:ascii="Times New Roman" w:cs="Times New Roman" w:eastAsia="Times New Roman" w:hAnsi="Times New Roman"/>
          <w:sz w:val="18"/>
          <w:szCs w:val="18"/>
          <w:color w:val="auto"/>
        </w:rPr>
        <w:t xml:space="preserve">") directly to the Investor in accordance with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hereto and the Irrevocable Transfer Agent Instructions. For the avoidance of doubt, all of the Commitment Shares shall be fully earned as of the date of this Agreement, whether or not the Commencement shall occur or any Purchase Shares are purchased by the Investor under this Agreement and irrespective of any termination of this Agreement.</w:t>
      </w:r>
    </w:p>
    <w:p>
      <w:pPr>
        <w:spacing w:after="0" w:line="187" w:lineRule="exact"/>
        <w:rPr>
          <w:rFonts w:ascii="Times New Roman" w:cs="Times New Roman" w:eastAsia="Times New Roman" w:hAnsi="Times New Roman"/>
          <w:sz w:val="18"/>
          <w:szCs w:val="18"/>
          <w:color w:val="auto"/>
        </w:rPr>
      </w:pPr>
    </w:p>
    <w:p>
      <w:pPr>
        <w:jc w:val="both"/>
        <w:ind w:firstLine="656"/>
        <w:spacing w:after="0" w:line="251" w:lineRule="auto"/>
        <w:tabs>
          <w:tab w:leader="none" w:pos="144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Non-Public Information</w:t>
      </w:r>
      <w:r>
        <w:rPr>
          <w:rFonts w:ascii="Times New Roman" w:cs="Times New Roman" w:eastAsia="Times New Roman" w:hAnsi="Times New Roman"/>
          <w:sz w:val="18"/>
          <w:szCs w:val="18"/>
          <w:color w:val="auto"/>
        </w:rPr>
        <w:t xml:space="preserve">. During the term of this Agreement, the Investor shall have the right, from time to time as the Investor may reasonably deem appropriate, and upon reasonable advance notice to the Company, to perform reasonable due diligence on the Company during normal business hours. The Company and its officers and employees shall provide material information and reasonably cooperate with the Investor in connection with any reasonable request by the Investor related to the Investor’s due diligence of the Company. Each party hereto agrees not to disclose any Confidential Information of the other party to any third party and shall not use the Confidential Information for any purpose other than in connection with, or in furtherance of, the transactions contemplated hereby. Each party hereto acknowledges that the Confidential Information shall remain the property of the disclosing party and agrees that it shall take all reasonable measures to protect the secrecy of any Confidential Information disclosed by the other party. The receiving party may disclose Confidential Information to the extent such information is required to be disclosed by law, regulation or order of a court of competent jurisdiction or regulatory authority, provided that the receiving party shall promptly notify the disclosing party when such requirement to disclose arises, and shall cooperate with the disclosing party so as to enable the disclosing party to: (i) seek an appropriate protective order; and (ii) make any applicable claim of confidentiality in respect of such Confidential Information; and provided, further, that the receiving party shall disclose Confidential Information only to the extent required by the protective order or other similar order, if such an order is obtained, and, if no such order is obtained, the receiving party shall disclose only the minimum amount of such Confidential Information required to be disclosed in order to comply with the applicable law, regulation or order. In addition, any such Confidential Information disclosed pursuant to this section shall continue to be deemed Confidential Information. Notwithstanding anything in this Agreement to the contrary, (x) the Company shall not be obligated to provide the Investor with any information that constitutes or may reasonably be considered to constitute material, non-public information pursuant to a request for information hereunder, and (y) the Company and the Investor agree that (A) neither the Company nor any other Person acting on its behalf shall provide the Investor or its agents or counsel with any information that constitutes or may reasonably be considered to constitute material, non-public information, unless a simultaneous public announcement thereof is made by the Company in the manner contemplated by Regulation FD, and (B) in the event the Company believes that a notice or communication to the Investor or any of its affiliates, attorneys, agents or representatives pursuant to this Agreement or any other Transaction Document contains any material, nonpublic information, the Company shall so indicate to the Investor prior to delivery of such notice or communication, and such indication shall provide the Investor the means to refuse to receive such notice or communication; and in the absence of any such indication, the Investor and its affiliates, agents and representatives shall be allowed to presume that all matters relating to such notice or communication do not constitute material, non-public information. In the event of any breach of the foregoing covenants by the Company or any Person acting on its behalf (as determined in the reasonable good faith judgment of the Investor), in addition to any other remedy provided herein or in the other Transaction Documents, if the Investor is holding any Securities at the time of the disclosure of such material non-public information, the Investor shall have the right to make a public disclosure, in the form of a press release, public advertisement or otherwise, of such material, non-public information without the prior approval by the Company; provided the Investor shall have first provided notice to the Company that it believes it has received information that constitutes material, non-public information; and the Company shall have at least two Business Days from such notice to either publicly disclose such material, non-public information or to demonstrate to the Investor that such information does not constitute material, non-public information, and (assuming the Investor and Investor’s counsel disagree in their reasonable good faith judgment with the Company’s determination) prior to any such disclosure by the Investor; and the Company shall have failed to publicly disclose such material, non-public information. The Investor shall not have any liability to the Company, any of its Subsidiaries, or any of their respective directors, officers, employees, stockholders or agents, for any such disclosure in accordance with this </w:t>
      </w:r>
      <w:r>
        <w:rPr>
          <w:rFonts w:ascii="Times New Roman" w:cs="Times New Roman" w:eastAsia="Times New Roman" w:hAnsi="Times New Roman"/>
          <w:sz w:val="18"/>
          <w:szCs w:val="18"/>
          <w:u w:val="single" w:color="auto"/>
          <w:color w:val="auto"/>
        </w:rPr>
        <w:t>Section 5(f)</w:t>
      </w:r>
      <w:r>
        <w:rPr>
          <w:rFonts w:ascii="Times New Roman" w:cs="Times New Roman" w:eastAsia="Times New Roman" w:hAnsi="Times New Roman"/>
          <w:sz w:val="18"/>
          <w:szCs w:val="18"/>
          <w:color w:val="auto"/>
        </w:rPr>
        <w:t xml:space="preserve">. The Company understands and confirms that the Investor shall be relying on the foregoing covenants in effecting transactions in securities of the Company. The Company hereby acknowledges and agrees that, notwithstanding the provisions of this </w:t>
      </w:r>
      <w:r>
        <w:rPr>
          <w:rFonts w:ascii="Times New Roman" w:cs="Times New Roman" w:eastAsia="Times New Roman" w:hAnsi="Times New Roman"/>
          <w:sz w:val="18"/>
          <w:szCs w:val="18"/>
          <w:u w:val="single" w:color="auto"/>
          <w:color w:val="auto"/>
        </w:rPr>
        <w:t>Section 5(f)</w:t>
      </w:r>
      <w:r>
        <w:rPr>
          <w:rFonts w:ascii="Times New Roman" w:cs="Times New Roman" w:eastAsia="Times New Roman" w:hAnsi="Times New Roman"/>
          <w:sz w:val="18"/>
          <w:szCs w:val="18"/>
          <w:color w:val="auto"/>
        </w:rPr>
        <w:t xml:space="preserve">, if there is a breach or violation of any representation, covenant, provision or agreement of the Company set forth in this </w:t>
      </w:r>
      <w:r>
        <w:rPr>
          <w:rFonts w:ascii="Times New Roman" w:cs="Times New Roman" w:eastAsia="Times New Roman" w:hAnsi="Times New Roman"/>
          <w:sz w:val="18"/>
          <w:szCs w:val="18"/>
          <w:u w:val="single" w:color="auto"/>
          <w:color w:val="auto"/>
        </w:rPr>
        <w:t>Section 5(f)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resulting in the Investor obtaining or otherwise possessing material nonpublic information, neither the Investor nor any of the Investor’s affiliates, attorneys, agents or representatives shall have any duty of trust or confidence (including any obligation under any confidentiality or non-disclosure agreement entered into by the Investor with the Company) with respect to, or obligation not to trade in any securities while aware of, such material nonpublic information.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56"/>
        <w:spacing w:after="0" w:line="266" w:lineRule="auto"/>
        <w:tabs>
          <w:tab w:leader="none" w:pos="149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Records</w:t>
      </w:r>
      <w:r>
        <w:rPr>
          <w:rFonts w:ascii="Times New Roman" w:cs="Times New Roman" w:eastAsia="Times New Roman" w:hAnsi="Times New Roman"/>
          <w:sz w:val="18"/>
          <w:szCs w:val="18"/>
          <w:color w:val="auto"/>
        </w:rPr>
        <w:t>. The Investor and the Company shall each maintain records showing the remaining Available Amount at any given time and the dates and Purchase Amounts for each Regular Purchase, Accelerated Purchase and Additional Accelerated Purchase or shall use such other method, reasonably satisfactory to the Investor and the Company.</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41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The Company shall pay any and all transfer, stamp or similar taxes that may be payable with respect to the issuance and delivery of any shares of Common Stock to the Investor made under this Agreement.</w:t>
      </w:r>
    </w:p>
    <w:p>
      <w:pPr>
        <w:spacing w:after="0" w:line="161" w:lineRule="exact"/>
        <w:rPr>
          <w:rFonts w:ascii="Times New Roman" w:cs="Times New Roman" w:eastAsia="Times New Roman" w:hAnsi="Times New Roman"/>
          <w:sz w:val="18"/>
          <w:szCs w:val="18"/>
          <w:color w:val="auto"/>
        </w:rPr>
      </w:pPr>
    </w:p>
    <w:p>
      <w:pPr>
        <w:ind w:left="1560" w:hanging="904"/>
        <w:spacing w:after="0"/>
        <w:tabs>
          <w:tab w:leader="none" w:pos="1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net proceeds from the offering for any corporate purpose at the sole discretion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jc w:val="both"/>
        <w:ind w:firstLine="656"/>
        <w:spacing w:after="0" w:line="261" w:lineRule="auto"/>
        <w:tabs>
          <w:tab w:leader="none" w:pos="13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Transactions</w:t>
      </w:r>
      <w:r>
        <w:rPr>
          <w:rFonts w:ascii="Times New Roman" w:cs="Times New Roman" w:eastAsia="Times New Roman" w:hAnsi="Times New Roman"/>
          <w:sz w:val="18"/>
          <w:szCs w:val="18"/>
          <w:color w:val="auto"/>
        </w:rPr>
        <w:t>. The Company shall not enter into, announce or recommend to its stockholders any agreement, plan, arrangement or transaction in or of which the terms thereof would restrict, materially delay, conflict with or impair the ability or right of the Company to perform its obligations under the Transaction Documents, including, without limitation, the obligation of the Company to deliver the Commitment Shares to the Investor in accordance with the terms of the Transaction Documents.</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47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Aggregation</w:t>
      </w:r>
      <w:r>
        <w:rPr>
          <w:rFonts w:ascii="Times New Roman" w:cs="Times New Roman" w:eastAsia="Times New Roman" w:hAnsi="Times New Roman"/>
          <w:sz w:val="18"/>
          <w:szCs w:val="18"/>
          <w:color w:val="auto"/>
        </w:rPr>
        <w:t>. From and after the date of this Agreement, neither the Company, nor or any of its affiliates will, and the Company shall use its reasonable best efforts to ensure that no Person acting on their behalf will, directly or indirectly, make any offers or sales of any security or solicit any offers to buy any security, under circumstances that would cause this offering of the Securities by the Company to the Investor to be aggregated with other offerings by the Company in a manner that would require stockholder approval pursuant to the rules of the Principal Market on which any of the securities of the Company are listed or designated, unless stockholder approval is obtained before the closing of such subsequent transaction in accordance with the rules of such Principal Market.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656"/>
        <w:spacing w:after="0" w:line="255" w:lineRule="auto"/>
        <w:tabs>
          <w:tab w:leader="none" w:pos="157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Variable Rate Transactions.</w:t>
      </w:r>
      <w:r>
        <w:rPr>
          <w:rFonts w:ascii="Times New Roman" w:cs="Times New Roman" w:eastAsia="Times New Roman" w:hAnsi="Times New Roman"/>
          <w:sz w:val="18"/>
          <w:szCs w:val="18"/>
          <w:color w:val="auto"/>
        </w:rPr>
        <w:t xml:space="preserve"> From and after the date of this Agreement and for a period of twenty-four (24) months thereafter, the Company shall be prohibited from effecting or entering into an agreement to effect any issuance by the Company or any of its Subsidiaries of Common Stock involving a Variable Rate Transaction other than with the Investor.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includes, without limitation, an "equity line of credit" or any similar transaction whereby an investor is irrevocably bound to purchase securities over a period of time from the Company at a price based on the market price of the Company’s Common Stock at the time of each such purchase; provided, however, that this Section 5(l) shall not be deemed to prohibit the issuance and sale of Common Stock pursuant to an "at-the-market offering" by the Company exclusively through a registered broker-dealer acting as agent of the Company pursuant to a written agreement between the Company and such registered broker-dealer.</w:t>
      </w:r>
    </w:p>
    <w:p>
      <w:pPr>
        <w:spacing w:after="0" w:line="185" w:lineRule="exact"/>
        <w:rPr>
          <w:sz w:val="20"/>
          <w:szCs w:val="20"/>
          <w:color w:val="auto"/>
        </w:rPr>
      </w:pPr>
    </w:p>
    <w:p>
      <w:pPr>
        <w:ind w:left="1300" w:hanging="644"/>
        <w:spacing w:after="0"/>
        <w:tabs>
          <w:tab w:leader="none" w:pos="1300"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AGENT INSTRUCTIONS.</w:t>
      </w:r>
    </w:p>
    <w:p>
      <w:pPr>
        <w:spacing w:after="0" w:line="229" w:lineRule="exact"/>
        <w:rPr>
          <w:rFonts w:ascii="Times New Roman" w:cs="Times New Roman" w:eastAsia="Times New Roman" w:hAnsi="Times New Roman"/>
          <w:sz w:val="18"/>
          <w:szCs w:val="18"/>
          <w:b w:val="1"/>
          <w:bCs w:val="1"/>
          <w:color w:val="auto"/>
        </w:rPr>
      </w:pPr>
    </w:p>
    <w:p>
      <w:pPr>
        <w:ind w:left="620" w:hanging="288"/>
        <w:spacing w:after="0"/>
        <w:tabs>
          <w:tab w:leader="none" w:pos="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 Shares</w:t>
      </w:r>
      <w:r>
        <w:rPr>
          <w:rFonts w:ascii="Times New Roman" w:cs="Times New Roman" w:eastAsia="Times New Roman" w:hAnsi="Times New Roman"/>
          <w:sz w:val="18"/>
          <w:szCs w:val="18"/>
          <w:color w:val="auto"/>
        </w:rPr>
        <w:t>. On the date of this Agreement, the Company shall issue to the Transfer Agent (and any subsequent transfer agent)</w:t>
      </w:r>
    </w:p>
    <w:p>
      <w:pPr>
        <w:spacing w:after="0" w:line="27" w:lineRule="exact"/>
        <w:rPr>
          <w:rFonts w:ascii="Times New Roman" w:cs="Times New Roman" w:eastAsia="Times New Roman" w:hAnsi="Times New Roman"/>
          <w:sz w:val="18"/>
          <w:szCs w:val="18"/>
          <w:color w:val="auto"/>
        </w:rPr>
      </w:pPr>
    </w:p>
    <w:p>
      <w:pPr>
        <w:ind w:right="1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irrevocable instructions, in the form agreed to prior to the date hereof (the "</w:t>
      </w:r>
      <w:r>
        <w:rPr>
          <w:rFonts w:ascii="Times New Roman" w:cs="Times New Roman" w:eastAsia="Times New Roman" w:hAnsi="Times New Roman"/>
          <w:sz w:val="18"/>
          <w:szCs w:val="18"/>
          <w:u w:val="single" w:color="auto"/>
          <w:color w:val="auto"/>
        </w:rPr>
        <w:t>Irrevocable Transfer Agent Instructions</w:t>
      </w:r>
      <w:r>
        <w:rPr>
          <w:rFonts w:ascii="Times New Roman" w:cs="Times New Roman" w:eastAsia="Times New Roman" w:hAnsi="Times New Roman"/>
          <w:sz w:val="18"/>
          <w:szCs w:val="18"/>
          <w:color w:val="auto"/>
        </w:rPr>
        <w:t>"), to issue the Commitment Shares in accordance with the terms of this Agreement. All Commitment Shares to be issued to or for the benefit of the Investor pursuant to this Agreement shall be issued as DWAC Shares. The book-entry statement(s) representing the Commitment Shares shall bear the following restrictive legend (the “</w:t>
      </w:r>
      <w:r>
        <w:rPr>
          <w:rFonts w:ascii="Times New Roman" w:cs="Times New Roman" w:eastAsia="Times New Roman" w:hAnsi="Times New Roman"/>
          <w:sz w:val="18"/>
          <w:szCs w:val="18"/>
          <w:u w:val="single" w:color="auto"/>
          <w:color w:val="auto"/>
        </w:rPr>
        <w:t>Restrictive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and no other legend whatsoever:</w:t>
      </w:r>
    </w:p>
    <w:p>
      <w:pPr>
        <w:spacing w:after="0" w:line="189" w:lineRule="exact"/>
        <w:rPr>
          <w:sz w:val="20"/>
          <w:szCs w:val="20"/>
          <w:color w:val="auto"/>
        </w:rPr>
      </w:pPr>
    </w:p>
    <w:p>
      <w:pPr>
        <w:ind w:left="340" w:right="180"/>
        <w:spacing w:after="0" w:line="261" w:lineRule="auto"/>
        <w:rPr>
          <w:sz w:val="20"/>
          <w:szCs w:val="20"/>
          <w:color w:val="auto"/>
        </w:rPr>
      </w:pPr>
      <w:r>
        <w:rPr>
          <w:rFonts w:ascii="Times New Roman" w:cs="Times New Roman" w:eastAsia="Times New Roman" w:hAnsi="Times New Roman"/>
          <w:sz w:val="18"/>
          <w:szCs w:val="18"/>
          <w:color w:val="auto"/>
        </w:rPr>
        <w:t>THE SECURITIES REPRESENTED BY THIS CERTIFICATE HAVE NOT BEEN REGISTERED UNDER THE SECURITIES ACT OF 1933, AS AMENDED, OR APPLICABLE STATE SECURITIES LAWS. THE SECURITIES HAVE BEEN ACQUIRED FOR INVESTMENT AND</w:t>
      </w:r>
    </w:p>
    <w:p>
      <w:pPr>
        <w:ind w:left="340" w:right="300"/>
        <w:spacing w:after="0" w:line="253" w:lineRule="auto"/>
        <w:rPr>
          <w:sz w:val="20"/>
          <w:szCs w:val="20"/>
          <w:color w:val="auto"/>
        </w:rPr>
      </w:pPr>
      <w:r>
        <w:rPr>
          <w:rFonts w:ascii="Times New Roman" w:cs="Times New Roman" w:eastAsia="Times New Roman" w:hAnsi="Times New Roman"/>
          <w:sz w:val="18"/>
          <w:szCs w:val="18"/>
          <w:color w:val="auto"/>
        </w:rPr>
        <w:t>MAY NOT BE OFFERED FOR SALE, SOLD, TRANSFERRED OR ASSIGNED IN THE ABSENCE OF AN EFFECTIVE REGISTRATION STATEMENT FOR THE SECURITIES UNDER THE SECURITIES ACT OF 1933, AS AMENDED, OR APPLICABLE STATE SECURITIES LAWS, UNLESS SOLD PURSUANT TO: (1) RULE 144 UNDER THE SECURITIES ACT OF 1933, AS AMENDED, OR (2) AN OPINION OF HOLDER’S COUNSEL, IN A CUSTOMARY FORM, THAT REGISTRATION IS NOT REQUIRED UNDER SAID ACT OR APPLICABLE STATE SECURITIES LAWS.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warrants to the Investor that, while the Agreement is effective, no instruction other than the Irrevocable Transfer Agent Instructions referred to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will be given by the Company to the Transfer Agent with respect to the Commitment Shares, and the Commitment Shares shall otherwise be freely transferable on the books and records of the Company.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agrees that, following the effective date of the initial Registration Statement, it will, no later than two (2) Business Days following the delivery by the Investor to the Company or the Transfer Agent of a certificate representing any Commitment Shares issued with the Restrictive Legend (or, in the case of Commitment Shares represented by book entries, delivery by the Investor to the Company or the Company’s transfer agent of a legend removal request) cause the Commitment Shares to be delivered to the Investor’s or its designee’s specified Deposit/Withdrawal at Custodian (DWAC) account with DTC under its Fast Automated Securities Transfer (FAST) Program as DWAC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56"/>
        <w:spacing w:after="0" w:line="253" w:lineRule="auto"/>
        <w:tabs>
          <w:tab w:leader="none" w:pos="98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Shares</w:t>
      </w:r>
      <w:r>
        <w:rPr>
          <w:rFonts w:ascii="Times New Roman" w:cs="Times New Roman" w:eastAsia="Times New Roman" w:hAnsi="Times New Roman"/>
          <w:sz w:val="18"/>
          <w:szCs w:val="18"/>
          <w:color w:val="auto"/>
        </w:rPr>
        <w:t>. Within two (2) Business Days from the date on which the Registration Statement is declared effective by the SEC, the Company shall issue to the Transfer Agent, and any subsequent transfer agent, (i) irrevocable instructions in the form agreed to prior to the date hereof (the "</w:t>
      </w:r>
      <w:r>
        <w:rPr>
          <w:rFonts w:ascii="Times New Roman" w:cs="Times New Roman" w:eastAsia="Times New Roman" w:hAnsi="Times New Roman"/>
          <w:sz w:val="18"/>
          <w:szCs w:val="18"/>
          <w:u w:val="single" w:color="auto"/>
          <w:color w:val="auto"/>
        </w:rPr>
        <w:t>Commencement Irrevocable Transfer Agent Instructions</w:t>
      </w:r>
      <w:r>
        <w:rPr>
          <w:rFonts w:ascii="Times New Roman" w:cs="Times New Roman" w:eastAsia="Times New Roman" w:hAnsi="Times New Roman"/>
          <w:sz w:val="18"/>
          <w:szCs w:val="18"/>
          <w:color w:val="auto"/>
        </w:rPr>
        <w:t>") and (ii) the notice of effectiveness of the Registration Statement in a form acceptable to the Transfer Agent (the “</w:t>
      </w:r>
      <w:r>
        <w:rPr>
          <w:rFonts w:ascii="Times New Roman" w:cs="Times New Roman" w:eastAsia="Times New Roman" w:hAnsi="Times New Roman"/>
          <w:sz w:val="18"/>
          <w:szCs w:val="18"/>
          <w:u w:val="single" w:color="auto"/>
          <w:color w:val="auto"/>
        </w:rPr>
        <w:t>Notice of Effectiveness of Registration Statemen</w:t>
      </w:r>
      <w:r>
        <w:rPr>
          <w:rFonts w:ascii="Times New Roman" w:cs="Times New Roman" w:eastAsia="Times New Roman" w:hAnsi="Times New Roman"/>
          <w:sz w:val="18"/>
          <w:szCs w:val="18"/>
          <w:color w:val="auto"/>
        </w:rPr>
        <w:t>t”), in each case to issue the Purchase Shares in accordance with the terms of this Agreement and the Registration Rights Agreement. All Purchase Shares to be issued from and after Commencement to or for the benefit of the Investor pursuant to this Agreement shall be issued only as DWAC Shares. The Company represents and warrants to the Investor that, while this Agreement is effective, no instruction other than as contemplated by the Commencement Irrevocable Transfer Agent Instructions and the Notice of Effectiveness of Registration Statement will be given by the Company to the Transfer Agent with respect to the Purchase Shares from and after Commencement, and no instruction or other communication to the Transfer Agent with respect to the issuance of the Purchase Shares shall be made without the approval of the Investor. The Company shall provide confirmation of receipt by the Transfer Agent of all instructions pursuant to the Commencement Irrevocable Transfer Agent Instructions with respect to Purchase Shares within one (1) Business Day of delivery of any Purchase Notice. The Purchase Shares covered by the Registration Statement shall otherwise be freely transferable on the books and records of the Company.</w:t>
      </w:r>
    </w:p>
    <w:p>
      <w:pPr>
        <w:spacing w:after="0" w:line="186"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THE COMPANY’S RIGHT TO COMMENCE SALES OF SHARES OF COMMON STOCK.</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right of the Company hereunder to commence sales of Purchase Shares is subject to the satisfaction, or where legally permissible, the waiver of each of the following conditions:</w:t>
      </w:r>
    </w:p>
    <w:p>
      <w:pPr>
        <w:spacing w:after="0" w:line="162" w:lineRule="exact"/>
        <w:rPr>
          <w:sz w:val="20"/>
          <w:szCs w:val="20"/>
          <w:color w:val="auto"/>
        </w:rPr>
      </w:pPr>
    </w:p>
    <w:p>
      <w:pPr>
        <w:ind w:left="1400" w:hanging="744"/>
        <w:spacing w:after="0"/>
        <w:tabs>
          <w:tab w:leader="none" w:pos="1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shall have executed each of the Transaction Documents and delivered the same to the Company;</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Investor shall be true and correct in all material respects (except to the extent that any of such representations and warranties is already qualified as to materiality in Section 3 above, in which case, such representations and warranties shall be true and correct without further qualification) as of the date hereof and as of the Commencement Date as though made at that time; and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56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covering the resale of all of the Commitment Shares and the Purchase Shares shall have been declared effective under the Securities Act by the SEC and no stop order with respect to the Registration Statement shall be pending or threatened by the SEC.</w:t>
      </w:r>
    </w:p>
    <w:p>
      <w:pPr>
        <w:spacing w:after="0" w:line="158"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THE INVESTOR’S OBLIGATION TO PURCHASE SHARES OF COMMON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 of the Investor to buy Purchase Shares under this Agreement is subject to the satisfaction or, where legally permissible, the waiver of each of the following conditions on or prior to the Commencement Date and, once such conditions have been initially satisfied, there shall not be any ongoing obligation to satisfy such conditions after the Commencement has occurred: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1400" w:hanging="744"/>
        <w:spacing w:after="0"/>
        <w:tabs>
          <w:tab w:leader="none" w:pos="1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executed each of the Transaction Documents and delivered the same to the Investor;</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51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issued or caused to be issued to the Investor a number of shares of Common Stock equal to the number of Commitment Shares, in accordance with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1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shall be listed on the Principal Market, trading in the Common Stock shall not have been suspended by the SEC or the Principal Market within the last 365 days, and the Company shall have filed with The Nasdaq Stock Market a Notification Form: Listing of Additional Shares for the listing of the Securities, and Nasdaq shall have raised no objection to the consummation of the transactions contemplated by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82" w:lineRule="auto"/>
        <w:tabs>
          <w:tab w:leader="none" w:pos="178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shall have received the opinion and negative assurances letter of the Company’s legal counsel dated as of the Commencement Date substantially in the forms agreed prior to the date of this Agreement by the Company’s legal counsel and the Investor’s legal counsel;</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50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shall be true and correct in all material respects (except to the extent that any of such representations and warranties is already qualified as to materiality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above, in which case, such representations and warranties shall be true and correct without further qualification) as of the date hereof and as of the Commencement Date as though made at that time (except for representations and warranties that speak as of a specific date, which shall be true and correct in all material respects as of such date) and the Company shall have performed, satisfied and complied in all material respects with the covenants, agreements and conditions required by the Transaction Documents to be performed, satisfied or complied with by the Company at or prior to the Commencement Date. The Investor shall have received a certificate, executed by the CEO, President or CFO of the Company, dated as of the Commencement Date, to the foregoing effect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51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shall have adopted Signing Resolutions, which shall be in full force and effect without any amendment or supplement thereto as of the Commencement Date;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Commencement Date, the Company shall have reserved out of its authorized and unissued Common Stock, solely for the purpose of effecting purchases of Purchase Shares hereunder, 90,000,000 shares of Common Stock;</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Irrevocable Transfer Agent Instructions and the Notice of Effectiveness of Registration Statement, each shall have been delivered to and acknowledged in writing by the Company and the Transfer Agent (or any successor transfer agent);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41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Investor a certificate of good standing of the Company in the State of Delaware issued by the Secretary of State of the State of Delaware and a certificate or its equivalent evidencing the good standing of the Company as a foreign corporation in any other jurisdiction where the Company is duly qualified to conduct business, in each case, as of a date within ten (10) Business Days of the Commencement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right="20" w:firstLine="656"/>
        <w:spacing w:after="0" w:line="282" w:lineRule="auto"/>
        <w:tabs>
          <w:tab w:leader="none" w:pos="14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Investor a certified copy of the Charter as certified by the Secretary of State of the State of Delaware within ten (10) Business Days of the Commencement Date;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0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the Investor a secretary’s certificate executed by the Secretary of the Company, dated as of the Commencement Date, in the form attached hereto as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137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covering the resale of the Commitment Shares and Purchase Shares shall have been declared effective under the Securities Act by the SEC and no stop order with respect to the Registration Statement shall be pending or threatened by the SEC. The Company shall have prepared and filed with the SEC, not later than one (1) Business Day after the effective date of the Registration Statement, a final and complete prospectus (the preliminary form of which shall be included in the Registration Statement) and shall have delivered to the Investor a true and complete copy thereof. Such prospectus shall be current and available for the resale by the Investor of all of the Securities covered thereby. The Current Report shall have been filed with the SEC, as required pursuant to Section 5(a). All reports, schedules, registrations, forms, statements, information and other documents required to have been filed by the Company with the SEC at or prior to the Commencement Date pursuant to the reporting requirements of the Exchange Act shall have been filed with the SEC within the applicable time periods prescribed for such filings under the Exchange Act;</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144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(as defined below) shall have occurred, and no event which, after notice and/or lapse of time, would reasonably be expected to become an Event of Default shall have occurred;</w:t>
      </w:r>
    </w:p>
    <w:p>
      <w:pPr>
        <w:spacing w:after="0" w:line="16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Cap shall not have been reached (to the extent the Exchange Cap is applicable pursuant to Section 2(d) hereof);</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155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federal, state and local governmental laws, rules and regulations applicable to the transactions contemplated by the Transaction Documents and necessary for the execution, delivery and performance of the Transaction Documents and the consummation of the transactions contemplated thereby in accordance with the terms thereof shall have been complied with, and all consents, authorizations and orders of, and all filings and registrations with, all federal, state and local courts or governmental agencies and all federal, state and local regulatory or self-regulatory agencies necessary for the execution, delivery and performance of the Transaction Documents and the consummation of the transactions contemplated thereby in accordance with the terms thereof shall have been obtained or made, including, without limitation, in each case those required under the Securities Act, the Exchange Act, applicable state securities or "Blue Sky" laws or applicable rules and regulations of the Principal Market, or otherwise required by the SEC, the Principal Market or any state securities regulators;</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statute, regulation, order, decree, writ, ruling or injunction shall have been enacted, entered, promulgated, threatened or endorsed by any federal, state or local or foreign court or governmental authority of competent jurisdiction which prohibits the consummation of or which would materially modify or delay any of the transactions contemplated by the Transaction Documents;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56"/>
        <w:spacing w:after="0" w:line="258" w:lineRule="auto"/>
        <w:tabs>
          <w:tab w:leader="none" w:pos="147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suit or proceeding before any federal, state, local or foreign arbitrator or any court or governmental authority of competent jurisdiction shall have been commenced or threatened, and no inquiry or investigation by any federal, state, local or foreign governmental authority of competent jurisdiction shall have been commenced or threatened, against the Company, or any of the officers, directors or affiliates of the Company, seeking to restrain, prevent or change the transactions contemplated by the Transaction Documents, or seeking material damages in connection with such transactions; and</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55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provided the Investor with the information requested by the Investor in connection with its due diligence requests in accordance with the terms of Section 5(f) hereof.</w:t>
      </w:r>
    </w:p>
    <w:p>
      <w:pPr>
        <w:spacing w:after="0" w:line="158" w:lineRule="exact"/>
        <w:rPr>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consideration of the Investor’s execution and delivery of the Transaction Documents and acquiring the Purchase Shares hereunder and in addition to all of the Company’s other obligations under the Transaction Documents, the Company shall defend, protect, indemnify and hold harmless the Investor and all of its affiliates, equityholders, members, managers, officers, directors and employees and any of the foregoing Person’s agents or other representatives (including, without limitation, those retained in connection with the transactions contemplated by this Agreement)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from and against any and all actions, causes of action, suits, claims, losses, costs, penalties, fees, liabilities and damages, and reasonable expenses in connection therewith (irrespective of whether any such Indemnitee is a party to the action for which indemnification hereunder is sought), and including reasonable and documented attorneys’ fees and disbursements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incurred by any Indemnitee as a result of, or arising out of, or relating to (a) any misrepresentation or breach of any representation or warranty made by the Company in the Transaction Documents or any other certificate, instrument or document executed by the Company contemplated hereby or thereby, (b) any breach of any covenant, agreement or obligation of the Company contained in the Transaction Documents or any other certificate, instrument or document executed by the Company contemplated hereby or thereby, (c) any cause of action, suit or claim brought or made against such Indemnitee and arising out of or resulting from the execution, delivery, performance or enforcement of the Transaction Documents or any other certificate, instrument or document contemplated hereby or thereby, other than, in the case of clause (c) with respect to Indemnified Liabilities which directly and primarily result from the fraud, gross negligence or willful misconduct of an Indemnitee. The indemnity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not apply to amounts paid in settlement of any claim if such settlement is effected without the prior written consent of the Company, which consent shall not be unreasonably withheld, conditioned or delayed. To the extent that the foregoing undertaking by the Company may be unenforceable for any reason, the Company shall make the maximum contribution to the payment and satisfaction of each of the Indemnified Liabilities which is permissible under applicable law. Payment under this indemnification shall be made within thirty (30) days from the date the Investor makes written request for it. A certificate containing reasonable detail as to the amount of such indemnification submitted to the Company by the Investor shall be conclusive evidence, absent manifest error, of the amount due from the Company to the Investor, provided that the Indemnitee shall undertake to repay any amounts paid to it hereunder if it is ultimately determined, by a final and non-appealable order of a court of competent jurisdiction, that the Indemnitee is not entitled to be indemnified against such Indemnified Liabilities by the Company pursuant to this Agreement. If any action shall be brought against any Indemnitee in respect of which indemnity may be sought pursuant to this Agreement, such Indemnitee shall promptly notify the Company in writing, and the Company shall have the right to assume the defense thereof with counsel of its own choosing reasonably acceptable to the Indemnitee. Any Indemnitee shall have the right to employ separate counsel in any such action and participate in the defense thereof, but the fees and expenses of such counsel shall be at the expense of such Indemnitee, except to the extent that (i) the employment thereof has been specifically authorized by the Company in writing, (ii) the Company has failed after a reasonable period of time to assume such defense and to employ counsel or (iii) in such action there is, in the reasonable opinion of such separate counsel, a material conflict on any material issue between the position of the Company and the position of such Indemnitee, in which case the Company shall be responsible for the reasonable fees and expenses of no more than one such separate counsel (plus local counsel). The Company shall not, without the consent of the Indemnitee, consent to the entry of any judgment or enter into any settlement or other compromise which does not include as an unconditional term thereof the giving by the claimant or plaintiff to such Indemnitee of a release from all liability in respect to such claim or litigation or which includes any admission as to fault, culpability or failure to act on the part of such Indemnitee.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1300" w:hanging="644"/>
        <w:spacing w:after="0"/>
        <w:tabs>
          <w:tab w:leader="none" w:pos="13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shall be deemed to have occurred at any time as any of the following events occurs:</w:t>
      </w:r>
    </w:p>
    <w:p>
      <w:pPr>
        <w:spacing w:after="0" w:line="225" w:lineRule="exact"/>
        <w:rPr>
          <w:sz w:val="20"/>
          <w:szCs w:val="20"/>
          <w:color w:val="auto"/>
        </w:rPr>
      </w:pPr>
    </w:p>
    <w:p>
      <w:pPr>
        <w:jc w:val="both"/>
        <w:ind w:firstLine="656"/>
        <w:spacing w:after="0" w:line="254" w:lineRule="auto"/>
        <w:tabs>
          <w:tab w:leader="none" w:pos="152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a Registration Statement registering the sale or resale of the Securities lapses for any reason (including, without limitation, the issuance of a stop order or similar order) or such registration statement (or the prospectus forming a part thereof) is unavailable to the Investor for sale or resale of any or all of the Securities to be issued to the Investor under the Transaction Documents that are required to be included therein, and such lapse or unavailability continues for a period of ten (10) consecutive Business Days or for more than an aggregate of thirty (30) Business Days in any 365-day period, but excluding a lapse or unavailability where (i) the Company terminates a Registration Statement after the Investor has confirmed in writing that all of the Securities covered thereby have been resold or (ii) the Company supersedes one Registration Statement with another Registration Statement, including (without limitation) by terminating a prior Registration Statement when it is effectively replaced with a new Registration Statement covering Securities (provided in the case of this clause (ii) that all of the Securities covered by the superseded (or terminated) Registration Statement that have not theretofore been resold are included in the superseding (or new) Registration Statement);</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146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of the Common Stock from trading on the Principal Market for a period of at least one (1) Business Day, provided that the Company may not direct the Investor to purchase any shares of Common Stock during any such suspension;</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42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delisting of the Common Stock from The NASDAQ Capital Market provided, however, that the Common Stock is not immediately thereafter trading on The NASDAQ Global Select Market, The NASDAQ Global Market, the New York Stock Exchange, the NYSE American, the NYSE Arca, the OTC Bulletin Board, or the OTCQB or the OTCQX operated by the OTC Markets Group, Inc. (or any nationally recognized successor to any of the foregoing);</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53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for any reason by the Transfer Agent to issue the Purchase Shares to the Investor within two (2) Business Days after the applicable Purchase Date, Accelerated Purchase Date or Additional Accelerated Purchase Date (as applicable) on which the Investor is entitled to receive such Purchase Shares;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46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breaches any representation, warranty, covenant or other term or condition under this Agreement, any other Transaction Document or any other certificate, instrument or document executed by the Company contemplated hereby or thereby, if such breach would reasonably be expected to have a Material Adverse Effect and except, in the case of a breach of a covenant which is reasonably curable, only if such breach continues for a period of at least five (5) Business Days;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ind w:left="1380" w:hanging="724"/>
        <w:spacing w:after="0"/>
        <w:tabs>
          <w:tab w:leader="none" w:pos="13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Person commences a proceeding against the Company pursuant to or within the meaning of any Bankruptcy Law;</w:t>
      </w:r>
    </w:p>
    <w:p>
      <w:pPr>
        <w:spacing w:after="0" w:line="225"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at any time insolvent, or, pursuant to or within the meaning of any Bankruptcy Law, (i) commences a voluntary case,</w:t>
      </w:r>
    </w:p>
    <w:p>
      <w:pPr>
        <w:spacing w:after="0" w:line="27" w:lineRule="exact"/>
        <w:rPr>
          <w:rFonts w:ascii="Times New Roman" w:cs="Times New Roman" w:eastAsia="Times New Roman" w:hAnsi="Times New Roman"/>
          <w:sz w:val="18"/>
          <w:szCs w:val="18"/>
          <w:color w:val="auto"/>
        </w:rPr>
      </w:pPr>
    </w:p>
    <w:p>
      <w:pPr>
        <w:jc w:val="both"/>
        <w:ind w:firstLine="8"/>
        <w:spacing w:after="0" w:line="255" w:lineRule="auto"/>
        <w:tabs>
          <w:tab w:leader="none" w:pos="29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 (iii) consents to the appointment of a Custodian of it or for all or substantially all of its property, or (iv) makes a general assignment for the benefit of its creditors or is generally unable to pay its debts as the same become due;</w:t>
      </w:r>
    </w:p>
    <w:p>
      <w:pPr>
        <w:spacing w:after="0" w:line="185" w:lineRule="exact"/>
        <w:rPr>
          <w:rFonts w:ascii="Times New Roman" w:cs="Times New Roman" w:eastAsia="Times New Roman" w:hAnsi="Times New Roman"/>
          <w:sz w:val="18"/>
          <w:szCs w:val="18"/>
          <w:color w:val="auto"/>
        </w:rPr>
      </w:pPr>
    </w:p>
    <w:p>
      <w:pPr>
        <w:ind w:firstLine="656"/>
        <w:spacing w:after="0" w:line="282" w:lineRule="auto"/>
        <w:tabs>
          <w:tab w:leader="none" w:pos="150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 (i) is for relief against the Company in an involuntary case, (ii) appoints a Custodian of the Company or for all or substantially all of its property, or (iii) orders the liquidation of the Company; or</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5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Company is not eligible to transfer its Common Stock electronically as DWAC Shares or if the Company fails to maintain the service of its Transfer Agent (or a successor Transfer Agent) with respect to the issuance of Purchase Shares under this Agreement, including but not limited to, maintaining the effectiveness of the Commencement Irrevocable Transfer Instructions, payment of all fees owed to the Transfer Agent and satisfaction of all conditions required by the Transfer Agent to issue Purchase Shares pursuant to the Commencement Irrevocable Transfer Agent Instructions.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any other rights and remedies under applicable law and this Agreement, so long as (i) an Event of Default has occurred and is continuing, or if any event that, after notice and/or lapse of time, would reasonably be expected to become an Event of Default, has occurred and is continuing or (ii) if at any time after the Commencement Date, the Exchange Cap is reached (to the extent the Exchange Cap is applicable pursuant to Section 2(d) hereof), the Company shall not deliver to the Investor any Regular Purchase Notice, Accelerated Purchase Notice or Additional Accelerated Purchase Notice.</w:t>
      </w:r>
    </w:p>
    <w:p>
      <w:pPr>
        <w:spacing w:after="0" w:line="179" w:lineRule="exact"/>
        <w:rPr>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may be terminated only as follows:</w:t>
      </w:r>
    </w:p>
    <w:p>
      <w:pPr>
        <w:spacing w:after="0" w:line="225" w:lineRule="exact"/>
        <w:rPr>
          <w:sz w:val="20"/>
          <w:szCs w:val="20"/>
          <w:color w:val="auto"/>
        </w:rPr>
      </w:pPr>
    </w:p>
    <w:p>
      <w:pPr>
        <w:jc w:val="both"/>
        <w:ind w:firstLine="656"/>
        <w:spacing w:after="0" w:line="258" w:lineRule="auto"/>
        <w:tabs>
          <w:tab w:leader="none" w:pos="148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pursuant to or within the meaning of any Bankruptcy Law, the Company commences a voluntary case or any Person commences a proceeding against the Company, a Custodian is appointed for the Company or for all or substantially all of its property, or the Company makes a general assignment for the benefit of its creditors (any of which would be an Event of Default as described in </w:t>
      </w:r>
      <w:r>
        <w:rPr>
          <w:rFonts w:ascii="Times New Roman" w:cs="Times New Roman" w:eastAsia="Times New Roman" w:hAnsi="Times New Roman"/>
          <w:sz w:val="18"/>
          <w:szCs w:val="18"/>
          <w:u w:val="single" w:color="auto"/>
          <w:color w:val="auto"/>
        </w:rPr>
        <w:t>Sections 10(f)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10(h)</w:t>
      </w:r>
      <w:r>
        <w:rPr>
          <w:rFonts w:ascii="Times New Roman" w:cs="Times New Roman" w:eastAsia="Times New Roman" w:hAnsi="Times New Roman"/>
          <w:sz w:val="18"/>
          <w:szCs w:val="18"/>
          <w:color w:val="auto"/>
        </w:rPr>
        <w:t xml:space="preserve"> hereof), this Agreement shall automatically terminate without any liability or payment to the Company (except as set forth below) without further action or notice by any Person.</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1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Commencement shall not have occurred on or before February 28, 2023, due to the failure to satisfy the conditions set forth in </w:t>
      </w:r>
      <w:r>
        <w:rPr>
          <w:rFonts w:ascii="Times New Roman" w:cs="Times New Roman" w:eastAsia="Times New Roman" w:hAnsi="Times New Roman"/>
          <w:sz w:val="18"/>
          <w:szCs w:val="18"/>
          <w:u w:val="single" w:color="auto"/>
          <w:color w:val="auto"/>
        </w:rPr>
        <w:t>Sections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above with respect to the Commencement, then this Agreement may be terminated by any party at the close of business on February 28, 2023 or thereafter, in each case without liability of such party to the other party (except as set forth below); provided, however, that the right to terminate this Agreement under this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shall not be available to any party if such party is then in breach of any covenant or agreement contained in this Agreement or any representation or warranty of such party contained in this Agreement fails to be true and correct such that the conditions set forth in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8(e)</w:t>
      </w:r>
      <w:r>
        <w:rPr>
          <w:rFonts w:ascii="Times New Roman" w:cs="Times New Roman" w:eastAsia="Times New Roman" w:hAnsi="Times New Roman"/>
          <w:sz w:val="18"/>
          <w:szCs w:val="18"/>
          <w:color w:val="auto"/>
        </w:rPr>
        <w:t>, as applicable, could not then be satisfied.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656"/>
        <w:spacing w:after="0" w:line="261" w:lineRule="auto"/>
        <w:tabs>
          <w:tab w:leader="none" w:pos="150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Commencement Date, the Company shall have the option to terminate this Agreement for any reason or for no reason by delivering notice (a "</w:t>
      </w:r>
      <w:r>
        <w:rPr>
          <w:rFonts w:ascii="Times New Roman" w:cs="Times New Roman" w:eastAsia="Times New Roman" w:hAnsi="Times New Roman"/>
          <w:sz w:val="18"/>
          <w:szCs w:val="18"/>
          <w:u w:val="single" w:color="auto"/>
          <w:color w:val="auto"/>
        </w:rPr>
        <w:t>Company Termination Notice</w:t>
      </w:r>
      <w:r>
        <w:rPr>
          <w:rFonts w:ascii="Times New Roman" w:cs="Times New Roman" w:eastAsia="Times New Roman" w:hAnsi="Times New Roman"/>
          <w:sz w:val="18"/>
          <w:szCs w:val="18"/>
          <w:color w:val="auto"/>
        </w:rPr>
        <w:t>") to the Investor electing to terminate this Agreement without any liability whatsoever of any party to any other party under this Agreement (except as set forth below). The Company Termination Notice shall not be effective until one (1) Business Day after it has been received by the Investor.</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43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automatically terminate on the date that the Company sells and the Investor purchases the full Available Amount as provided herein, without any action or notice on the part of any party and without any liability whatsoever of any party to any other party under this Agreement (except as set forth below).</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8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for any reason or for no reason, the full Available Amount has not been purchased in accordance with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Agreement by the Maturity Date, this Agreement shall automatically terminate on the Maturity Date, without any action or notice on the part of any party and without any liability whatsoever of any party to any other party under this Agreement (except as set forth below).</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Sections 11(a)</w:t>
      </w:r>
      <w:r>
        <w:rPr>
          <w:rFonts w:ascii="Times New Roman" w:cs="Times New Roman" w:eastAsia="Times New Roman" w:hAnsi="Times New Roman"/>
          <w:sz w:val="18"/>
          <w:szCs w:val="18"/>
          <w:color w:val="auto"/>
        </w:rPr>
        <w:t xml:space="preserve"> (in respect of an Event of Default under </w:t>
      </w:r>
      <w:r>
        <w:rPr>
          <w:rFonts w:ascii="Times New Roman" w:cs="Times New Roman" w:eastAsia="Times New Roman" w:hAnsi="Times New Roman"/>
          <w:sz w:val="18"/>
          <w:szCs w:val="18"/>
          <w:u w:val="single" w:color="auto"/>
          <w:color w:val="auto"/>
        </w:rPr>
        <w:t>Sections 10(f)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11(d)</w:t>
      </w:r>
      <w:r>
        <w:rPr>
          <w:rFonts w:ascii="Times New Roman" w:cs="Times New Roman" w:eastAsia="Times New Roman" w:hAnsi="Times New Roman"/>
          <w:sz w:val="18"/>
          <w:szCs w:val="18"/>
          <w:color w:val="auto"/>
        </w:rPr>
        <w:t xml:space="preserve">, any termination of this Agreement pursuant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be effected by written notice from the Company to the Investor, or the Investor to the Company, as the case may be, setting forth the basis for the termination hereof. The representations and warranties and covenants of the Company and the Investor contained in </w:t>
      </w:r>
      <w:r>
        <w:rPr>
          <w:rFonts w:ascii="Times New Roman" w:cs="Times New Roman" w:eastAsia="Times New Roman" w:hAnsi="Times New Roman"/>
          <w:sz w:val="18"/>
          <w:szCs w:val="18"/>
          <w:u w:val="single" w:color="auto"/>
          <w:color w:val="auto"/>
        </w:rPr>
        <w:t>Sections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hereof, the indemnification provisions set forth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and the agreements and covenants set forth in </w:t>
      </w:r>
      <w:r>
        <w:rPr>
          <w:rFonts w:ascii="Times New Roman" w:cs="Times New Roman" w:eastAsia="Times New Roman" w:hAnsi="Times New Roman"/>
          <w:sz w:val="18"/>
          <w:szCs w:val="18"/>
          <w:u w:val="single" w:color="auto"/>
          <w:color w:val="auto"/>
        </w:rPr>
        <w:t>Sections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shall survive the execution and delivery of this Agreement and any termination of this Agreement. No termination of this Agreement shall (i) affect the Company’s or the Investor’s rights or obligations under (A) this Agreement with respect to any pending Regular Purchases, Accelerated Purchases, or Additional Accelerated Purchases, and the Company and the Investor shall complete their respective obligations with respect to any pending Regular Purchases, Accelerated Purchases and Additional Accelerated Purchases under this Agreement and (B) the Registration Rights Agreement, which shall survive any such termination in accordance with its terms, or (ii) be deemed to release the Company or the Investor from any liability for intentional misrepresentation or willful breach of any of the Transaction Documents.</w:t>
      </w:r>
    </w:p>
    <w:p>
      <w:pPr>
        <w:spacing w:after="0" w:line="190" w:lineRule="exact"/>
        <w:rPr>
          <w:sz w:val="20"/>
          <w:szCs w:val="20"/>
          <w:color w:val="auto"/>
        </w:rPr>
      </w:pPr>
    </w:p>
    <w:p>
      <w:pPr>
        <w:ind w:left="1300" w:hanging="644"/>
        <w:spacing w:after="0"/>
        <w:tabs>
          <w:tab w:leader="none" w:pos="13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656"/>
        <w:spacing w:after="0" w:line="252" w:lineRule="auto"/>
        <w:tabs>
          <w:tab w:leader="none" w:pos="15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Jury Trial</w:t>
      </w:r>
      <w:r>
        <w:rPr>
          <w:rFonts w:ascii="Times New Roman" w:cs="Times New Roman" w:eastAsia="Times New Roman" w:hAnsi="Times New Roman"/>
          <w:sz w:val="18"/>
          <w:szCs w:val="18"/>
          <w:color w:val="auto"/>
        </w:rPr>
        <w:t xml:space="preserve">. The corporate laws of the State of Delaware shall govern all issues concerning the relative rights of the Company and its stockholders. All other questions concerning the construction, validity, enforcement and interpretation of this Agreement and the other Transaction Documents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and venue in the U.S. District Court for the Southern District of New York or, if that court does not have subject matter jurisdiction, in any state court located in the City and County of New York, for the adjudication of any dispute hereunder or under the other Transaction Documents or in connection herewith or therewith,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w:t>
      </w:r>
      <w:r>
        <w:rPr>
          <w:rFonts w:ascii="Times New Roman" w:cs="Times New Roman" w:eastAsia="Times New Roman" w:hAnsi="Times New Roman"/>
          <w:sz w:val="18"/>
          <w:szCs w:val="18"/>
          <w:b w:val="1"/>
          <w:bCs w:val="1"/>
          <w:color w:val="auto"/>
        </w:rPr>
        <w:t>EACH PARTY HEREBY IRREVOCABLY WAIVES ANY RIGHT IT MAY HAVE, AND AGREES NOT</w:t>
      </w:r>
    </w:p>
    <w:p>
      <w:pPr>
        <w:spacing w:after="0" w:line="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 REQUEST, A JURY TRIAL FOR THE ADJUDICATION OF ANY DISPUTE HEREUNDER OR IN CONNECTION HEREWITH OR ARISING OUT OF THIS AGREEMENT OR ANY TRANSACTION CONTEMPLATED HEREBY.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56"/>
        <w:spacing w:after="0" w:line="261" w:lineRule="auto"/>
        <w:tabs>
          <w:tab w:leader="none" w:pos="139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Signatures transmitted by Adobe Sign, DocuSign, RightSignature, electronic mail, or other digital or electronic means will be treated as original signatures for all purposes hereunder, each of which shall be of the same legal effect, validity, and enforceability as a manually executed signature.</w:t>
      </w:r>
    </w:p>
    <w:p>
      <w:pPr>
        <w:spacing w:after="0" w:line="179"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of this Agreement are for convenience of reference and shall not form part of, or affect the interpretation of, this</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7"/>
          <w:szCs w:val="17"/>
          <w:color w:val="auto"/>
        </w:rPr>
      </w:pPr>
    </w:p>
    <w:p>
      <w:pPr>
        <w:jc w:val="both"/>
        <w:ind w:firstLine="656"/>
        <w:spacing w:after="0" w:line="266" w:lineRule="auto"/>
        <w:tabs>
          <w:tab w:leader="none" w:pos="141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159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Except as to the Company’s obligation in respect of fees and expenses due and payable in connection with the negotiation and entry into the Transaction Documents, which are set forth in the Term Sheet dated November 11, 2022, the Transaction Documents supersede all other prior oral or written agreements between the Investor, the Company, their affiliates and Persons acting on their behalf with respect to the subject matter thereof, and this Agreement, the other Transaction Documents and the instruments referenced herein contain the entire understanding of the parties with respect to the matters covered herein and therein and, except as specifically set forth herein or therein, neither the Company nor the Investor makes any representation, warranty, covenant or undertaking with respect to such matters. The Company acknowledges and agrees that it has not relied on, in any manner whatsoever, any representations or statements, written or oral, other than as expressly set forth in the Transaction Documents. The Investor acknowledges and agrees that it has not relied on, in any manner whatsoever, any representations or statements, written or oral, other than as expressly set forth in the Transaction Documents.</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3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consents or other communications required or permitted to be given under the terms of this Agreement must be in writing and will be deemed to have been delivered: (i) upon receipt when delivered personally; (ii) upon receipt when sent by facsimile or email (provided confirmation of transmission is mechanically or electronically generated and kept on file by the sending party); or (iii) one (1) Business Day after deposit with a nationally recognized overnight delivery service, in each case properly addressed to the party to receive the same. The addresses for such communications shall be: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Marker Therapeutics,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4551 Kennedy Commerce Dr.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Houston, TX 77027</w:t>
      </w:r>
    </w:p>
    <w:p>
      <w:pPr>
        <w:spacing w:after="0" w:line="9"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phoang@marker.com</w:t>
      </w:r>
    </w:p>
    <w:p>
      <w:pPr>
        <w:spacing w:after="0" w:line="9" w:lineRule="exact"/>
        <w:rPr>
          <w:sz w:val="20"/>
          <w:szCs w:val="20"/>
          <w:color w:val="auto"/>
        </w:rPr>
      </w:pPr>
    </w:p>
    <w:p>
      <w:pPr>
        <w:ind w:left="1300"/>
        <w:spacing w:after="0"/>
        <w:tabs>
          <w:tab w:leader="none" w:pos="2240" w:val="left"/>
        </w:tabs>
        <w:rPr>
          <w:sz w:val="20"/>
          <w:szCs w:val="20"/>
          <w:color w:val="auto"/>
        </w:rPr>
      </w:pPr>
      <w:r>
        <w:rPr>
          <w:rFonts w:ascii="Times New Roman" w:cs="Times New Roman" w:eastAsia="Times New Roman" w:hAnsi="Times New Roman"/>
          <w:sz w:val="18"/>
          <w:szCs w:val="18"/>
          <w:color w:val="auto"/>
        </w:rPr>
        <w:t>Attention:</w:t>
        <w:tab/>
        <w:t>Peter Hoang</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color w:val="auto"/>
        </w:rPr>
        <w:t>With a copy to (which shall not constitute notice or service of process):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1299 Pennsylvania Avenue NW, Suite 700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 202-728-7087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madison.jones@cooley.com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Madison Jones, Esq.</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Investor: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Lincoln Park Capital Fund,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440 North Wells, Suite 410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Chicago, IL 60654</w:t>
      </w:r>
    </w:p>
    <w:p>
      <w:pPr>
        <w:spacing w:after="0" w:line="9"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Telephone:</w:t>
        <w:tab/>
        <w:t>312-822-9300</w:t>
      </w:r>
    </w:p>
    <w:p>
      <w:pPr>
        <w:spacing w:after="0" w:line="9"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Facsimile:</w:t>
        <w:tab/>
        <w:t>312-822-9301</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 (which shall not constitute notice or service of process):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Katten Muchin Rosenman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525 W. Monroe St.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Chicago, IL 60661</w:t>
      </w:r>
    </w:p>
    <w:p>
      <w:pPr>
        <w:spacing w:after="0" w:line="9"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Telephone:</w:t>
        <w:tab/>
        <w:t>(312) 902-5493</w:t>
      </w:r>
    </w:p>
    <w:p>
      <w:pPr>
        <w:spacing w:after="0" w:line="9"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mark.wood@katten.com</w:t>
      </w:r>
    </w:p>
    <w:p>
      <w:pPr>
        <w:spacing w:after="0" w:line="9" w:lineRule="exact"/>
        <w:rPr>
          <w:sz w:val="20"/>
          <w:szCs w:val="20"/>
          <w:color w:val="auto"/>
        </w:rPr>
      </w:pPr>
    </w:p>
    <w:p>
      <w:pPr>
        <w:ind w:left="1300"/>
        <w:spacing w:after="0"/>
        <w:tabs>
          <w:tab w:leader="none" w:pos="2240" w:val="left"/>
        </w:tabs>
        <w:rPr>
          <w:sz w:val="20"/>
          <w:szCs w:val="20"/>
          <w:color w:val="auto"/>
        </w:rPr>
      </w:pPr>
      <w:r>
        <w:rPr>
          <w:rFonts w:ascii="Times New Roman" w:cs="Times New Roman" w:eastAsia="Times New Roman" w:hAnsi="Times New Roman"/>
          <w:sz w:val="18"/>
          <w:szCs w:val="18"/>
          <w:color w:val="auto"/>
        </w:rPr>
        <w:t>Attention:</w:t>
        <w:tab/>
        <w:t>Mark D. Wood, Esq.</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Transfer Agent: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American Stock Transfer &amp; Company,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6201 15th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Brooklyn, New York 11219</w:t>
      </w:r>
    </w:p>
    <w:p>
      <w:pPr>
        <w:spacing w:after="0" w:line="9" w:lineRule="exact"/>
        <w:rPr>
          <w:sz w:val="20"/>
          <w:szCs w:val="20"/>
          <w:color w:val="auto"/>
        </w:rPr>
      </w:pPr>
    </w:p>
    <w:p>
      <w:pPr>
        <w:ind w:left="1300"/>
        <w:spacing w:after="0"/>
        <w:tabs>
          <w:tab w:leader="none" w:pos="23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u w:val="single" w:color="auto"/>
          <w:color w:val="auto"/>
        </w:rPr>
        <w:t>WTorre@astfinancial.com</w:t>
      </w:r>
    </w:p>
    <w:p>
      <w:pPr>
        <w:spacing w:after="0" w:line="9" w:lineRule="exact"/>
        <w:rPr>
          <w:sz w:val="20"/>
          <w:szCs w:val="20"/>
          <w:color w:val="auto"/>
        </w:rPr>
      </w:pPr>
    </w:p>
    <w:p>
      <w:pPr>
        <w:ind w:left="1300"/>
        <w:spacing w:after="0"/>
        <w:tabs>
          <w:tab w:leader="none" w:pos="2240" w:val="left"/>
        </w:tabs>
        <w:rPr>
          <w:sz w:val="20"/>
          <w:szCs w:val="20"/>
          <w:color w:val="auto"/>
        </w:rPr>
      </w:pPr>
      <w:r>
        <w:rPr>
          <w:rFonts w:ascii="Times New Roman" w:cs="Times New Roman" w:eastAsia="Times New Roman" w:hAnsi="Times New Roman"/>
          <w:sz w:val="18"/>
          <w:szCs w:val="18"/>
          <w:color w:val="auto"/>
        </w:rPr>
        <w:t>Attention:</w:t>
        <w:tab/>
        <w:t>Bill Torre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or at such other address, email address and/or facsimile number and/or to the attention of such other Person as the recipient party has specified by written notice given to each other party three (3) Business Days prior to the effectiveness of such change. Written confirmation of receipt (A) given by the recipient of such notice, consent or other communication, (B) mechanically or electronically generated by the sender’s facsimile machine or email account containing the time, date, and recipient facsimile number or email address, as applicable, or (C) provided by a nationally recognized overnight delivery service, shall be rebuttable evidence of personal service, receipt by facsimile or email or deposit with a nationally recognized overnight delivery service in accordance with clause (i), (ii) or (iii) above, respectively.</w:t>
      </w:r>
    </w:p>
    <w:p>
      <w:pPr>
        <w:spacing w:after="0" w:line="187" w:lineRule="exact"/>
        <w:rPr>
          <w:sz w:val="20"/>
          <w:szCs w:val="20"/>
          <w:color w:val="auto"/>
        </w:rPr>
      </w:pPr>
    </w:p>
    <w:p>
      <w:pPr>
        <w:jc w:val="both"/>
        <w:ind w:firstLine="656"/>
        <w:spacing w:after="0" w:line="266" w:lineRule="auto"/>
        <w:tabs>
          <w:tab w:leader="none" w:pos="139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respective successors and assigns. The Company shall not assign this Agreement or any rights or obligations hereunder without the prior written consent of the Investor, including by merger or consolidation. The Investor may not assign its rights or obligations under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8" w:name="page39"/>
    <w:bookmarkEnd w:id="38"/>
    <w:p>
      <w:pPr>
        <w:ind w:firstLine="656"/>
        <w:spacing w:after="0" w:line="282" w:lineRule="auto"/>
        <w:tabs>
          <w:tab w:leader="none" w:pos="143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is intended for the benefit of the parties hereto and their respective permitted successors and assigns, and is not for the benefit of, nor may any provision hereof be enforced by, any other Person.</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43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The Company shall afford the Investor and its counsel with the opportunity to review and comment upon, shall consult with the Investor and its counsel on the form and substance of, and shall give due consideration to all such comments from the Investor or its counsel on, any press release, any Current Report on Form 8-K, or any other public disclosure by or on behalf of the Company relating to the Investor, its purchases hereunder or any aspect to the Transaction Documents or the transactions contemplated thereby, not less than 24 hours prior to the issuance, filing or public disclosure thereof. The Investor must be provided with a final version of any such press release, Current Report or other public disclosure at least 24 hours prior to any release, filing or use by the Company thereof; provided that the Company shall not be required to provide the Investor any disclosures that are materially similar to those previously reviewed by the Investor.</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the other party may reasonably request in order to consummate and make effective, as soon as reasonably possible, the Commencement, and to carry out the intent and accomplish the purposes of this Agreement and the consummation of the transactions contemplated hereby.</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41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Financial Advisor, Placement Agent, Broker or Finder</w:t>
      </w:r>
      <w:r>
        <w:rPr>
          <w:rFonts w:ascii="Times New Roman" w:cs="Times New Roman" w:eastAsia="Times New Roman" w:hAnsi="Times New Roman"/>
          <w:sz w:val="18"/>
          <w:szCs w:val="18"/>
          <w:color w:val="auto"/>
        </w:rPr>
        <w:t>. The Company represents and warrants to the Investor that it has not engaged any financial advisor, placement agent, broker or finder in connection with the transactions contemplated hereby. The Investor represents and warrants to the Company that it has not engaged any financial advisor, placement agent, broker or finder in connection with the transactions contemplated hereby. The Company shall be responsible for the payment of any fees or commissions, if any, of any financial advisor, placement agent, broker or finder relating to or arising out of the transactions contemplated hereby. The Company shall pay, and hold the Investor harmless against, any liability, loss or expense (including, without limitation, reasonable attorneys’ fees and out of pocket expenses) arising in connection with any such claim made by a third party for any such fees or commissions.</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45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 Rules of 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rules of strict construction will be applied against any party. For the purposes of this Agreement, except to the extent that the context otherwise requires: (i) when a reference is made in this Agreement to an Article, Section, Exhibit or Schedule, such reference is to an Article or Section of, or an Exhibit or Schedule to, this Agreement unless otherwise indicated; (ii) headings for this Agreement are for reference purposes only and do not affect in any way the meaning or interpretation of this Agreement; (iii) whenever the words “include,” “includes” or “including” (or similar terms) are used in this Agreement, they are deemed to be followed by the words “without limitation”; (iv) the words “hereof,” “herein” and “hereunder” and words of similar import, when used in this Agreement, refer to this Agreement as a whole and not to any particular provision of this Agreement; (v) the definitions contained in this Agreement are applicable to the singular as well as the plural forms of such terms;; (vi) references to a Person are also to its permitted successors and assigns; and (vii) the use of “or” is not intended to be exclusive unless expressly indicated otherwise.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56"/>
        <w:spacing w:after="0" w:line="254" w:lineRule="auto"/>
        <w:tabs>
          <w:tab w:leader="none" w:pos="150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Other Obligations, Breaches and Injunctive Relief</w:t>
      </w:r>
      <w:r>
        <w:rPr>
          <w:rFonts w:ascii="Times New Roman" w:cs="Times New Roman" w:eastAsia="Times New Roman" w:hAnsi="Times New Roman"/>
          <w:sz w:val="18"/>
          <w:szCs w:val="18"/>
          <w:color w:val="auto"/>
        </w:rPr>
        <w:t xml:space="preserve">. The Investor’s remedies provided in this Agreement, including, without limitation, the Investor’s remedies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shall be cumulative and in addition to all other remedies available to the Investor under this Agreement, at law or in equity (including a decree of specific performance and/or other injunctive relief). No remedy of the Investor contained herein shall be deemed a waiver of compliance with the provisions giving rise to such remedy and nothing herein shall limit the Investor’s right to pursue actual damages for any failure by the Company to comply with the terms of this Agreement. The Company acknowledges that a breach by it of its obligations hereunder will cause irreparable harm to the Investor and that the remedy at law for any such breach may be inadequate. The Company therefore agrees that, in the event of any such breach or threatened breach, the Investor shall be entitled, in addition to all other available remedies, to an injunction restraining any breach, without the necessity of showing economic loss and without any bond or other security being required.</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150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 Costs</w:t>
      </w:r>
      <w:r>
        <w:rPr>
          <w:rFonts w:ascii="Times New Roman" w:cs="Times New Roman" w:eastAsia="Times New Roman" w:hAnsi="Times New Roman"/>
          <w:sz w:val="18"/>
          <w:szCs w:val="18"/>
          <w:color w:val="auto"/>
        </w:rPr>
        <w:t xml:space="preserve">. If: (i) this Agreement is placed by the Investor in the hands of an attorney for enforcement or is enforced by the Investor through any legal proceeding; (ii) an attorney is retained to represent the Investor in any bankruptcy, reorganization, receivership or other proceedings affecting creditors’ rights and involving a claim under this Agreement; or (iii) subject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an attorney is retained to represent the Investor in any other proceedings whatsoever in connection with this Agreement, then the Company shall pay to the Investor, as incurred by the Investor, all reasonable costs and expenses including attorneys’ fees incurred in connection therewith, in addition to all other amounts due hereunder.</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39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 Failure or Indulgence Not Waiver</w:t>
      </w:r>
      <w:r>
        <w:rPr>
          <w:rFonts w:ascii="Times New Roman" w:cs="Times New Roman" w:eastAsia="Times New Roman" w:hAnsi="Times New Roman"/>
          <w:sz w:val="18"/>
          <w:szCs w:val="18"/>
          <w:color w:val="auto"/>
        </w:rPr>
        <w:t>. No provision of this Agreement (i) may be amended other than by a written instrument signed by both parties hereto and (ii) may be waived other than in a written instrument signed by the party against whom enforcement of such waiver is sought. No failure or delay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79"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Investor and the Company have caused this Purchase Agreement to be duly executed as of the date first written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THE COMPANY: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Peter Hoang</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THE INVESTOR: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LINCOLN PARK CAPITAL FUND, LLC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BY: LINCOLN PARK CAPITAL, LLC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BY: ROCKLEDGE CAPITAL CORPORATION</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Joshua Scheinfeld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Joshua Scheinfeld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COPY</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REGISTRATION RIGHTS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December 12, 2022, is entered into by and between</w:t>
      </w:r>
      <w:r>
        <w:rPr>
          <w:rFonts w:ascii="Times New Roman" w:cs="Times New Roman" w:eastAsia="Times New Roman" w:hAnsi="Times New Roman"/>
          <w:sz w:val="18"/>
          <w:szCs w:val="18"/>
          <w:b w:val="1"/>
          <w:bCs w:val="1"/>
          <w:color w:val="auto"/>
        </w:rPr>
        <w:t xml:space="preserve"> MARKER THERAPEUTICS,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LINCOLN PARK CAPITAL FUND, LLC, </w:t>
      </w:r>
      <w:r>
        <w:rPr>
          <w:rFonts w:ascii="Times New Roman" w:cs="Times New Roman" w:eastAsia="Times New Roman" w:hAnsi="Times New Roman"/>
          <w:sz w:val="18"/>
          <w:szCs w:val="18"/>
          <w:color w:val="auto"/>
        </w:rPr>
        <w:t>an Illinois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company (together with its permitted assigns,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Capitalized terms used herein and not otherwise defined herein shall have the respective meanings set forth in the Purchase Agreement by and between the parties hereto, dated as of the date hereof (as amended, restated, supplemented or otherwise modified from time to time,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jc w:val="both"/>
        <w:ind w:firstLine="656"/>
        <w:spacing w:after="0" w:line="261" w:lineRule="auto"/>
        <w:tabs>
          <w:tab w:leader="none" w:pos="146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of the Purchase Agreement, (i) the Company has agreed to issue to the Investor, and the Investor has agreed to purchase, up to Twenty Five Million Dollars ($25,000,000) of the Company's common stock,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pursuant to the Purchase Agreement (such shares, the “</w:t>
      </w:r>
      <w:r>
        <w:rPr>
          <w:rFonts w:ascii="Times New Roman" w:cs="Times New Roman" w:eastAsia="Times New Roman" w:hAnsi="Times New Roman"/>
          <w:sz w:val="18"/>
          <w:szCs w:val="18"/>
          <w:u w:val="single" w:color="auto"/>
          <w:color w:val="auto"/>
        </w:rPr>
        <w:t>Purchase Shares</w:t>
      </w:r>
      <w:r>
        <w:rPr>
          <w:rFonts w:ascii="Times New Roman" w:cs="Times New Roman" w:eastAsia="Times New Roman" w:hAnsi="Times New Roman"/>
          <w:sz w:val="18"/>
          <w:szCs w:val="18"/>
          <w:color w:val="auto"/>
        </w:rPr>
        <w:t>”), and (ii) the Company has agreed to issue to the Investor such number of shares of Common Stock as is required pursuant to the Purchase Agreement (the “</w:t>
      </w:r>
      <w:r>
        <w:rPr>
          <w:rFonts w:ascii="Times New Roman" w:cs="Times New Roman" w:eastAsia="Times New Roman" w:hAnsi="Times New Roman"/>
          <w:sz w:val="18"/>
          <w:szCs w:val="18"/>
          <w:u w:val="single" w:color="auto"/>
          <w:color w:val="auto"/>
        </w:rPr>
        <w:t>Commitment Shares</w:t>
      </w:r>
      <w:r>
        <w:rPr>
          <w:rFonts w:ascii="Times New Roman" w:cs="Times New Roman" w:eastAsia="Times New Roman" w:hAnsi="Times New Roman"/>
          <w:sz w:val="18"/>
          <w:szCs w:val="18"/>
          <w:color w:val="auto"/>
        </w:rPr>
        <w:t>”); and</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47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induce the Investor to enter into the Purchase Agreement, the Company has agreed to provide certain registration rights under the Securities Act of 1933, as amended, and the rules and regulations thereunder, or any similar successor statute (collectively,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applicable state securities laws.</w:t>
      </w:r>
    </w:p>
    <w:p>
      <w:pPr>
        <w:spacing w:after="0" w:line="17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promises and the mutual covenants contained herein and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hereby acknowledged, the Company and the Investor hereby agree as follows:</w:t>
      </w:r>
    </w:p>
    <w:p>
      <w:pPr>
        <w:spacing w:after="0" w:line="155" w:lineRule="exact"/>
        <w:rPr>
          <w:sz w:val="20"/>
          <w:szCs w:val="20"/>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this Agreement, the following terms shall have the following meanings:</w:t>
      </w:r>
    </w:p>
    <w:p>
      <w:pPr>
        <w:spacing w:after="0" w:line="225" w:lineRule="exact"/>
        <w:rPr>
          <w:sz w:val="20"/>
          <w:szCs w:val="20"/>
          <w:color w:val="auto"/>
        </w:rPr>
      </w:pPr>
    </w:p>
    <w:p>
      <w:pPr>
        <w:jc w:val="both"/>
        <w:ind w:firstLine="1304"/>
        <w:spacing w:after="0" w:line="261" w:lineRule="auto"/>
        <w:tabs>
          <w:tab w:leader="none" w:pos="217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refer to a registration effected by preparing and filing one or more registration statements of the Company in compliance with the Securities Act and pursuant to Rule 415 under the Securities Act or any successor rule providing for offering securities on a continuous basis (“Rule 415”), and the declaration or ordering of effectiveness of such registration statement(s) by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2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means the Purchase Shares that may from time to time be issued or issuable to the Investor upon purchases of the Available Amount (as defined in the Purchase Agreement) under the Purchase Agreement (without regard to any limitation or restriction on purchases), the Commitment Shares issued or issuable to the Investor, and any Common Stock issued or issuable with respect to the Purchase Shares, the Commitment Shares or the Purchase Agreement as a result of any stock split, stock dividend, recapitalization, exchange or similar event, without regard to any limitation on purchases under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2" w:name="page43"/>
    <w:bookmarkEnd w:id="42"/>
    <w:p>
      <w:pPr>
        <w:ind w:firstLine="1304"/>
        <w:spacing w:after="0" w:line="282" w:lineRule="auto"/>
        <w:tabs>
          <w:tab w:leader="none" w:pos="2035"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one or more registration statements of the Company covering only the resale of the Registrable Securities, including for the avoidance of doubt, any New Registration Statement (as defined below).</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1" w:lineRule="auto"/>
        <w:tabs>
          <w:tab w:leader="none" w:pos="2157"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Registration</w:t>
      </w:r>
      <w:r>
        <w:rPr>
          <w:rFonts w:ascii="Times New Roman" w:cs="Times New Roman" w:eastAsia="Times New Roman" w:hAnsi="Times New Roman"/>
          <w:sz w:val="18"/>
          <w:szCs w:val="18"/>
          <w:color w:val="auto"/>
        </w:rPr>
        <w:t>. The Company shall as soon as reasonably practicable, an in any event within twenty (20) Business Days of the date of this Agreement file with the SEC, an initial Registration Statement on Form S-1 covering the maximum number of Registrable Securities as shall be permitted to be included thereon in accordance with applicable SEC rules, regulations and interpretations so as to permit the resale of such Registrable Securities by the Investor under Rule 415 under the Securities Act at then prevailing market prices (and not fixed prices), as mutually determined by both the Company and the Investor in consultation with their respective legal counsel, subject to the aggregate number of authorized shares of the Company’s Common Stock then available for issuance in its Charter and the Exchange Cap (each as defined in the Purchase Agreement), provided, however, that the Company may delay filing or suspend the use of any Registration Statement if the Company determines, upon advice of legal counsel, that in order for the registration statement to not contain a material misstatement or omission, an amendment thereto would be needed, or if the Company’s Board of Directors, upon advice of legal counsel, reasonably believes that such filing or use could materially affect a bona fide business or financing transaction of the Company or would require premature disclosure of information that could materially adversely affect the Company. The initial Registration Statement shall register only the Registrable Securities. The Investor and its counsel shall have a reasonable opportunity to review and comment upon such Registration Statement and any amendment or supplement to such Registration Statement and any Prospectus (as defined below) prior to its filing with the SEC, and the Company shall give due consideration to all such comments. The Investor shall furnish all information reasonably requested by the Company for inclusion therein. The Company shall use its commercially reasonable efforts to have the Registration Statement and any amendment declared effective by the SEC at the earliest practicable date. The Company shall use commercially reasonable efforts to keep the Registration Statement effective pursuant to Rule 415 promulgated under the Securities Act and available for the resale by the Investor of all of the Registrable Securities covered thereby at all times until the earlier of (i) the date on which the Investor shall have resold all the Registrable Securities covered thereby and no Available Amount remains under the Purchase Agreement, (ii) all of the Registrable Securities may be sold by the Investor without Registration pursuant to Rule 144 without limitation as to volume and manner of sale restrictions and no Available Amount remains under the Purchase Agreement,</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34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months after the termination of the Purchase Agreement, and (iv) one year after the date on which no Available Amount remains under the Purchase Agreement (the “</w:t>
      </w:r>
      <w:r>
        <w:rPr>
          <w:rFonts w:ascii="Times New Roman" w:cs="Times New Roman" w:eastAsia="Times New Roman" w:hAnsi="Times New Roman"/>
          <w:sz w:val="18"/>
          <w:szCs w:val="18"/>
          <w:u w:val="single" w:color="auto"/>
          <w:color w:val="auto"/>
        </w:rPr>
        <w:t>Registration Period</w:t>
      </w:r>
      <w:r>
        <w:rPr>
          <w:rFonts w:ascii="Times New Roman" w:cs="Times New Roman" w:eastAsia="Times New Roman" w:hAnsi="Times New Roman"/>
          <w:sz w:val="18"/>
          <w:szCs w:val="18"/>
          <w:color w:val="auto"/>
        </w:rPr>
        <w:t>”). The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1304"/>
        <w:spacing w:after="0" w:line="253" w:lineRule="auto"/>
        <w:tabs>
          <w:tab w:leader="none" w:pos="157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424 Prospectus</w:t>
      </w:r>
      <w:r>
        <w:rPr>
          <w:rFonts w:ascii="Times New Roman" w:cs="Times New Roman" w:eastAsia="Times New Roman" w:hAnsi="Times New Roman"/>
          <w:sz w:val="18"/>
          <w:szCs w:val="18"/>
          <w:color w:val="auto"/>
        </w:rPr>
        <w:t>. The Company shall, as required by applicable securities regulations, from time to time file with the SEC, pursuant to Rule 424 promulgated under the Securities Act, the prospectus and prospectus supplements (any such prospectus or prospectus supplement being referred to herein as a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to be used in connection with sales of the Registrable Securities under the Registration Statement and shall provide that the Registration Statement on Form S-1 filed hereunder shall incorporate documents by reference (including by way of forward incorporation by reference) to the maximum extent possible. Without limiting the foregoing, so long as the Registration Statement is on Form S-1, at any time the Company files a Quarterly Report on Form 10-Q or Current Report on Form 8-K containing material information, the Company shall file a Prospectus to update the Registration Statement to include such material information, and shall file a post-effective amendment to the Registration Statement at the time of the filing by the Company of any Annual Report on Form 10-K. Except in the case of a Prospectus filed solely as required by the immediately preceding sentence, the Investor and its counsel shall have a reasonable opportunity to review and comment upon any such Prospectus prior to its filing with the SEC, and the Company shall give due consideration to all such comments. The Investor shall use its commercially reasonable efforts to comment upon any such Prospectus within one (1) Business Day from the date the Investor receives the substantially final pre-filing version of such Prospectus.</w:t>
      </w:r>
    </w:p>
    <w:p>
      <w:pPr>
        <w:spacing w:after="0" w:line="192" w:lineRule="exact"/>
        <w:rPr>
          <w:sz w:val="20"/>
          <w:szCs w:val="20"/>
          <w:color w:val="auto"/>
        </w:rPr>
      </w:pPr>
    </w:p>
    <w:p>
      <w:pPr>
        <w:jc w:val="both"/>
        <w:ind w:firstLine="1304"/>
        <w:spacing w:after="0" w:line="256" w:lineRule="auto"/>
        <w:tabs>
          <w:tab w:leader="none" w:pos="21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Sufficient Number of Shares Registered</w:t>
      </w:r>
      <w:r>
        <w:rPr>
          <w:rFonts w:ascii="Times New Roman" w:cs="Times New Roman" w:eastAsia="Times New Roman" w:hAnsi="Times New Roman"/>
          <w:sz w:val="18"/>
          <w:szCs w:val="18"/>
          <w:color w:val="auto"/>
        </w:rPr>
        <w:t>. In the event the number of shares available under the Registration Statement at any time is insufficient to cover the Registrable Securities, the Company shall, to the extent necessary and permissible, amend the Registration Statement or file a new registration statement (together with any Prospectuses thereunder, a “</w:t>
      </w:r>
      <w:r>
        <w:rPr>
          <w:rFonts w:ascii="Times New Roman" w:cs="Times New Roman" w:eastAsia="Times New Roman" w:hAnsi="Times New Roman"/>
          <w:sz w:val="18"/>
          <w:szCs w:val="18"/>
          <w:u w:val="single" w:color="auto"/>
          <w:color w:val="auto"/>
        </w:rPr>
        <w:t>New Registration Statement</w:t>
      </w:r>
      <w:r>
        <w:rPr>
          <w:rFonts w:ascii="Times New Roman" w:cs="Times New Roman" w:eastAsia="Times New Roman" w:hAnsi="Times New Roman"/>
          <w:sz w:val="18"/>
          <w:szCs w:val="18"/>
          <w:color w:val="auto"/>
        </w:rPr>
        <w:t>”), so as to cover all of such Registrable Securities as soon as reasonably practicable, but in any event not later than ten (10) Business Days after the necessity therefor arises, subject to any limits that may be imposed by the SEC pursuant to Rule 415. The Company shall use its reasonable best efforts to have such amendment and/or New Registration Statement become effective as soon as reasonably practicable following the filing thereof.</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4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xml:space="preserve">. If the SEC seeks to characterize any offering pursuant to a Registration Statement filed pursuant to this Agreement as constituting an offering of securities that does not permit such Registration Statement to become effective and be used by the Investor under Rule 415 at then-prevailing market prices (and not fixed prices), or if after the filing of the initial Registration Statement with the SEC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the Company is otherwise required by the Staff or the SEC to reduce the number of Registrable Securities included in such initial Registration Statement, then the Company shall reduce the number of Registrable Securities to be included in such initial Registration Statement (with the prior consent, which shall not be unreasonably withheld, of the Investor and its legal counsel as to the specific Registrable Securities to be removed therefrom) until such time as the SEC shall so permit such Registration Statement to become effective and be used as aforesaid. In the event of any reduction in Registrable Securities pursuant to this paragraph, the Company shall file one or more New Registration Statements until such time as all Registrable Securities have been included in Registration Statements that have been declared effective and the Prospectuses contained therein are available for use by the Investor.</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OBLIGATIONS.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the Registration Statement and whenever any Registrable Securities are to be Registered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including on the initial Registration Statement or on any New Registration Statement, the Company shall use its reasonable best efforts to effect the registration of the Registrable Securities in accordance with the intended method of disposition thereof and, pursuant thereto, the Company shall have the following obligations:</w:t>
      </w:r>
    </w:p>
    <w:p>
      <w:pPr>
        <w:spacing w:after="0" w:line="180" w:lineRule="exact"/>
        <w:rPr>
          <w:sz w:val="20"/>
          <w:szCs w:val="20"/>
          <w:color w:val="auto"/>
        </w:rPr>
      </w:pPr>
    </w:p>
    <w:p>
      <w:pPr>
        <w:jc w:val="both"/>
        <w:ind w:firstLine="1304"/>
        <w:spacing w:after="0" w:line="261" w:lineRule="auto"/>
        <w:tabs>
          <w:tab w:leader="none" w:pos="225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Notifications</w:t>
      </w:r>
      <w:r>
        <w:rPr>
          <w:rFonts w:ascii="Times New Roman" w:cs="Times New Roman" w:eastAsia="Times New Roman" w:hAnsi="Times New Roman"/>
          <w:sz w:val="18"/>
          <w:szCs w:val="18"/>
          <w:color w:val="auto"/>
        </w:rPr>
        <w:t>. The Company will notify the Investor promptly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1304"/>
        <w:spacing w:after="0" w:line="261" w:lineRule="auto"/>
        <w:tabs>
          <w:tab w:leader="none" w:pos="2167"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The Company will prepare and file with the SEC such amendments or supplements to the initial Registration Statement, any New Registration Statement and any Prospectus, as applicable, as may be necessary to keep the Registration Statement or any New Registration Statement effective at all times during the Registration Period, and, during such period, comply with the provisions of the Securities Act in connection with the offer, issuance and sale of the Registrable Securities.</w:t>
      </w:r>
    </w:p>
    <w:p>
      <w:pPr>
        <w:spacing w:after="0" w:line="179" w:lineRule="exact"/>
        <w:rPr>
          <w:rFonts w:ascii="Times New Roman" w:cs="Times New Roman" w:eastAsia="Times New Roman" w:hAnsi="Times New Roman"/>
          <w:sz w:val="18"/>
          <w:szCs w:val="18"/>
          <w:color w:val="auto"/>
        </w:rPr>
      </w:pPr>
    </w:p>
    <w:p>
      <w:pPr>
        <w:jc w:val="both"/>
        <w:ind w:firstLine="1304"/>
        <w:spacing w:after="0" w:line="257" w:lineRule="auto"/>
        <w:tabs>
          <w:tab w:leader="none" w:pos="24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Review</w:t>
      </w:r>
      <w:r>
        <w:rPr>
          <w:rFonts w:ascii="Times New Roman" w:cs="Times New Roman" w:eastAsia="Times New Roman" w:hAnsi="Times New Roman"/>
          <w:sz w:val="18"/>
          <w:szCs w:val="18"/>
          <w:color w:val="auto"/>
        </w:rPr>
        <w:t>. The Company will not file any amendment or supplement to the Registration Statement, any New Registration Statement or any Prospectus, other than documents incorporated by reference, relating to the Investor, the Registrable Securities or the transactions contemplated hereby unless (A) the Investor shall have been advised and afforded the opportunity to review and comment thereon at least two</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5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filing with the SEC, (B) the Company shall have given due consideration to any comments thereon received from the Investor or its counsel, and (C) the Investor has not reasonably objected thereto (provided, however, that the failure of the Investor to make such objection shall not relieve the Company of any obligation or liability hereunder), and the Company will furnish to the Investor at the time of filing thereof a copy of any document that upon filing is deemed to be incorporated by reference into the Registration Statement or any Prospectus, except for those documents available via EDGAR.</w:t>
      </w:r>
    </w:p>
    <w:p>
      <w:pPr>
        <w:spacing w:after="0" w:line="186"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75"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S-3</w:t>
      </w:r>
      <w:r>
        <w:rPr>
          <w:rFonts w:ascii="Times New Roman" w:cs="Times New Roman" w:eastAsia="Times New Roman" w:hAnsi="Times New Roman"/>
          <w:sz w:val="18"/>
          <w:szCs w:val="18"/>
          <w:color w:val="auto"/>
        </w:rPr>
        <w:t xml:space="preserve">. Following the Company’s filing of the Form S-3 Registration Statement in accordance with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the Company will cause each amendment or supplement to the Prospectus, other than documents incorporated by reference, to be filed with the SEC as required pursuant to the rules of Form S-3.</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49"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Copies Available</w:t>
      </w:r>
      <w:r>
        <w:rPr>
          <w:rFonts w:ascii="Times New Roman" w:cs="Times New Roman" w:eastAsia="Times New Roman" w:hAnsi="Times New Roman"/>
          <w:sz w:val="18"/>
          <w:szCs w:val="18"/>
          <w:color w:val="auto"/>
        </w:rPr>
        <w:t>. The Company shall furnish to the Investor, (i) promptly after the same is prepared and filed with the SEC, at least one copy of such Registration Statement and any amendment(s) thereto, including financial statements and schedules, all documents incorporated therein by reference and all exhibits, (ii) upon the effectiveness of any Registration Statement, a copy of the Prospectus included in such Registration Statement and all amendments and supplements thereto (or such other number of copies as the Investor may reasonably request) and (iii) such other documents, including copies of any preliminary or final Prospectus, as the Investor may reasonably request from time to time in order to facilitate the disposition of the Registrable Securities owned by the Investor. For the avoidance of doubt, any filing available to the Investor via the SEC’s live EDGAR system shall be deemed “furnished to the Investor” hereunder.</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5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The Company shall take all such action, if any, as is reasonably necessary in order to obtain an exemption for or to qualify (i) the issuance of the Commitment Shares and the sale of the Purchase Shares to the Investor under this Agreement and (ii) any subsequent resale of all Commitment Shares and all Purchase Shares by the Investor, in each case, under applicable securities or “Blue Sky” laws of the states of the United States in such states as is reasonably requested by the Investor during the Registration Period, and shall provide evidence of any such action so taken to the Investor. During the Registration Period, the Company shall promptly notify the Investor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 of any proceeding for such purpose.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1304"/>
        <w:spacing w:after="0" w:line="251" w:lineRule="auto"/>
        <w:tabs>
          <w:tab w:leader="none" w:pos="208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Stop Orders; Material Changes</w:t>
      </w:r>
      <w:r>
        <w:rPr>
          <w:rFonts w:ascii="Times New Roman" w:cs="Times New Roman" w:eastAsia="Times New Roman" w:hAnsi="Times New Roman"/>
          <w:sz w:val="18"/>
          <w:szCs w:val="18"/>
          <w:color w:val="auto"/>
        </w:rPr>
        <w:t>. The Company shall advise the Investor promptly (but in no event later than 24 hours) and shall confirm such advice in writing, in each case: (i) 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the Registration Statement or prohibiting or suspending the use of any Prospectus, or any New Registration Statement, or of the Company’s receipt of any notification of the suspension of qualification of the Registrable Securities for offering or sale in any jurisdiction or the initiation or contemplated initiation of any proceeding for such purpose; and (iii) of the Company becoming aware of the happening of any event, which makes any statement of a material fact made in the Registration Statement or any Prospectus untrue or which requires the making of any additions to or changes to the statements then made in the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the Registration Statement or any Prospectus to comply with the Securities Act or any other law. The Company shall not be required to disclose to the Investor the substance or specific reasons of any of the events set forth in clause (i) through (iii) of the immediately preceding sentence, but rather, shall only be required to disclose that the event has occurred. If at any time the SEC, or any other federal or state governmental authority shall issue any stop order suspending the effectiveness of the Registration Statement or prohibiting or suspending the use of any Prospectus, the Company shall use its reasonable best efforts to obtain the withdrawal of such order at the earliest practicable time. The Company shall furnish to the Investor, without charge and upon request, a copy of any correspondence from the SEC or the staff of the SEC, or any other federal or state governmental authority to the Company or its representatives relating to the Registration Statement, any New Registration Statement or any Prospectus as the case may be. The Company shall not deliver to the Investor any Regular Purchase Notice, Accelerated Purchase Notice or Additional Accelerated Purchase Notice, and the Investor shall not be obligated to purchase any shares of Common Stock under the Purchase Agreement, during the continuation or pendency of any of the foregoing events. If at any time the SEC shall issue any stop order suspending the effectiveness of the Registration Statement or prohibiting or suspending the use of any Prospectus, the Company shall use its reasonable best efforts to obtain the withdrawal of such order at the earliest practicable time. The Company shall furnish to the Investor, without charge and upon request, a copy of any correspondence from the SEC or the staff of the SEC to the Company or its representatives relating to the Registration Statement or any Prospectus, as the case may be.</w:t>
      </w:r>
    </w:p>
    <w:p>
      <w:pPr>
        <w:spacing w:after="0" w:line="20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2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on the Principal Market</w:t>
      </w:r>
      <w:r>
        <w:rPr>
          <w:rFonts w:ascii="Times New Roman" w:cs="Times New Roman" w:eastAsia="Times New Roman" w:hAnsi="Times New Roman"/>
          <w:sz w:val="18"/>
          <w:szCs w:val="18"/>
          <w:color w:val="auto"/>
        </w:rPr>
        <w:t xml:space="preserve">. The Company shall promptly secure the listing, or conditional listing as applicable, of all of the Purchase Shares and Commitment Shares to be issued to the Investor hereunder on the Principal Market (subject to standard listing conditions, if any, for transactions of this nature, official notice of issuance and the Exchange Cap) and upon each other national securities exchange, automated quotation system or trading market, if any, upon which the Common Stock are then listed, quoted or traded, and shall maintain, so long as any Common Stock shall be so listed, such listing of all such Registrable Securities from time to time issuable hereunder. The Company shall use its commercially reasonable best efforts to maintain the listing of the Common Stock on the Principal Market and shall comply in all respects with the Company’s reporting, filing and other obligations under the bylaws or rules and regulations of the Principal Market. The Company shall not take any action that would reasonably be expected to result in the delisting or suspension of the Common Stock on the Principal Market. The Company shall promptly, and in no event later than the following Business Day, provide to the Investor copies of any notices it receives from any Person regarding the continued eligibility of the Common Stock for listing on the Principal Market; provided, however, that the Company shall not provide the Investor copies of any such notice that the Company reasonably believes constitutes material non-public information and that the Company would not be required to publicly disclose such notice in any report or statement filed with the SEC under the Exchange Act (including on Form 8-K) or the Securities Act. The Company shall pay all fees and expenses in connection with satisfying its obligations under this </w:t>
      </w:r>
      <w:r>
        <w:rPr>
          <w:rFonts w:ascii="Times New Roman" w:cs="Times New Roman" w:eastAsia="Times New Roman" w:hAnsi="Times New Roman"/>
          <w:sz w:val="18"/>
          <w:szCs w:val="18"/>
          <w:u w:val="single" w:color="auto"/>
          <w:color w:val="auto"/>
        </w:rPr>
        <w:t>Section 3(h)</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1304"/>
        <w:spacing w:after="0" w:line="261" w:lineRule="auto"/>
        <w:tabs>
          <w:tab w:leader="none" w:pos="20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Shares</w:t>
      </w:r>
      <w:r>
        <w:rPr>
          <w:rFonts w:ascii="Times New Roman" w:cs="Times New Roman" w:eastAsia="Times New Roman" w:hAnsi="Times New Roman"/>
          <w:sz w:val="18"/>
          <w:szCs w:val="18"/>
          <w:color w:val="auto"/>
        </w:rPr>
        <w:t>. The Company shall cooperate with the Investor to facilitate the timely preparation and delivery of DWAC Shares (not bearing any restrictive legend) representing the Registrable Securities to be offered pursuant to the Registration Statement or any New Registration Statement and enable such DWAC Shares to be in such denominations or amounts as the Investor may reasonably request and registered in such names as the Investor may request.</w:t>
      </w:r>
    </w:p>
    <w:p>
      <w:pPr>
        <w:spacing w:after="0" w:line="179"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shall at all times maintain the services of the Transfer Agent with respect to its Common Stock.</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2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 The Company shall use its reasonable best efforts to cause the Registrable Securities covered by any Registration Statement to be Registered with or approved by such other governmental agencies or authorities in the United States as may be necessary to consummate the disposition of such Registrable Securities.</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2127"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Post-Effective Amendments</w:t>
      </w:r>
      <w:r>
        <w:rPr>
          <w:rFonts w:ascii="Times New Roman" w:cs="Times New Roman" w:eastAsia="Times New Roman" w:hAnsi="Times New Roman"/>
          <w:sz w:val="18"/>
          <w:szCs w:val="18"/>
          <w:color w:val="auto"/>
        </w:rPr>
        <w:t>. If reasonably requested in writing by the Investor, the Company shall (i) as soon as practicable after receipt of written notice from the Investor, incorporate in a prospectus supplement or post-effective amendment such information as the Investor reasonably requests be included therein relating to the sale and distribution of Registrable Securities, including, without limitation, information with respect to the number of Registrable Securities being sold, the purchase price being paid therefor and any other terms of the offering of the Registrable Securities;</w:t>
      </w:r>
    </w:p>
    <w:p>
      <w:pPr>
        <w:spacing w:after="0" w:line="2" w:lineRule="exact"/>
        <w:rPr>
          <w:rFonts w:ascii="Times New Roman" w:cs="Times New Roman" w:eastAsia="Times New Roman" w:hAnsi="Times New Roman"/>
          <w:sz w:val="18"/>
          <w:szCs w:val="18"/>
          <w:color w:val="auto"/>
        </w:rPr>
      </w:pPr>
    </w:p>
    <w:p>
      <w:pPr>
        <w:jc w:val="both"/>
        <w:ind w:right="20" w:firstLine="8"/>
        <w:spacing w:after="0" w:line="255" w:lineRule="auto"/>
        <w:tabs>
          <w:tab w:leader="none" w:pos="28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required filings of such prospectus supplement or post-effective amendment as soon as practicable upon notification of the matters to be incorporated in such prospectus supplement or post-effective amendment; and (iii) supplement or make amendments to any Registration Statement or New Registration Statement.</w:t>
      </w:r>
    </w:p>
    <w:p>
      <w:pPr>
        <w:spacing w:after="0" w:line="185" w:lineRule="exact"/>
        <w:rPr>
          <w:rFonts w:ascii="Times New Roman" w:cs="Times New Roman" w:eastAsia="Times New Roman" w:hAnsi="Times New Roman"/>
          <w:sz w:val="18"/>
          <w:szCs w:val="18"/>
          <w:color w:val="auto"/>
        </w:rPr>
      </w:pPr>
    </w:p>
    <w:p>
      <w:pPr>
        <w:jc w:val="both"/>
        <w:ind w:firstLine="1304"/>
        <w:spacing w:after="0" w:line="255" w:lineRule="auto"/>
        <w:tabs>
          <w:tab w:leader="none" w:pos="213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Confirmation of Effectiveness</w:t>
      </w:r>
      <w:r>
        <w:rPr>
          <w:rFonts w:ascii="Times New Roman" w:cs="Times New Roman" w:eastAsia="Times New Roman" w:hAnsi="Times New Roman"/>
          <w:sz w:val="18"/>
          <w:szCs w:val="18"/>
          <w:color w:val="auto"/>
        </w:rPr>
        <w:t xml:space="preserve">. Within one (2) Business Days after any Registration Statement which includes the Registrable Securities is ordered effective by the SEC, the Company shall deliver, and shall cause legal counsel for the Company to deliver, to the Transfer Agent for such Registrable Securities (with copies to the Investor) (i) confirmation that such Registration Statement has been declared effective by the SEC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or such other form acceptable to the Company’s Transfer Agent and (ii) the Commencement Irrevocable Transfer Agent Instructions in the form agreed to prior to the date hereof. Thereafter, if requested by the Investor in writing at any time, the Company shall require its counsel to deliver to the Investor a written confirmation whether the Registration Statement has been declared effective under the Securities Act and if, to its knowledge, whether a stop order suspending the effectiveness of the Registration Statement has been issued or threatened by the SEC.</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firstLine="1304"/>
        <w:spacing w:after="0" w:line="282" w:lineRule="auto"/>
        <w:tabs>
          <w:tab w:leader="none" w:pos="21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Company agrees to take all other reasonable actions as necessary and reasonably requested by the Investor to expedite and facilitate disposition by the Investor of Registrable Securities pursuant to any Registration Statement.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5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 xml:space="preserve">. The Investor agrees that, upon receipt of any notice from the Company of the existence of any suspension or stop order as set forth in </w:t>
      </w:r>
      <w:r>
        <w:rPr>
          <w:rFonts w:ascii="Times New Roman" w:cs="Times New Roman" w:eastAsia="Times New Roman" w:hAnsi="Times New Roman"/>
          <w:sz w:val="18"/>
          <w:szCs w:val="18"/>
          <w:u w:val="single" w:color="auto"/>
          <w:color w:val="auto"/>
        </w:rPr>
        <w:t>Section 3(f)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3(g)</w:t>
      </w:r>
      <w:r>
        <w:rPr>
          <w:rFonts w:ascii="Times New Roman" w:cs="Times New Roman" w:eastAsia="Times New Roman" w:hAnsi="Times New Roman"/>
          <w:sz w:val="18"/>
          <w:szCs w:val="18"/>
          <w:color w:val="auto"/>
        </w:rPr>
        <w:t xml:space="preserve">, the Investor will immediately discontinue disposition of Registrable Securities pursuant to any Registration Statement covering such Registrable Securities until the Investor's receipt of the copies of a notice regarding the resolution or withdrawal of the suspension or stop order as contemplated by </w:t>
      </w:r>
      <w:r>
        <w:rPr>
          <w:rFonts w:ascii="Times New Roman" w:cs="Times New Roman" w:eastAsia="Times New Roman" w:hAnsi="Times New Roman"/>
          <w:sz w:val="18"/>
          <w:szCs w:val="18"/>
          <w:u w:val="single" w:color="auto"/>
          <w:color w:val="auto"/>
        </w:rPr>
        <w:t>Section 3(f)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3(g)</w:t>
      </w:r>
      <w:r>
        <w:rPr>
          <w:rFonts w:ascii="Times New Roman" w:cs="Times New Roman" w:eastAsia="Times New Roman" w:hAnsi="Times New Roman"/>
          <w:sz w:val="18"/>
          <w:szCs w:val="18"/>
          <w:color w:val="auto"/>
        </w:rPr>
        <w:t xml:space="preserve">. Notwithstanding anything to the contrary, the Company shall cause its transfer agent to promptly deliver to the Investor DWAC Shares without any restrictive legend in accordance with the terms of the Purchase Agreement in connection with any sale of Registrable Securities with respect to which the Investor has entered into a contract for sale prior to the Investor’s receipt of a notice from the Company of the happening of any event of the kind described in </w:t>
      </w:r>
      <w:r>
        <w:rPr>
          <w:rFonts w:ascii="Times New Roman" w:cs="Times New Roman" w:eastAsia="Times New Roman" w:hAnsi="Times New Roman"/>
          <w:sz w:val="18"/>
          <w:szCs w:val="18"/>
          <w:u w:val="single" w:color="auto"/>
          <w:color w:val="auto"/>
        </w:rPr>
        <w:t>Section 3(f)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3(g)</w:t>
      </w:r>
      <w:r>
        <w:rPr>
          <w:rFonts w:ascii="Times New Roman" w:cs="Times New Roman" w:eastAsia="Times New Roman" w:hAnsi="Times New Roman"/>
          <w:sz w:val="18"/>
          <w:szCs w:val="18"/>
          <w:color w:val="auto"/>
        </w:rPr>
        <w:t xml:space="preserve"> and for which the Investor has not yet settled.</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OBLIGATIONS OF THE INVESTOR.</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217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Information</w:t>
      </w:r>
      <w:r>
        <w:rPr>
          <w:rFonts w:ascii="Times New Roman" w:cs="Times New Roman" w:eastAsia="Times New Roman" w:hAnsi="Times New Roman"/>
          <w:sz w:val="18"/>
          <w:szCs w:val="18"/>
          <w:color w:val="auto"/>
        </w:rPr>
        <w:t xml:space="preserve">. The Investor has furnished to the Company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such information regarding itself, the Registrable Securities held by it, and the intended method of disposition thereof, including any arrangement between the Investor and any other Person relating to the sale or distribution of the Securities, as required to effect the registration of such Registrable Securities and shall execute such documents in connection with such registration as the Company may reasonably request. The Company shall notify the Investor in writing of any other information the Company reasonably requires from the Investor in connection with any Registration Statement hereunder. The Investor will as promptly as practicable notify the Company of any material change in the information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other than changes in its ownership of Common Stock.</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2329"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Cooperation</w:t>
      </w:r>
      <w:r>
        <w:rPr>
          <w:rFonts w:ascii="Times New Roman" w:cs="Times New Roman" w:eastAsia="Times New Roman" w:hAnsi="Times New Roman"/>
          <w:sz w:val="18"/>
          <w:szCs w:val="18"/>
          <w:color w:val="auto"/>
        </w:rPr>
        <w:t>. The Investor agrees to cooperate with the Company as reasonably requested by the Company in connection with the preparation and filing of any amendments and supplements to any Registration Statement or New Registration Statement hereunder.</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REGISTRATION.</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All reasonable expenses of the Company, other than sales or brokerage commissions and fees and disbursements of counsel for, and other expenses of, the Investor, incurred in connection with registrations, filings or qualifications pursuant to </w:t>
      </w:r>
      <w:r>
        <w:rPr>
          <w:rFonts w:ascii="Times New Roman" w:cs="Times New Roman" w:eastAsia="Times New Roman" w:hAnsi="Times New Roman"/>
          <w:sz w:val="18"/>
          <w:szCs w:val="18"/>
          <w:u w:val="single" w:color="auto"/>
          <w:color w:val="auto"/>
        </w:rPr>
        <w:t>Sections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including, without limitation, all registration, listing and qualifications fees, printers and accounting fees, and fees and disbursements of counsel for the Company, shall be paid by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960" w:hanging="324"/>
        <w:spacing w:after="0"/>
        <w:tabs>
          <w:tab w:leader="none" w:pos="9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229" w:lineRule="exact"/>
        <w:rPr>
          <w:rFonts w:ascii="Times New Roman" w:cs="Times New Roman" w:eastAsia="Times New Roman" w:hAnsi="Times New Roman"/>
          <w:sz w:val="18"/>
          <w:szCs w:val="18"/>
          <w:b w:val="1"/>
          <w:bCs w:val="1"/>
          <w:color w:val="auto"/>
        </w:rPr>
      </w:pPr>
    </w:p>
    <w:p>
      <w:pPr>
        <w:jc w:val="both"/>
        <w:ind w:left="-20" w:firstLine="1304"/>
        <w:spacing w:after="0" w:line="251" w:lineRule="auto"/>
        <w:tabs>
          <w:tab w:leader="none" w:pos="20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the Company will, and hereby does, indemnify, hold harmless and defend the Investor, each Person, if any, who controls the Investor, the members, the directors, officers, partners, equityholders, employees, members, managers, agents and representatives of the Investor and each Person, if any, who controls the Investor within the meaning of the Securities Act or the Exchange Act (each,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against any losses, claims, damages, liabilities, judgments, fines, penalties, charges, costs, reasonable attorneys’ fees, amounts paid in settlement (with the consent of the Company, such consent not to be unreasonably withheld) or reasonable expenses, (collectively,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w:t>
      </w:r>
      <w:r>
        <w:rPr>
          <w:rFonts w:ascii="Times New Roman" w:cs="Times New Roman" w:eastAsia="Times New Roman" w:hAnsi="Times New Roman"/>
          <w:sz w:val="18"/>
          <w:szCs w:val="18"/>
          <w:u w:val="single" w:color="auto"/>
          <w:color w:val="auto"/>
        </w:rPr>
        <w:t>Indemnified Damages</w:t>
      </w:r>
      <w:r>
        <w:rPr>
          <w:rFonts w:ascii="Times New Roman" w:cs="Times New Roman" w:eastAsia="Times New Roman" w:hAnsi="Times New Roman"/>
          <w:sz w:val="18"/>
          <w:szCs w:val="18"/>
          <w:color w:val="auto"/>
        </w:rPr>
        <w:t>”), to which any of them may become subject insofar as such Claims (or actions or proceedings, whether commenced or threatened, in respect thereof) arise out of or are based upon: (i) any untrue statement or alleged untrue statement of a material fact in the initial Registration Statement, any New Registration Statement or any post-effective amendment thereto or in any filing made in connection with the qualification of the offering under the securities or other “blue sky” laws of any jurisdiction in which Registrable Securities are offered (“</w:t>
      </w:r>
      <w:r>
        <w:rPr>
          <w:rFonts w:ascii="Times New Roman" w:cs="Times New Roman" w:eastAsia="Times New Roman" w:hAnsi="Times New Roman"/>
          <w:sz w:val="18"/>
          <w:szCs w:val="18"/>
          <w:u w:val="single" w:color="auto"/>
          <w:color w:val="auto"/>
        </w:rPr>
        <w:t>Blue Sky Filing</w:t>
      </w:r>
      <w:r>
        <w:rPr>
          <w:rFonts w:ascii="Times New Roman" w:cs="Times New Roman" w:eastAsia="Times New Roman" w:hAnsi="Times New Roman"/>
          <w:sz w:val="18"/>
          <w:szCs w:val="18"/>
          <w:color w:val="auto"/>
        </w:rPr>
        <w:t>”), or the omission or alleged omission to state a material fact required to be stated therein or necessary to make the statements therein not misleading, (ii) any untrue statement or alleged untrue statement of a material fact contained in the Prospectus or the omission or alleged omission to state therein any material fact necessary to make the statements made therein, in light of the circumstances under which the statements therein were made, not misleading, (iii) any violation or alleged violation by the Company of the Securities Act, the Exchange Act, any other law, including, without limitation, any state securities law, or any rule or regulation thereunder relating to the offer or sale of the Registrable Securities pursuant to the initial Registration Statement or any New Registration Statement or (iv) any violation by the Company of this Agreement (the matters in the foregoing clauses (i) through (iv) being, collectively, “</w:t>
      </w:r>
      <w:r>
        <w:rPr>
          <w:rFonts w:ascii="Times New Roman" w:cs="Times New Roman" w:eastAsia="Times New Roman" w:hAnsi="Times New Roman"/>
          <w:sz w:val="18"/>
          <w:szCs w:val="18"/>
          <w:u w:val="single" w:color="auto"/>
          <w:color w:val="auto"/>
        </w:rPr>
        <w:t>Violations</w:t>
      </w:r>
      <w:r>
        <w:rPr>
          <w:rFonts w:ascii="Times New Roman" w:cs="Times New Roman" w:eastAsia="Times New Roman" w:hAnsi="Times New Roman"/>
          <w:sz w:val="18"/>
          <w:szCs w:val="18"/>
          <w:color w:val="auto"/>
        </w:rPr>
        <w:t xml:space="preserve">”). The Company shall reimburse each Indemnified Person promptly as such expenses are incurred and are due and payable, for any reasonable out-of-pocket legal fees or other reasonable expenses incurred by them in connection with investigating or defending any such Claim. Notwithstanding anything to the contrary contained herein, the indemnification agreement contained in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(A) shall not apply to a Claim by an Indemnified Person arising out of or based upon a Violation which occurs in reliance upon and in conformity with information furnished in writing to the Company by the Investor or such Indemnified Person expressly for use in connection with the preparation of the initial Registration Statement, any New Registration Statement, any Prospectus, or any such amendment thereof or supplement thereto, if such in each case if the foregoing was timely made available by the Company; (B) with respect to use by an Indemnified Person of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if such revised Prospectus was timely made available by the Company pursuant to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and the Indemnified Person was promptly advised in writing not to use the incorrect Prospectus prior to the use giving rise to a violation; and (C)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 and shall survive the transfer of the Registrable Securities by the Investor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0" w:right="339" w:bottom="1440" w:gutter="0" w:footer="0" w:header="0"/>
        </w:sectPr>
      </w:pPr>
    </w:p>
    <w:bookmarkStart w:id="49" w:name="page50"/>
    <w:bookmarkEnd w:id="49"/>
    <w:p>
      <w:pPr>
        <w:jc w:val="both"/>
        <w:ind w:firstLine="1304"/>
        <w:spacing w:after="0" w:line="252" w:lineRule="auto"/>
        <w:tabs>
          <w:tab w:leader="none" w:pos="205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initial Registration Statement, any New Registration Statement or any Prospectus, the Investor agrees to indemnify, hold harmless and defend, to the same extent and in the same manner as is set forth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the Company, each of its directors, each of its officers who signed the initial Registration Statement or signs any New Registration Statement, and each Person, if any, who controls the Company within the meaning of the Securities Act or the Exchange Act (collectively and together with an Indemnified Person,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against any Claim or Indemnified Damages to which any of them may become subject, under the Securities Act, the Exchange Act or otherwise, insofar as such Claim or Indemnified Damages arise out of or are based upon any Violation, in each case to the extent, and only to the extent, that such Violation occurs in reliance upon and in conformity with written information about the Investor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or updated from time to time in writing by the Investor and furnished to the Company by the Investor expressly for inclusion in the initial Registration Statement, any New Registration Statement or any Prospectus; and, subject to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the Investor will reimburse any reasonable out-of-pocket legal or other expenses reasonably incurred by them in connection with investigating or defending any such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indemnity agreement contained in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and the agreement with respect to contribution contained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not apply to amounts paid in settlement of any Claim if such settlement is effected without the prior written consent of the Investor, which consent shall not be unreasonably withheld;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Investor shall be liable under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for only that amount of a Claim or Indemnified Damages as does not exceed the net proceeds to the Investor as a result of the sale of Registrable Securities pursuant to such Registration Statement. Such indemnity shall remain in full force and effect regardless of any investigation made by or on behalf of such Indemnified Party and shall survive the transfer of the Registrable Securities by the Investor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8"/>
          <w:szCs w:val="18"/>
          <w:color w:val="auto"/>
        </w:rPr>
      </w:pPr>
    </w:p>
    <w:p>
      <w:pPr>
        <w:jc w:val="both"/>
        <w:ind w:firstLine="1304"/>
        <w:spacing w:after="0" w:line="251" w:lineRule="auto"/>
        <w:tabs>
          <w:tab w:leader="none" w:pos="210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Person or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 Indemnified Person or Indemnified Party shall have the right to retain its own counsel with the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which does not include as an unconditional term thereof the giving by the claimant or plaintiff to such Indemnified Party or Indemnified Person of a release from all liability in respect to such claim or litigation or which includes any admission as to fault, culpability or failure to act on the part of such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except to the extent that the indemnifying party is prejudiced in its ability to defend such action.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1304"/>
        <w:spacing w:after="0" w:line="266" w:lineRule="auto"/>
        <w:tabs>
          <w:tab w:leader="none" w:pos="20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indemnification required by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which person is later determined to not be entitled to such payment shall return such payment to the person making it.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32"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agreements contained herein shall be in addition to (i) any cause of action or similar right (at law or in equity) of the Indemnified Party or Indemnified Person against the indemnifying party or others, and (ii) any liabilities the indemnifying party may be subject to pursuant to the law.</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CONTRIBUTION.</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received by such seller from the sale of such Registrable Securities.</w:t>
      </w:r>
    </w:p>
    <w:p>
      <w:pPr>
        <w:spacing w:after="0" w:line="179" w:lineRule="exact"/>
        <w:rPr>
          <w:sz w:val="20"/>
          <w:szCs w:val="20"/>
          <w:color w:val="auto"/>
        </w:rPr>
      </w:pPr>
    </w:p>
    <w:p>
      <w:pPr>
        <w:ind w:left="980" w:hanging="324"/>
        <w:spacing w:after="0"/>
        <w:tabs>
          <w:tab w:leader="none" w:pos="9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REPORTS AND DISCLOSURE UNDER THE SECURITIES ACT.</w:t>
      </w:r>
    </w:p>
    <w:p>
      <w:pPr>
        <w:spacing w:after="0" w:line="229" w:lineRule="exact"/>
        <w:rPr>
          <w:sz w:val="20"/>
          <w:szCs w:val="20"/>
          <w:color w:val="auto"/>
        </w:rPr>
      </w:pPr>
    </w:p>
    <w:p>
      <w:pPr>
        <w:ind w:right="360" w:firstLine="972"/>
        <w:spacing w:after="0" w:line="266" w:lineRule="auto"/>
        <w:rPr>
          <w:sz w:val="20"/>
          <w:szCs w:val="20"/>
          <w:color w:val="auto"/>
        </w:rPr>
      </w:pPr>
      <w:r>
        <w:rPr>
          <w:rFonts w:ascii="Times New Roman" w:cs="Times New Roman" w:eastAsia="Times New Roman" w:hAnsi="Times New Roman"/>
          <w:sz w:val="18"/>
          <w:szCs w:val="18"/>
          <w:color w:val="auto"/>
        </w:rPr>
        <w:t>With a view to making available to the Investor the benefits of Rule 144 promulgated under the Securities Act or any other similar rule or regulation of the SEC that may at any time permit the Investor to sell securities of the Company to the public without registration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the Company agrees, at the Company’s sole expense, to:</w:t>
      </w:r>
    </w:p>
    <w:p>
      <w:pPr>
        <w:spacing w:after="0" w:line="176" w:lineRule="exact"/>
        <w:rPr>
          <w:sz w:val="20"/>
          <w:szCs w:val="20"/>
          <w:color w:val="auto"/>
        </w:rPr>
      </w:pPr>
    </w:p>
    <w:p>
      <w:pPr>
        <w:ind w:left="1220" w:hanging="240"/>
        <w:spacing w:after="0"/>
        <w:tabs>
          <w:tab w:leader="none" w:pos="12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public information available, as those terms are understood and defined in Rule 144;</w:t>
      </w:r>
    </w:p>
    <w:p>
      <w:pPr>
        <w:spacing w:after="0" w:line="225" w:lineRule="exact"/>
        <w:rPr>
          <w:rFonts w:ascii="Times New Roman" w:cs="Times New Roman" w:eastAsia="Times New Roman" w:hAnsi="Times New Roman"/>
          <w:sz w:val="18"/>
          <w:szCs w:val="18"/>
          <w:color w:val="auto"/>
        </w:rPr>
      </w:pPr>
    </w:p>
    <w:p>
      <w:pPr>
        <w:ind w:right="100" w:firstLine="980"/>
        <w:spacing w:after="0" w:line="266" w:lineRule="auto"/>
        <w:tabs>
          <w:tab w:leader="none" w:pos="122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SEC in a timely manner all reports and other documents required of the Company under the Securities Act and the Exchange Act so long as the Company remains subject to such requirements and the filing of such reports and other documents is required for the applicable provisions of Rule 144;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right="120" w:firstLine="980"/>
        <w:spacing w:after="0" w:line="261" w:lineRule="auto"/>
        <w:tabs>
          <w:tab w:leader="none" w:pos="121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Investor so long as the Investor owns Registrable Securities, promptly upon written reasonable request, (i) a written statement by the Company that it has complied with the reporting and or disclosure provisions of Rule 144, the Securities Act and the Exchange Act, (ii) a copy of the most recent annual or quarterly report of the Company and such other reports and documents so filed by the Company, and (iii) such other information as may be reasonably requested to permit the Investor to sell such securities pursuant to Rule 144 without registration; and</w:t>
      </w:r>
    </w:p>
    <w:p>
      <w:pPr>
        <w:spacing w:after="0" w:line="179" w:lineRule="exact"/>
        <w:rPr>
          <w:rFonts w:ascii="Times New Roman" w:cs="Times New Roman" w:eastAsia="Times New Roman" w:hAnsi="Times New Roman"/>
          <w:sz w:val="18"/>
          <w:szCs w:val="18"/>
          <w:color w:val="auto"/>
        </w:rPr>
      </w:pPr>
    </w:p>
    <w:p>
      <w:pPr>
        <w:ind w:right="60" w:firstLine="980"/>
        <w:spacing w:after="0" w:line="256" w:lineRule="auto"/>
        <w:tabs>
          <w:tab w:leader="none" w:pos="122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additional action as is reasonably requested by the Investor to enable the Investor to sell the Registrable Securities pursuant to Rule 144, including, delivering all such legal opinions, consents, certificates, resolutions and instructions to the Company’s Transfer Agent as may be reasonably requested in writing from time to time by the Investor and otherwise fully cooperate with Investor and Investor’s broker to effect such sale of securities pursuant to Rule 144; provided, however, the Investor and its broker shall cooperate with the Company and its counsel and provide the necessary certificates, instructions and other documents reasonably requested by the Company or its counsel in order to enable the Investor to sell the Registrable Securities pursuant to Rule 144.</w:t>
      </w:r>
    </w:p>
    <w:p>
      <w:pPr>
        <w:spacing w:after="0" w:line="187" w:lineRule="exact"/>
        <w:rPr>
          <w:sz w:val="20"/>
          <w:szCs w:val="20"/>
          <w:color w:val="auto"/>
        </w:rPr>
      </w:pPr>
    </w:p>
    <w:p>
      <w:pPr>
        <w:ind w:right="240" w:firstLine="972"/>
        <w:spacing w:after="0" w:line="261" w:lineRule="auto"/>
        <w:rPr>
          <w:sz w:val="20"/>
          <w:szCs w:val="20"/>
          <w:color w:val="auto"/>
        </w:rPr>
      </w:pPr>
      <w:r>
        <w:rPr>
          <w:rFonts w:ascii="Times New Roman" w:cs="Times New Roman" w:eastAsia="Times New Roman" w:hAnsi="Times New Roman"/>
          <w:sz w:val="18"/>
          <w:szCs w:val="18"/>
          <w:color w:val="auto"/>
        </w:rPr>
        <w:t>The Company agrees that damages may be an inadequate remedy for any breach of the terms and provisions of this Section 8 and that Investor shall, whether or not it is pursuing any remedies at law, be entitled to seek equitable relief in the form of a preliminary or permanent injunction, without the necessity of showing economic loss and without having to post any bond or other security, upon any breach or threatened breach of any such terms or provisions.</w:t>
      </w:r>
    </w:p>
    <w:p>
      <w:pPr>
        <w:spacing w:after="0" w:line="176" w:lineRule="exact"/>
        <w:rPr>
          <w:sz w:val="20"/>
          <w:szCs w:val="20"/>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 OF REGISTRATION RIGHTS.</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Company shall not assign this Agreement or any rights or obligations hereunder without the prior written consent of the Investor; provided, however, that any transaction, whether by merger, reorganization, restructuring, consolidation, financing or otherwise, whereby the Company remains the surviving entity immediately after such transaction shall not be deemed an assignment. The Investor may not assign its rights under this Agreement without the prior written consent of the Company, other than to an affiliate of the Investor controlled by Jonathan Cope or Josh Scheinfeld, in which case the assignee must agree in writing to be bound by the terms and conditions of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 AMENDMENT OF REGISTRATION RIGHTS.</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No provision of this Agreement may be amended or waived by the parties from and after the date that is one (1) Business Day immediately preceding the initial filing of the Registration Statement with the SEC. Subject to the immediately preceding sentence, no provision of this Agreement may be (i) amended other than by a written instrument signed by both parties hereto or (ii) waived other than in a written instrument signed by the party against whom enforcement of such waiver is sought. Failure of any party to exercise any right or remedy under this Agreement or otherwise, or delay by a party in exercising such right or remedy, shall not operate as a waiver thereof.</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ind w:left="980" w:hanging="324"/>
        <w:spacing w:after="0"/>
        <w:tabs>
          <w:tab w:leader="none" w:pos="98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8" w:lineRule="auto"/>
        <w:tabs>
          <w:tab w:leader="none" w:pos="211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consents or other communications required or permitted to be given under the terms of this Agreement must be in writing and will be deemed to have been delivered: (i) upon receipt when delivered personally; (ii) upon receipt when sent by email (provided confirmation of transmission is mechanically or electronically generated and kept on file by the sending party); or (iii) one Business Day after deposit with a nationally recognized overnight delivery service, in each case properly addressed to the party to receive the same. The addresses for such communications shall be: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Marker Therapuetics,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4551 Kennedy Commerce Dr.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Houston, Texas 77027</w:t>
      </w:r>
    </w:p>
    <w:p>
      <w:pPr>
        <w:spacing w:after="0" w:line="9" w:lineRule="exact"/>
        <w:rPr>
          <w:sz w:val="20"/>
          <w:szCs w:val="20"/>
          <w:color w:val="auto"/>
        </w:rPr>
      </w:pPr>
    </w:p>
    <w:p>
      <w:pPr>
        <w:ind w:left="1300"/>
        <w:spacing w:after="0"/>
        <w:tabs>
          <w:tab w:leader="none" w:pos="24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phoang@marker.com</w:t>
      </w:r>
    </w:p>
    <w:p>
      <w:pPr>
        <w:spacing w:after="0" w:line="9"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8"/>
          <w:szCs w:val="18"/>
          <w:color w:val="auto"/>
        </w:rPr>
        <w:t>Attention:</w:t>
        <w:tab/>
        <w:t>Peter Hoang</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 (which shall not constitute notice or service of process):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1299 Pennsylvania Avenue NW, Suite 700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 (202) 728-7087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madison.jones@cooley.com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Madison Jones, Esq.</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Investor: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Lincoln Park Capital Fund,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440 North Wells, Suite 410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Chicago, IL 60654</w:t>
      </w:r>
    </w:p>
    <w:p>
      <w:pPr>
        <w:spacing w:after="0" w:line="9"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18"/>
          <w:szCs w:val="18"/>
          <w:color w:val="auto"/>
        </w:rPr>
        <w:t>Telephone:</w:t>
        <w:tab/>
        <w:t>(312) 822-9300</w:t>
      </w:r>
    </w:p>
    <w:p>
      <w:pPr>
        <w:spacing w:after="0" w:line="9"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jscheinfeld@lpcfunds.com/jcope@lpcfunds.com</w:t>
      </w:r>
    </w:p>
    <w:p>
      <w:pPr>
        <w:spacing w:after="0" w:line="9" w:lineRule="exact"/>
        <w:rPr>
          <w:sz w:val="20"/>
          <w:szCs w:val="20"/>
          <w:color w:val="auto"/>
        </w:rPr>
      </w:pPr>
    </w:p>
    <w:p>
      <w:pPr>
        <w:ind w:left="1300"/>
        <w:spacing w:after="0"/>
        <w:tabs>
          <w:tab w:leader="none" w:pos="23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Josh Scheinfeld/Jonathan Cope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 (which shall not constitute notice or service of process):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Katten Muchin Rosenman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525 W. Monroe St.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Chicago, IL 60661</w:t>
      </w:r>
    </w:p>
    <w:p>
      <w:pPr>
        <w:spacing w:after="0" w:line="9"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Telephone:</w:t>
        <w:tab/>
        <w:t>(312) 902-5493</w:t>
      </w:r>
    </w:p>
    <w:p>
      <w:pPr>
        <w:spacing w:after="0" w:line="9"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mark.wood@katten.com</w:t>
      </w:r>
    </w:p>
    <w:p>
      <w:pPr>
        <w:spacing w:after="0" w:line="9"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Mark D. Wood, Esq.</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Transfer Agent: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American Stock Transfer &amp; Company,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6201 15th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Brooklyn, New York 11219</w:t>
      </w:r>
    </w:p>
    <w:p>
      <w:pPr>
        <w:spacing w:after="0" w:line="9" w:lineRule="exact"/>
        <w:rPr>
          <w:sz w:val="20"/>
          <w:szCs w:val="20"/>
          <w:color w:val="auto"/>
        </w:rPr>
      </w:pPr>
    </w:p>
    <w:p>
      <w:pPr>
        <w:ind w:left="1300"/>
        <w:spacing w:after="0"/>
        <w:tabs>
          <w:tab w:leader="none" w:pos="22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u w:val="single" w:color="auto"/>
          <w:color w:val="auto"/>
        </w:rPr>
        <w:t>WTorre@astfinancial.com</w:t>
      </w:r>
    </w:p>
    <w:p>
      <w:pPr>
        <w:spacing w:after="0" w:line="9"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8"/>
          <w:szCs w:val="18"/>
          <w:color w:val="auto"/>
        </w:rPr>
        <w:t>Attention:</w:t>
        <w:tab/>
        <w:t>Bill Torre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jc w:val="both"/>
        <w:spacing w:after="0" w:line="256" w:lineRule="auto"/>
        <w:rPr>
          <w:sz w:val="20"/>
          <w:szCs w:val="20"/>
          <w:color w:val="auto"/>
        </w:rPr>
      </w:pPr>
      <w:r>
        <w:rPr>
          <w:rFonts w:ascii="Times New Roman" w:cs="Times New Roman" w:eastAsia="Times New Roman" w:hAnsi="Times New Roman"/>
          <w:sz w:val="18"/>
          <w:szCs w:val="18"/>
          <w:color w:val="auto"/>
        </w:rPr>
        <w:t>or at such other address, email address and/or facsimile number and/or to the attention of such other Person as the recipient party has specified by written notice given to each other party three (3) Business Days prior to the effectiveness of such change. Written confirmation of receipt (A) given by the recipient of such notice, consent or other communication, (B) mechanically or electronically generated by the sender’s facsimile machine or email account containing the time, date, and recipient facsimile number or email address, as applicable, or (C) provided by a nationally recognized overnight delivery service, shall be rebuttable evidence of personal service, receipt by facsimile or email or deposit with a nationally recognized overnight delivery service in accordance with clause (i), (ii) or (iii) above, respectively.</w:t>
      </w:r>
    </w:p>
    <w:p>
      <w:pPr>
        <w:spacing w:after="0" w:line="187" w:lineRule="exact"/>
        <w:rPr>
          <w:sz w:val="20"/>
          <w:szCs w:val="20"/>
          <w:color w:val="auto"/>
        </w:rPr>
      </w:pPr>
    </w:p>
    <w:p>
      <w:pPr>
        <w:ind w:right="20" w:firstLine="1304"/>
        <w:spacing w:after="0" w:line="282" w:lineRule="auto"/>
        <w:tabs>
          <w:tab w:leader="none" w:pos="209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xml:space="preserve"> No failure or delay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61"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7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and venue in the U.S. District Court for the Southern District of New York or, if that court does not have subject matter jurisdiction, in any state court located in the City and County of New York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w:t>
      </w:r>
      <w:r>
        <w:rPr>
          <w:rFonts w:ascii="Times New Roman" w:cs="Times New Roman" w:eastAsia="Times New Roman" w:hAnsi="Times New Roman"/>
          <w:sz w:val="18"/>
          <w:szCs w:val="18"/>
          <w:b w:val="1"/>
          <w:bCs w:val="1"/>
          <w:color w:val="auto"/>
        </w:rPr>
        <w:t>EACH PARTY HEREBY IRREVOCABLY WAIVES ANY</w:t>
      </w:r>
    </w:p>
    <w:p>
      <w:pPr>
        <w:spacing w:after="0" w:line="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IT MAY HAVE, AND AGREES NOT TO REQUEST, A JURY TRIAL FOR THE ADJUDICATION OF ANY DISPUTE HEREUNDER OR IN CONNECTION HEREWITH OR ARISING OUT OF THIS AGREEMENT OR ANY TRANSACTION CONTEMPLATED HEREBY.</w:t>
      </w:r>
    </w:p>
    <w:p>
      <w:pPr>
        <w:spacing w:after="0" w:line="177" w:lineRule="exact"/>
        <w:rPr>
          <w:rFonts w:ascii="Times New Roman" w:cs="Times New Roman" w:eastAsia="Times New Roman" w:hAnsi="Times New Roman"/>
          <w:sz w:val="18"/>
          <w:szCs w:val="18"/>
          <w:color w:val="auto"/>
        </w:rPr>
      </w:pPr>
    </w:p>
    <w:p>
      <w:pPr>
        <w:jc w:val="both"/>
        <w:ind w:firstLine="1304"/>
        <w:spacing w:after="0" w:line="259" w:lineRule="auto"/>
        <w:tabs>
          <w:tab w:leader="none" w:pos="205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Purchase Agreement and the other Transaction Documents constitute the entire understanding among the parties hereto with respect to the subject matter hereof and thereof. There are no restrictions, promises, warranties or undertakings, other than those set forth or referred to herein and therein. This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Purchase Agreement and the other Transaction Documents supersede all other prior oral or written agreements between the Investor, the Company, their affiliates and persons acting on their behalf with respect to the subject matter hereof and thereof.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ind w:firstLine="1304"/>
        <w:spacing w:after="0" w:line="282" w:lineRule="auto"/>
        <w:tabs>
          <w:tab w:leader="none" w:pos="210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Benefits</w:t>
      </w:r>
      <w:r>
        <w:rPr>
          <w:rFonts w:ascii="Times New Roman" w:cs="Times New Roman" w:eastAsia="Times New Roman" w:hAnsi="Times New Roman"/>
          <w:sz w:val="18"/>
          <w:szCs w:val="18"/>
          <w:color w:val="auto"/>
        </w:rPr>
        <w:t xml:space="preserve">. Subject to the requirements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this Agreement shall inure to the benefit of and be binding upon the permitted successors and assigns of each of the parties hereto.</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3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convenience of reference and shall not form part of, or affect the interpretation of,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5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Signatures transmitted by Adobe Sign, DocuSign, RightSignature, electronic mail, or other digital or electronic means will be treated as original signatures for all purposes hereunder, each of which shall be of the same legal effect, validity, and enforceability as a manually executed signature.</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9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22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rules of strict construction will be applied against any party. For the purposes of this Agreement, except to the extent that the context otherwise requires: (i) when a reference is made in this Agreement to an Article, Section, Exhibit or Schedule, such reference is to an Article or Section of, or an Exhibit or Schedule to, this Agreement unless otherwise indicated; (ii) headings for this Agreement are for reference purposes only and do not affect in any way the meaning or interpretation of this Agreement; (iii) whenever the words “include,” “includes” or “including” (or similar terms) are used in this Agreement, they are deemed to be followed by the words “without limitation”; (iv) the words “hereof,” “herein” and “hereunder” and words of similar import, when used in this Agreement, refer to this Agreement as a whole and not to any particular provision of this Agreement; (v) the definitions contained in this Agreement are applicable to the singular as well as the plural forms of such terms; (vi) references to a Person are also to its permitted successors and assigns; and (vii) the use of “or” is not intended to be exclusive unless expressly indicated otherwise.</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212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is intended for the benefit of the parties hereto and their respective permitted successors and assigns, and is not for the benefit of, nor may any provision hereof be enforced by, any other Person.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caused this Registration Rights Agreement to be duly executed as of date first written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7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MARKER THERAPUETICS, INC.</w:t>
      </w:r>
    </w:p>
    <w:p>
      <w:pPr>
        <w:spacing w:after="0" w:line="25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4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THE INVESTOR:</w:t>
      </w:r>
    </w:p>
    <w:p>
      <w:pPr>
        <w:spacing w:after="0" w:line="27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LINCOLN PARK CAPITAL FUND, LLC</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LINCOLN PARK CAPITAL, LLC</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ROCKLEDGE CAPITAL CORPORATION</w:t>
      </w:r>
    </w:p>
    <w:p>
      <w:pPr>
        <w:spacing w:after="0" w:line="25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Joshua Scheinfeld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Joshua Scheinfeld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60"/>
          </w:cols>
          <w:pgMar w:left="320" w:top="900" w:right="81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NOTICE OF EFFECTIVENESS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REGISTRATION STATEMENT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830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17830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counsel to Marker Therapuetics,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have represented the Company in connection with that certain Purchase Agreement, dated as of December 12, 2022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entered into by and between the Company and Lincoln Park Capital Fund, LLC (the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pursuant to which, among other things, the Company has agreed to issue to the Buyer shares of the Company’s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in an amount up to Twenty Five Million Dollars ($25,000,000) (the “</w:t>
      </w:r>
      <w:r>
        <w:rPr>
          <w:rFonts w:ascii="Times New Roman" w:cs="Times New Roman" w:eastAsia="Times New Roman" w:hAnsi="Times New Roman"/>
          <w:sz w:val="18"/>
          <w:szCs w:val="18"/>
          <w:u w:val="single" w:color="auto"/>
          <w:color w:val="auto"/>
        </w:rPr>
        <w:t>Purchase Shares</w:t>
      </w:r>
      <w:r>
        <w:rPr>
          <w:rFonts w:ascii="Times New Roman" w:cs="Times New Roman" w:eastAsia="Times New Roman" w:hAnsi="Times New Roman"/>
          <w:sz w:val="18"/>
          <w:szCs w:val="18"/>
          <w:color w:val="auto"/>
        </w:rPr>
        <w:t>”), in accordance with the terms of the Purchase Agreement. In connection with the transactions contemplated by the Purchase Agreement, the Company has registered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[__________] shares of Common Stock that may be issued and sold by the</w:t>
      </w:r>
    </w:p>
    <w:p>
      <w:pPr>
        <w:spacing w:after="0" w:line="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Company to the Buyer from time to time (the “</w:t>
      </w:r>
      <w:r>
        <w:rPr>
          <w:rFonts w:ascii="Times New Roman" w:cs="Times New Roman" w:eastAsia="Times New Roman" w:hAnsi="Times New Roman"/>
          <w:sz w:val="18"/>
          <w:szCs w:val="18"/>
          <w:u w:val="single" w:color="auto"/>
          <w:color w:val="auto"/>
        </w:rPr>
        <w:t>Purchase Shares</w:t>
      </w:r>
      <w:r>
        <w:rPr>
          <w:rFonts w:ascii="Times New Roman" w:cs="Times New Roman" w:eastAsia="Times New Roman" w:hAnsi="Times New Roman"/>
          <w:sz w:val="18"/>
          <w:szCs w:val="18"/>
          <w:color w:val="auto"/>
        </w:rPr>
        <w:t>”), and 1,804,098 shares of Common Stock as Commitment Shares (the “</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the Purchase Agreement, the Company also has entered into a Registration Rights Agreement, dated as of December 12, 2022 with the Buyer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pursuant to which the Company agreed, among other things, to register the Purchase Shares and the Commitment Shares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In connection with the Company’s obligations under the Purchase Agreement and the Registration Rights Agreement, on [_____________], 2022, the Company filed a Registration Statement [(File No. ______]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with the SEC relating to the resale of the Purchase Shares and the Commitment Shares by the Buyer.</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foregoing, we advise you that a member of the SEC’s staff has advised us by telephone that the SEC has entered an order declaring the Registration Statement effective under the Securities Act at __:__ am/pm on _______ __, 2022, and we have no knowledge, based solely on</w:t>
      </w:r>
    </w:p>
    <w:p>
      <w:pPr>
        <w:jc w:val="both"/>
        <w:spacing w:after="0" w:line="260" w:lineRule="auto"/>
        <w:rPr>
          <w:sz w:val="20"/>
          <w:szCs w:val="20"/>
          <w:color w:val="auto"/>
        </w:rPr>
      </w:pPr>
      <w:r>
        <w:rPr>
          <w:rFonts w:ascii="Times New Roman" w:cs="Times New Roman" w:eastAsia="Times New Roman" w:hAnsi="Times New Roman"/>
          <w:sz w:val="18"/>
          <w:szCs w:val="18"/>
          <w:color w:val="auto"/>
        </w:rPr>
        <w:t>our review of the SEC’s “Stop Orders” web page (http://sec.gov/litigation/stoporders.shtml), that any stop order suspending the Registration Statement’s effectiveness has been issued or that any proceedings for that purpose are pending before, or threatened by, the SEC.</w:t>
      </w:r>
    </w:p>
    <w:p>
      <w:pPr>
        <w:spacing w:after="0" w:line="18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[Company Counsel]</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-110490</wp:posOffset>
            </wp:positionV>
            <wp:extent cx="33515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ind w:left="460" w:hanging="452"/>
        <w:spacing w:after="0"/>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Lincoln Park Capital Fund,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About The Investor Furnished To The Company By The Investor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Expressly For Use In Connection With Each Registration Statement and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With Respect to Lincoln Park Capital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Immediately prior to the date of the Purchase Agreement, Lincoln Park Capital Fund, LLC, beneficially owned 0 shares of Common Stock. Josh Scheinfeld and Jonathan Cope, the Managing Members of Lincoln Park Capital, LLC, the manager of Lincoln Park Capital Fund, LLC, are deemed to be beneficial owners of all of the Common Stock owned by Lincoln Park Capital Fund, LLC. Messrs. Cope and Scheinfeld have shared voting and investment power over the shares being offered under the Registration Statement filed with the SEC in connection with the transactions contemplated under the Purchase Agreement. Lincoln Park Capital, LLC is not a licensed broker dealer or an affiliate of a licensed broker dealer.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2023110" cy="6172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2311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and Lincoln Park Capital Enter into a Common Stock Purchase Agreement for up to $25 Million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Houston, TX— December 13, 2022—</w:t>
      </w:r>
      <w:r>
        <w:rPr>
          <w:rFonts w:ascii="Times New Roman" w:cs="Times New Roman" w:eastAsia="Times New Roman" w:hAnsi="Times New Roman"/>
          <w:sz w:val="18"/>
          <w:szCs w:val="18"/>
          <w:color w:val="auto"/>
        </w:rPr>
        <w:t>Marker Therapeutics, Inc. (Nasdaq: MRKR), a clinical-stage immuno-oncology company specializing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of next-generation T cell-based immunotherapies for the treatment of hematological malignancies and solid tumor indications, today announced that the Company has entered into a Common Stock Purchase Agreement (the "Purchase Agreement") for up to $25 million with Lincoln Park Capital Fund ("LPC"), a Chicago-based institutional investor and long-term Marker shareholder.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Purchase Agreement, LPC has committed to purchase up to $25 million of shares of the Company's common stock at Marker's sole discretion from time to time during a 24-month period upon satisfaction of the conditions in the Purchase Agreement, including after a registration statement registering the resale of shares to be sold to Lincoln Park under the Purchase Agreement is declared effective by the Securities and Exchange Commission (“SEC”). The price per share is set forth in the Purchase Agreement and is generally based on the market prices prevailing at the time of each sale to LPC. Marker will retain full control as to the timing and amount of any sale of shares of common stock to LPC, subject to certain limitations specified in the Purchase Agreement, including those under Nasdaq listing rules.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is no upper limit as to the price per share that LPC may pay for future stock issuances under the Purchase Agreement, and LPC has agreed not to cause or engage in any direct or indirect short selling or hedging of Marker’s common stock. No warrants are being issued in this transaction, and the Purchase Agreement does not contain any rights of first refusal, participation rights, penalties or liquidated damages provisions in favor of any party. Marker maintains the right to terminate the Purchase Agreement at any time, at its discretion, without any additional cost or penalty. Marker anticipates using proceeds from sales of shares under the Purchase Agreement to advance Marker’s Phase 2 ARTEMIS trial of MT-401, the Company’s lead product candidate in post-transplant AML, Marker’s clinical programs in lymphoma and pancreatic cancer, and for working capital and general corporate purposes.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this Purchase Agreement with LPC enables flexible access to capital in an efficient manner," stated Peter L. Hoang, President and CEO of Marker. "Following our recent organizational restructuring to conserve available capital, we continue to prudently manage our cash flow as we execute our Phase 1 and Phase 2 trials and work to bring novel cell therapies to cancer patients with limited treatment options.”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detail regarding the Purchase Agreement and related registration rights agreement is set forth in Marker's Current Report on Form 8-K, filed today with the SEC.</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offer and sale of the securities by Marker in the above transaction have not been registered under the Securities Act of 1933, as amended (the "Securities Act"), and have not been registered or qualified under any state securities laws, and therefore may not be offered or sold in the United States absent registration under the Securities Act or an applicable exemption from such registration requirements, and registration or qualification and under applicable state securities or “Blue Sky” laws or an applicable exemption from such registration or qualification requirements. Marker has agreed to file a registration statement with the SEC to register the resale by LPC of the shares of common stock to be purchased by LPC under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press release shall not constitute an offer to sell or the solicitation of an offer to buy any securities nor will there be any sale of these securities in any state or other jurisdiction in which such offer, solicitation or sale would be unlawful prior to registration or qualification under the securities laws of any such state or other jurisdiction.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Marker Therapeutics, Inc.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receive future press releases via email, please visit: </w:t>
      </w:r>
      <w:r>
        <w:rPr>
          <w:rFonts w:ascii="Times New Roman" w:cs="Times New Roman" w:eastAsia="Times New Roman" w:hAnsi="Times New Roman"/>
          <w:sz w:val="18"/>
          <w:szCs w:val="18"/>
          <w:u w:val="single" w:color="auto"/>
          <w:color w:val="auto"/>
        </w:rPr>
        <w:t>https://www.markertherapeutics.com/email-alerts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timing, conduct and success of our clinical trials of our product candidates; our ability to use our manufacturing facilities to support clinical and commercial demand; the anticipated use of proceeds from sales under the Agreement; and our future operating expenses and capital expenditure requirements.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Such risks and uncertainties may be amplified by the COVID-19 pandemic and its impact on our business and the global economy. The Company assumes no obligation to update our forward-looking statements whether as a result of new information, future events or otherwise, after the date of this press release.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Xuan Yang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xyang@soleburystrat.com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 Bonanno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abonanno@soleburystrat.com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1)"/>
      <w:numFmt w:val="decimal"/>
      <w:start w:val="20"/>
    </w:lvl>
  </w:abstractNum>
  <w:abstractNum w:abstractNumId="5">
    <w:nsid w:val="1BA026FA"/>
    <w:multiLevelType w:val="hybridMultilevel"/>
    <w:lvl w:ilvl="0">
      <w:lvlJc w:val="left"/>
      <w:lvlText w:val="%1."/>
      <w:numFmt w:val="decimal"/>
      <w:start w:val="1"/>
    </w:lvl>
  </w:abstractNum>
  <w:abstractNum w:abstractNumId="6">
    <w:nsid w:val="79A1DEAA"/>
    <w:multiLevelType w:val="hybridMultilevel"/>
    <w:lvl w:ilvl="0">
      <w:lvlJc w:val="left"/>
      <w:lvlText w:val="(%1)"/>
      <w:numFmt w:val="lowerLetter"/>
      <w:start w:val="1"/>
    </w:lvl>
  </w:abstractNum>
  <w:abstractNum w:abstractNumId="7">
    <w:nsid w:val="75C6C33A"/>
    <w:multiLevelType w:val="hybridMultilevel"/>
    <w:lvl w:ilvl="0">
      <w:lvlJc w:val="left"/>
      <w:lvlText w:val="%1"/>
      <w:numFmt w:val="upperLetter"/>
      <w:start w:val="1"/>
    </w:lvl>
    <w:lvl w:ilvl="1">
      <w:lvlJc w:val="left"/>
      <w:lvlText w:val="(%2)"/>
      <w:numFmt w:val="lowerLetter"/>
      <w:start w:val="5"/>
    </w:lvl>
  </w:abstractNum>
  <w:abstractNum w:abstractNumId="8">
    <w:nsid w:val="12E685FB"/>
    <w:multiLevelType w:val="hybridMultilevel"/>
    <w:lvl w:ilvl="0">
      <w:lvlJc w:val="left"/>
      <w:lvlText w:val="(%1)"/>
      <w:numFmt w:val="upperLetter"/>
      <w:start w:val="2"/>
    </w:lvl>
    <w:lvl w:ilvl="1">
      <w:lvlJc w:val="left"/>
      <w:lvlText w:val="%2"/>
      <w:numFmt w:val="lowerLetter"/>
      <w:start w:val="1"/>
    </w:lvl>
  </w:abstractNum>
  <w:abstractNum w:abstractNumId="9">
    <w:nsid w:val="70C6A529"/>
    <w:multiLevelType w:val="hybridMultilevel"/>
    <w:lvl w:ilvl="0">
      <w:lvlJc w:val="left"/>
      <w:lvlText w:val="(%1)"/>
      <w:numFmt w:val="lowerLetter"/>
      <w:start w:val="12"/>
    </w:lvl>
  </w:abstractNum>
  <w:abstractNum w:abstractNumId="10">
    <w:nsid w:val="520EEDD1"/>
    <w:multiLevelType w:val="hybridMultilevel"/>
    <w:lvl w:ilvl="0">
      <w:lvlJc w:val="left"/>
      <w:lvlText w:val="%1"/>
      <w:numFmt w:val="lowerLetter"/>
      <w:start w:val="1"/>
    </w:lvl>
    <w:lvl w:ilvl="1">
      <w:lvlJc w:val="left"/>
      <w:lvlText w:val="(%2)"/>
      <w:numFmt w:val="lowerLetter"/>
      <w:start w:val="17"/>
    </w:lvl>
  </w:abstractNum>
  <w:abstractNum w:abstractNumId="11">
    <w:nsid w:val="374A3FE6"/>
    <w:multiLevelType w:val="hybridMultilevel"/>
    <w:lvl w:ilvl="0">
      <w:lvlJc w:val="left"/>
      <w:lvlText w:val="(%1)"/>
      <w:numFmt w:val="lowerLetter"/>
      <w:start w:val="35"/>
    </w:lvl>
    <w:lvl w:ilvl="1">
      <w:lvlJc w:val="left"/>
      <w:lvlText w:val="(%2)"/>
      <w:numFmt w:val="lowerLetter"/>
      <w:start w:val="25"/>
    </w:lvl>
  </w:abstractNum>
  <w:abstractNum w:abstractNumId="12">
    <w:nsid w:val="4F4EF005"/>
    <w:multiLevelType w:val="hybridMultilevel"/>
    <w:lvl w:ilvl="0">
      <w:lvlJc w:val="left"/>
      <w:lvlText w:val="(%1)"/>
      <w:numFmt w:val="lowerLetter"/>
      <w:start w:val="27"/>
    </w:lvl>
  </w:abstractNum>
  <w:abstractNum w:abstractNumId="13">
    <w:nsid w:val="23F9C13C"/>
    <w:multiLevelType w:val="hybridMultilevel"/>
    <w:lvl w:ilvl="0">
      <w:lvlJc w:val="left"/>
      <w:lvlText w:val="%1"/>
      <w:numFmt w:val="decimal"/>
      <w:start w:val="1"/>
    </w:lvl>
    <w:lvl w:ilvl="1">
      <w:lvlJc w:val="left"/>
      <w:lvlText w:val="(%2)"/>
      <w:numFmt w:val="lowerLetter"/>
      <w:start w:val="34"/>
    </w:lvl>
  </w:abstractNum>
  <w:abstractNum w:abstractNumId="14">
    <w:nsid w:val="649BB77C"/>
    <w:multiLevelType w:val="hybridMultilevel"/>
    <w:lvl w:ilvl="0">
      <w:lvlJc w:val="left"/>
      <w:lvlText w:val="(%1)"/>
      <w:numFmt w:val="decimal"/>
      <w:start w:val="10"/>
    </w:lvl>
    <w:lvl w:ilvl="1">
      <w:lvlJc w:val="left"/>
      <w:lvlText w:val="(%2)"/>
      <w:numFmt w:val="lowerLetter"/>
      <w:start w:val="38"/>
    </w:lvl>
  </w:abstractNum>
  <w:abstractNum w:abstractNumId="15">
    <w:nsid w:val="275AC794"/>
    <w:multiLevelType w:val="hybridMultilevel"/>
    <w:lvl w:ilvl="0">
      <w:lvlJc w:val="left"/>
      <w:lvlText w:val="(%1)"/>
      <w:numFmt w:val="lowerLetter"/>
      <w:start w:val="46"/>
    </w:lvl>
  </w:abstractNum>
  <w:abstractNum w:abstractNumId="16">
    <w:nsid w:val="39386575"/>
    <w:multiLevelType w:val="hybridMultilevel"/>
    <w:lvl w:ilvl="0">
      <w:lvlJc w:val="left"/>
      <w:lvlText w:val="%1."/>
      <w:numFmt w:val="decimal"/>
      <w:start w:val="2"/>
    </w:lvl>
  </w:abstractNum>
  <w:abstractNum w:abstractNumId="17">
    <w:nsid w:val="1CF10FD8"/>
    <w:multiLevelType w:val="hybridMultilevel"/>
    <w:lvl w:ilvl="0">
      <w:lvlJc w:val="left"/>
      <w:lvlText w:val="(%1)"/>
      <w:numFmt w:val="lowerLetter"/>
      <w:start w:val="1"/>
    </w:lvl>
  </w:abstractNum>
  <w:abstractNum w:abstractNumId="18">
    <w:nsid w:val="180115BE"/>
    <w:multiLevelType w:val="hybridMultilevel"/>
    <w:lvl w:ilvl="0">
      <w:lvlJc w:val="left"/>
      <w:lvlText w:val="%1"/>
      <w:numFmt w:val="decimal"/>
      <w:start w:val="1"/>
    </w:lvl>
    <w:lvl w:ilvl="1">
      <w:lvlJc w:val="left"/>
      <w:lvlText w:val="(%2)"/>
      <w:numFmt w:val="lowerLetter"/>
      <w:start w:val="2"/>
    </w:lvl>
  </w:abstractNum>
  <w:abstractNum w:abstractNumId="19">
    <w:nsid w:val="235BA861"/>
    <w:multiLevelType w:val="hybridMultilevel"/>
    <w:lvl w:ilvl="0">
      <w:lvlJc w:val="left"/>
      <w:lvlText w:val="(%1)"/>
      <w:numFmt w:val="decimal"/>
      <w:start w:val="1"/>
    </w:lvl>
    <w:lvl w:ilvl="1">
      <w:lvlJc w:val="left"/>
      <w:lvlText w:val="%2"/>
      <w:numFmt w:val="lowerLetter"/>
      <w:start w:val="1"/>
    </w:lvl>
  </w:abstractNum>
  <w:abstractNum w:abstractNumId="20">
    <w:nsid w:val="47398C89"/>
    <w:multiLevelType w:val="hybridMultilevel"/>
    <w:lvl w:ilvl="0">
      <w:lvlJc w:val="left"/>
      <w:lvlText w:val="%1"/>
      <w:numFmt w:val="lowerLetter"/>
      <w:start w:val="1"/>
    </w:lvl>
    <w:lvl w:ilvl="1">
      <w:lvlJc w:val="left"/>
      <w:lvlText w:val="(%2)"/>
      <w:numFmt w:val="lowerLetter"/>
      <w:start w:val="4"/>
    </w:lvl>
  </w:abstractNum>
  <w:abstractNum w:abstractNumId="21">
    <w:nsid w:val="354FE9F9"/>
    <w:multiLevelType w:val="hybridMultilevel"/>
    <w:lvl w:ilvl="0">
      <w:lvlJc w:val="left"/>
      <w:lvlText w:val="(%1)"/>
      <w:numFmt w:val="lowerLetter"/>
      <w:start w:val="35"/>
    </w:lvl>
    <w:lvl w:ilvl="1">
      <w:lvlJc w:val="left"/>
      <w:lvlText w:val="%2"/>
      <w:numFmt w:val="lowerLetter"/>
      <w:start w:val="1"/>
    </w:lvl>
  </w:abstractNum>
  <w:abstractNum w:abstractNumId="22">
    <w:nsid w:val="15B5AF5C"/>
    <w:multiLevelType w:val="hybridMultilevel"/>
    <w:lvl w:ilvl="0">
      <w:lvlJc w:val="left"/>
      <w:lvlText w:val="(%1)"/>
      <w:numFmt w:val="lowerLetter"/>
      <w:start w:val="5"/>
    </w:lvl>
  </w:abstractNum>
  <w:abstractNum w:abstractNumId="23">
    <w:nsid w:val="741226BB"/>
    <w:multiLevelType w:val="hybridMultilevel"/>
    <w:lvl w:ilvl="0">
      <w:lvlJc w:val="left"/>
      <w:lvlText w:val="%1."/>
      <w:numFmt w:val="decimal"/>
      <w:start w:val="3"/>
    </w:lvl>
  </w:abstractNum>
  <w:abstractNum w:abstractNumId="24">
    <w:nsid w:val="D34B6A8"/>
    <w:multiLevelType w:val="hybridMultilevel"/>
    <w:lvl w:ilvl="0">
      <w:lvlJc w:val="left"/>
      <w:lvlText w:val="(%1)"/>
      <w:numFmt w:val="lowerLetter"/>
      <w:start w:val="1"/>
    </w:lvl>
  </w:abstractNum>
  <w:abstractNum w:abstractNumId="25">
    <w:nsid w:val="10233C99"/>
    <w:multiLevelType w:val="hybridMultilevel"/>
    <w:lvl w:ilvl="0">
      <w:lvlJc w:val="left"/>
      <w:lvlText w:val="%1"/>
      <w:numFmt w:val="lowerLetter"/>
      <w:start w:val="1"/>
    </w:lvl>
    <w:lvl w:ilvl="1">
      <w:lvlJc w:val="left"/>
      <w:lvlText w:val="(%2)"/>
      <w:numFmt w:val="lowerLetter"/>
      <w:start w:val="6"/>
    </w:lvl>
  </w:abstractNum>
  <w:abstractNum w:abstractNumId="26">
    <w:nsid w:val="3F6AB60F"/>
    <w:multiLevelType w:val="hybridMultilevel"/>
    <w:lvl w:ilvl="0">
      <w:lvlJc w:val="left"/>
      <w:lvlText w:val="(%1)"/>
      <w:numFmt w:val="lowerLetter"/>
      <w:start w:val="35"/>
    </w:lvl>
    <w:lvl w:ilvl="1">
      <w:lvlJc w:val="left"/>
      <w:lvlText w:val="%2"/>
      <w:numFmt w:val="lowerLetter"/>
      <w:start w:val="1"/>
    </w:lvl>
  </w:abstractNum>
  <w:abstractNum w:abstractNumId="27">
    <w:nsid w:val="61574095"/>
    <w:multiLevelType w:val="hybridMultilevel"/>
    <w:lvl w:ilvl="0">
      <w:lvlJc w:val="left"/>
      <w:lvlText w:val="%1."/>
      <w:numFmt w:val="decimal"/>
      <w:start w:val="4"/>
    </w:lvl>
  </w:abstractNum>
  <w:abstractNum w:abstractNumId="28">
    <w:nsid w:val="7E0C57B1"/>
    <w:multiLevelType w:val="hybridMultilevel"/>
    <w:lvl w:ilvl="0">
      <w:lvlJc w:val="left"/>
      <w:lvlText w:val="%1"/>
      <w:numFmt w:val="lowerLetter"/>
      <w:start w:val="1"/>
    </w:lvl>
    <w:lvl w:ilvl="1">
      <w:lvlJc w:val="left"/>
      <w:lvlText w:val="(%2)"/>
      <w:numFmt w:val="lowerLetter"/>
      <w:start w:val="1"/>
    </w:lvl>
  </w:abstractNum>
  <w:abstractNum w:abstractNumId="29">
    <w:nsid w:val="77AE35EB"/>
    <w:multiLevelType w:val="hybridMultilevel"/>
    <w:lvl w:ilvl="0">
      <w:lvlJc w:val="left"/>
      <w:lvlText w:val="(%1)"/>
      <w:numFmt w:val="lowerLetter"/>
      <w:start w:val="35"/>
    </w:lvl>
    <w:lvl w:ilvl="1">
      <w:lvlJc w:val="left"/>
      <w:lvlText w:val="%2"/>
      <w:numFmt w:val="lowerLetter"/>
      <w:start w:val="1"/>
    </w:lvl>
  </w:abstractNum>
  <w:abstractNum w:abstractNumId="30">
    <w:nsid w:val="579BE4F1"/>
    <w:multiLevelType w:val="hybridMultilevel"/>
    <w:lvl w:ilvl="0">
      <w:lvlJc w:val="left"/>
      <w:lvlText w:val="(%1)"/>
      <w:numFmt w:val="lowerLetter"/>
      <w:start w:val="3"/>
    </w:lvl>
  </w:abstractNum>
  <w:abstractNum w:abstractNumId="31">
    <w:nsid w:val="310C50B3"/>
    <w:multiLevelType w:val="hybridMultilevel"/>
    <w:lvl w:ilvl="0">
      <w:lvlJc w:val="left"/>
      <w:lvlText w:val="(%1)"/>
      <w:numFmt w:val="lowerLetter"/>
      <w:start w:val="5"/>
    </w:lvl>
  </w:abstractNum>
  <w:abstractNum w:abstractNumId="32">
    <w:nsid w:val="5FF87E05"/>
    <w:multiLevelType w:val="hybridMultilevel"/>
    <w:lvl w:ilvl="0">
      <w:lvlJc w:val="left"/>
      <w:lvlText w:val="(%1)"/>
      <w:numFmt w:val="lowerLetter"/>
      <w:start w:val="7"/>
    </w:lvl>
  </w:abstractNum>
  <w:abstractNum w:abstractNumId="33">
    <w:nsid w:val="2F305DEF"/>
    <w:multiLevelType w:val="hybridMultilevel"/>
    <w:lvl w:ilvl="0">
      <w:lvlJc w:val="left"/>
      <w:lvlText w:val="(%1)"/>
      <w:numFmt w:val="lowerLetter"/>
      <w:start w:val="9"/>
    </w:lvl>
  </w:abstractNum>
  <w:abstractNum w:abstractNumId="34">
    <w:nsid w:val="25A70BF7"/>
    <w:multiLevelType w:val="hybridMultilevel"/>
    <w:lvl w:ilvl="0">
      <w:lvlJc w:val="left"/>
      <w:lvlText w:val="(%1)"/>
      <w:numFmt w:val="lowerLetter"/>
      <w:start w:val="13"/>
    </w:lvl>
  </w:abstractNum>
  <w:abstractNum w:abstractNumId="35">
    <w:nsid w:val="1DBABF00"/>
    <w:multiLevelType w:val="hybridMultilevel"/>
    <w:lvl w:ilvl="0">
      <w:lvlJc w:val="left"/>
      <w:lvlText w:val="(%1)"/>
      <w:numFmt w:val="lowerLetter"/>
      <w:start w:val="18"/>
    </w:lvl>
  </w:abstractNum>
  <w:abstractNum w:abstractNumId="36">
    <w:nsid w:val="4AD084E9"/>
    <w:multiLevelType w:val="hybridMultilevel"/>
    <w:lvl w:ilvl="0">
      <w:lvlJc w:val="left"/>
      <w:lvlText w:val="(%1)"/>
      <w:numFmt w:val="lowerLetter"/>
      <w:start w:val="22"/>
    </w:lvl>
  </w:abstractNum>
  <w:abstractNum w:abstractNumId="37">
    <w:nsid w:val="1F48EAA1"/>
    <w:multiLevelType w:val="hybridMultilevel"/>
    <w:lvl w:ilvl="0">
      <w:lvlJc w:val="left"/>
      <w:lvlText w:val="%1"/>
      <w:numFmt w:val="decimal"/>
      <w:start w:val="1"/>
    </w:lvl>
    <w:lvl w:ilvl="1">
      <w:lvlJc w:val="left"/>
      <w:lvlText w:val="(%2)"/>
      <w:numFmt w:val="lowerLetter"/>
      <w:start w:val="27"/>
    </w:lvl>
  </w:abstractNum>
  <w:abstractNum w:abstractNumId="38">
    <w:nsid w:val="1381823A"/>
    <w:multiLevelType w:val="hybridMultilevel"/>
    <w:lvl w:ilvl="0">
      <w:lvlJc w:val="left"/>
      <w:lvlText w:val="(%1)"/>
      <w:numFmt w:val="decimal"/>
      <w:start w:val="3"/>
    </w:lvl>
    <w:lvl w:ilvl="1">
      <w:lvlJc w:val="left"/>
      <w:lvlText w:val="(%2)"/>
      <w:numFmt w:val="lowerLetter"/>
      <w:start w:val="31"/>
    </w:lvl>
  </w:abstractNum>
  <w:abstractNum w:abstractNumId="39">
    <w:nsid w:val="5DB70AE5"/>
    <w:multiLevelType w:val="hybridMultilevel"/>
    <w:lvl w:ilvl="0">
      <w:lvlJc w:val="left"/>
      <w:lvlText w:val="%1."/>
      <w:numFmt w:val="decimal"/>
      <w:start w:val="5"/>
    </w:lvl>
  </w:abstractNum>
  <w:abstractNum w:abstractNumId="40">
    <w:nsid w:val="100F8FCA"/>
    <w:multiLevelType w:val="hybridMultilevel"/>
    <w:lvl w:ilvl="0">
      <w:lvlJc w:val="left"/>
      <w:lvlText w:val="(%1)"/>
      <w:numFmt w:val="lowerLetter"/>
      <w:start w:val="1"/>
    </w:lvl>
  </w:abstractNum>
  <w:abstractNum w:abstractNumId="41">
    <w:nsid w:val="6590700B"/>
    <w:multiLevelType w:val="hybridMultilevel"/>
    <w:lvl w:ilvl="0">
      <w:lvlJc w:val="left"/>
      <w:lvlText w:val="(%1)"/>
      <w:numFmt w:val="lowerLetter"/>
      <w:start w:val="4"/>
    </w:lvl>
  </w:abstractNum>
  <w:abstractNum w:abstractNumId="42">
    <w:nsid w:val="15014ACB"/>
    <w:multiLevelType w:val="hybridMultilevel"/>
    <w:lvl w:ilvl="0">
      <w:lvlJc w:val="left"/>
      <w:lvlText w:val="(%1)"/>
      <w:numFmt w:val="lowerLetter"/>
      <w:start w:val="7"/>
    </w:lvl>
  </w:abstractNum>
  <w:abstractNum w:abstractNumId="43">
    <w:nsid w:val="5F5E7FD0"/>
    <w:multiLevelType w:val="hybridMultilevel"/>
    <w:lvl w:ilvl="0">
      <w:lvlJc w:val="left"/>
      <w:lvlText w:val="(%1)"/>
      <w:numFmt w:val="lowerLetter"/>
      <w:start w:val="12"/>
    </w:lvl>
  </w:abstractNum>
  <w:abstractNum w:abstractNumId="44">
    <w:nsid w:val="98A3148"/>
    <w:multiLevelType w:val="hybridMultilevel"/>
    <w:lvl w:ilvl="0">
      <w:lvlJc w:val="left"/>
      <w:lvlText w:val="%1"/>
      <w:numFmt w:val="lowerLetter"/>
      <w:start w:val="1"/>
    </w:lvl>
    <w:lvl w:ilvl="1">
      <w:lvlJc w:val="left"/>
      <w:lvlText w:val="%2."/>
      <w:numFmt w:val="decimal"/>
      <w:start w:val="6"/>
    </w:lvl>
  </w:abstractNum>
  <w:abstractNum w:abstractNumId="45">
    <w:nsid w:val="799D0247"/>
    <w:multiLevelType w:val="hybridMultilevel"/>
    <w:lvl w:ilvl="0">
      <w:lvlJc w:val="left"/>
      <w:lvlText w:val="(%1)"/>
      <w:numFmt w:val="lowerLetter"/>
      <w:start w:val="1"/>
    </w:lvl>
    <w:lvl w:ilvl="1">
      <w:lvlJc w:val="left"/>
      <w:lvlText w:val="%2"/>
      <w:numFmt w:val="decimal"/>
      <w:start w:val="1"/>
    </w:lvl>
  </w:abstractNum>
  <w:abstractNum w:abstractNumId="46">
    <w:nsid w:val="6B94764"/>
    <w:multiLevelType w:val="hybridMultilevel"/>
    <w:lvl w:ilvl="0">
      <w:lvlJc w:val="left"/>
      <w:lvlText w:val="(%1)"/>
      <w:numFmt w:val="lowerLetter"/>
      <w:start w:val="2"/>
    </w:lvl>
  </w:abstractNum>
  <w:abstractNum w:abstractNumId="47">
    <w:nsid w:val="42C296BD"/>
    <w:multiLevelType w:val="hybridMultilevel"/>
    <w:lvl w:ilvl="0">
      <w:lvlJc w:val="left"/>
      <w:lvlText w:val="%1."/>
      <w:numFmt w:val="decimal"/>
      <w:start w:val="7"/>
    </w:lvl>
  </w:abstractNum>
  <w:abstractNum w:abstractNumId="48">
    <w:nsid w:val="168E121F"/>
    <w:multiLevelType w:val="hybridMultilevel"/>
    <w:lvl w:ilvl="0">
      <w:lvlJc w:val="left"/>
      <w:lvlText w:val="(%1)"/>
      <w:numFmt w:val="lowerLetter"/>
      <w:start w:val="1"/>
    </w:lvl>
  </w:abstractNum>
  <w:abstractNum w:abstractNumId="49">
    <w:nsid w:val="1EBA5D23"/>
    <w:multiLevelType w:val="hybridMultilevel"/>
    <w:lvl w:ilvl="0">
      <w:lvlJc w:val="left"/>
      <w:lvlText w:val="%1."/>
      <w:numFmt w:val="decimal"/>
      <w:start w:val="8"/>
    </w:lvl>
  </w:abstractNum>
  <w:abstractNum w:abstractNumId="50">
    <w:nsid w:val="661E3F1E"/>
    <w:multiLevelType w:val="hybridMultilevel"/>
    <w:lvl w:ilvl="0">
      <w:lvlJc w:val="left"/>
      <w:lvlText w:val="(%1)"/>
      <w:numFmt w:val="lowerLetter"/>
      <w:start w:val="1"/>
    </w:lvl>
  </w:abstractNum>
  <w:abstractNum w:abstractNumId="51">
    <w:nsid w:val="5DC79EA8"/>
    <w:multiLevelType w:val="hybridMultilevel"/>
    <w:lvl w:ilvl="0">
      <w:lvlJc w:val="left"/>
      <w:lvlText w:val="(%1)"/>
      <w:numFmt w:val="lowerLetter"/>
      <w:start w:val="10"/>
    </w:lvl>
  </w:abstractNum>
  <w:abstractNum w:abstractNumId="52">
    <w:nsid w:val="540A471C"/>
    <w:multiLevelType w:val="hybridMultilevel"/>
    <w:lvl w:ilvl="0">
      <w:lvlJc w:val="left"/>
      <w:lvlText w:val="(%1)"/>
      <w:numFmt w:val="lowerLetter"/>
      <w:start w:val="17"/>
    </w:lvl>
  </w:abstractNum>
  <w:abstractNum w:abstractNumId="53">
    <w:nsid w:val="7BD3EE7B"/>
    <w:multiLevelType w:val="hybridMultilevel"/>
    <w:lvl w:ilvl="0">
      <w:lvlJc w:val="left"/>
      <w:lvlText w:val="%1."/>
      <w:numFmt w:val="decimal"/>
      <w:start w:val="9"/>
    </w:lvl>
  </w:abstractNum>
  <w:abstractNum w:abstractNumId="54">
    <w:nsid w:val="51D9C564"/>
    <w:multiLevelType w:val="hybridMultilevel"/>
    <w:lvl w:ilvl="0">
      <w:lvlJc w:val="left"/>
      <w:lvlText w:val="%1."/>
      <w:numFmt w:val="decimal"/>
      <w:start w:val="10"/>
    </w:lvl>
  </w:abstractNum>
  <w:abstractNum w:abstractNumId="55">
    <w:nsid w:val="613EFDC5"/>
    <w:multiLevelType w:val="hybridMultilevel"/>
    <w:lvl w:ilvl="0">
      <w:lvlJc w:val="left"/>
      <w:lvlText w:val="(%1)"/>
      <w:numFmt w:val="lowerLetter"/>
      <w:start w:val="1"/>
    </w:lvl>
  </w:abstractNum>
  <w:abstractNum w:abstractNumId="56">
    <w:nsid w:val="BF72B14"/>
    <w:multiLevelType w:val="hybridMultilevel"/>
    <w:lvl w:ilvl="0">
      <w:lvlJc w:val="left"/>
      <w:lvlText w:val="%1"/>
      <w:numFmt w:val="lowerLetter"/>
      <w:start w:val="1"/>
    </w:lvl>
    <w:lvl w:ilvl="1">
      <w:lvlJc w:val="left"/>
      <w:lvlText w:val="(%2)"/>
      <w:numFmt w:val="lowerLetter"/>
      <w:start w:val="6"/>
    </w:lvl>
  </w:abstractNum>
  <w:abstractNum w:abstractNumId="57">
    <w:nsid w:val="11447B73"/>
    <w:multiLevelType w:val="hybridMultilevel"/>
    <w:lvl w:ilvl="0">
      <w:lvlJc w:val="left"/>
      <w:lvlText w:val="(%1)"/>
      <w:numFmt w:val="lowerLetter"/>
      <w:start w:val="35"/>
    </w:lvl>
    <w:lvl w:ilvl="1">
      <w:lvlJc w:val="left"/>
      <w:lvlText w:val="(%2)"/>
      <w:numFmt w:val="lowerLetter"/>
      <w:start w:val="8"/>
    </w:lvl>
  </w:abstractNum>
  <w:abstractNum w:abstractNumId="58">
    <w:nsid w:val="42963E5A"/>
    <w:multiLevelType w:val="hybridMultilevel"/>
    <w:lvl w:ilvl="0">
      <w:lvlJc w:val="left"/>
      <w:lvlText w:val="%1."/>
      <w:numFmt w:val="decimal"/>
      <w:start w:val="11"/>
    </w:lvl>
  </w:abstractNum>
  <w:abstractNum w:abstractNumId="59">
    <w:nsid w:val="A0382C5"/>
    <w:multiLevelType w:val="hybridMultilevel"/>
    <w:lvl w:ilvl="0">
      <w:lvlJc w:val="left"/>
      <w:lvlText w:val="(%1)"/>
      <w:numFmt w:val="lowerLetter"/>
      <w:start w:val="1"/>
    </w:lvl>
  </w:abstractNum>
  <w:abstractNum w:abstractNumId="60">
    <w:nsid w:val="8F2B15E"/>
    <w:multiLevelType w:val="hybridMultilevel"/>
    <w:lvl w:ilvl="0">
      <w:lvlJc w:val="left"/>
      <w:lvlText w:val="(%1)"/>
      <w:numFmt w:val="lowerLetter"/>
      <w:start w:val="3"/>
    </w:lvl>
  </w:abstractNum>
  <w:abstractNum w:abstractNumId="61">
    <w:nsid w:val="1A32234B"/>
    <w:multiLevelType w:val="hybridMultilevel"/>
    <w:lvl w:ilvl="0">
      <w:lvlJc w:val="left"/>
      <w:lvlText w:val="%1."/>
      <w:numFmt w:val="decimal"/>
      <w:start w:val="12"/>
    </w:lvl>
  </w:abstractNum>
  <w:abstractNum w:abstractNumId="62">
    <w:nsid w:val="3B0FD379"/>
    <w:multiLevelType w:val="hybridMultilevel"/>
    <w:lvl w:ilvl="0">
      <w:lvlJc w:val="left"/>
      <w:lvlText w:val="(%1)"/>
      <w:numFmt w:val="lowerLetter"/>
      <w:start w:val="1"/>
    </w:lvl>
  </w:abstractNum>
  <w:abstractNum w:abstractNumId="63">
    <w:nsid w:val="68EB2F63"/>
    <w:multiLevelType w:val="hybridMultilevel"/>
    <w:lvl w:ilvl="0">
      <w:lvlJc w:val="left"/>
      <w:lvlText w:val="(%1)"/>
      <w:numFmt w:val="lowerLetter"/>
      <w:start w:val="2"/>
    </w:lvl>
  </w:abstractNum>
  <w:abstractNum w:abstractNumId="64">
    <w:nsid w:val="4962813B"/>
    <w:multiLevelType w:val="hybridMultilevel"/>
    <w:lvl w:ilvl="0">
      <w:lvlJc w:val="left"/>
      <w:lvlText w:val="(%1)"/>
      <w:numFmt w:val="lowerLetter"/>
      <w:start w:val="7"/>
    </w:lvl>
  </w:abstractNum>
  <w:abstractNum w:abstractNumId="65">
    <w:nsid w:val="60B6DF70"/>
    <w:multiLevelType w:val="hybridMultilevel"/>
    <w:lvl w:ilvl="0">
      <w:lvlJc w:val="left"/>
      <w:lvlText w:val="(%1)"/>
      <w:numFmt w:val="lowerLetter"/>
      <w:start w:val="8"/>
    </w:lvl>
  </w:abstractNum>
  <w:abstractNum w:abstractNumId="66">
    <w:nsid w:val="6A5EE64"/>
    <w:multiLevelType w:val="hybridMultilevel"/>
    <w:lvl w:ilvl="0">
      <w:lvlJc w:val="left"/>
      <w:lvlText w:val="(%1)"/>
      <w:numFmt w:val="lowerLetter"/>
      <w:start w:val="13"/>
    </w:lvl>
    <w:lvl w:ilvl="1">
      <w:lvlJc w:val="left"/>
      <w:lvlText w:val="*"/>
      <w:numFmt w:val="bullet"/>
      <w:start w:val="1"/>
    </w:lvl>
  </w:abstractNum>
  <w:abstractNum w:abstractNumId="67">
    <w:nsid w:val="14330624"/>
    <w:multiLevelType w:val="hybridMultilevel"/>
    <w:lvl w:ilvl="0">
      <w:lvlJc w:val="left"/>
      <w:lvlText w:val="%1."/>
      <w:numFmt w:val="upperLetter"/>
      <w:start w:val="1"/>
    </w:lvl>
  </w:abstractNum>
  <w:abstractNum w:abstractNumId="68">
    <w:nsid w:val="7FFFCA11"/>
    <w:multiLevelType w:val="hybridMultilevel"/>
    <w:lvl w:ilvl="0">
      <w:lvlJc w:val="left"/>
      <w:lvlText w:val="%1."/>
      <w:numFmt w:val="decimal"/>
      <w:start w:val="1"/>
    </w:lvl>
  </w:abstractNum>
  <w:abstractNum w:abstractNumId="69">
    <w:nsid w:val="1A27709E"/>
    <w:multiLevelType w:val="hybridMultilevel"/>
    <w:lvl w:ilvl="0">
      <w:lvlJc w:val="left"/>
      <w:lvlText w:val="(%1)"/>
      <w:numFmt w:val="lowerLetter"/>
      <w:start w:val="1"/>
    </w:lvl>
  </w:abstractNum>
  <w:abstractNum w:abstractNumId="70">
    <w:nsid w:val="71EA110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71">
    <w:nsid w:val="100F59DC"/>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72">
    <w:nsid w:val="7FB7E0AA"/>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73">
    <w:nsid w:val="6EB5BD4"/>
    <w:multiLevelType w:val="hybridMultilevel"/>
    <w:lvl w:ilvl="0">
      <w:lvlJc w:val="left"/>
      <w:lvlText w:val="(%1)"/>
      <w:numFmt w:val="lowerLetter"/>
      <w:start w:val="2"/>
    </w:lvl>
  </w:abstractNum>
  <w:abstractNum w:abstractNumId="74">
    <w:nsid w:val="6F6DD9AC"/>
    <w:multiLevelType w:val="hybridMultilevel"/>
    <w:lvl w:ilvl="0">
      <w:lvlJc w:val="left"/>
      <w:lvlText w:val="%1"/>
      <w:numFmt w:val="decimal"/>
      <w:start w:val="1"/>
    </w:lvl>
    <w:lvl w:ilvl="1">
      <w:lvlJc w:val="left"/>
      <w:lvlText w:val="(%2)"/>
      <w:numFmt w:val="lowerLetter"/>
      <w:start w:val="2"/>
    </w:lvl>
  </w:abstractNum>
  <w:abstractNum w:abstractNumId="75">
    <w:nsid w:val="94211F2"/>
    <w:multiLevelType w:val="hybridMultilevel"/>
    <w:lvl w:ilvl="0">
      <w:lvlJc w:val="left"/>
      <w:lvlText w:val="%1."/>
      <w:numFmt w:val="decimal"/>
      <w:start w:val="3"/>
    </w:lvl>
    <w:lvl w:ilvl="1">
      <w:lvlJc w:val="left"/>
      <w:lvlText w:val="%2"/>
      <w:numFmt w:val="lowerLetter"/>
      <w:start w:val="1"/>
    </w:lvl>
  </w:abstractNum>
  <w:abstractNum w:abstractNumId="76">
    <w:nsid w:val="885E1B"/>
    <w:multiLevelType w:val="hybridMultilevel"/>
    <w:lvl w:ilvl="0">
      <w:lvlJc w:val="left"/>
      <w:lvlText w:val="(%1)"/>
      <w:numFmt w:val="lowerLetter"/>
      <w:start w:val="1"/>
    </w:lvl>
  </w:abstractNum>
  <w:abstractNum w:abstractNumId="77">
    <w:nsid w:val="76272110"/>
    <w:multiLevelType w:val="hybridMultilevel"/>
    <w:lvl w:ilvl="0">
      <w:lvlJc w:val="left"/>
      <w:lvlText w:val="%1"/>
      <w:numFmt w:val="decimal"/>
      <w:start w:val="1"/>
    </w:lvl>
    <w:lvl w:ilvl="1">
      <w:lvlJc w:val="left"/>
      <w:lvlText w:val="(%2)"/>
      <w:numFmt w:val="lowerLetter"/>
      <w:start w:val="2"/>
    </w:lvl>
  </w:abstractNum>
  <w:abstractNum w:abstractNumId="78">
    <w:nsid w:val="4C04A8AF"/>
    <w:multiLevelType w:val="hybridMultilevel"/>
    <w:lvl w:ilvl="0">
      <w:lvlJc w:val="left"/>
      <w:lvlText w:val="(%1)"/>
      <w:numFmt w:val="decimal"/>
      <w:start w:val="2"/>
    </w:lvl>
    <w:lvl w:ilvl="1">
      <w:lvlJc w:val="left"/>
      <w:lvlText w:val="(%2)"/>
      <w:numFmt w:val="lowerLetter"/>
      <w:start w:val="4"/>
    </w:lvl>
  </w:abstractNum>
  <w:abstractNum w:abstractNumId="79">
    <w:nsid w:val="1716703B"/>
    <w:multiLevelType w:val="hybridMultilevel"/>
    <w:lvl w:ilvl="0">
      <w:lvlJc w:val="left"/>
      <w:lvlText w:val="(%1)"/>
      <w:numFmt w:val="lowerLetter"/>
      <w:start w:val="7"/>
    </w:lvl>
  </w:abstractNum>
  <w:abstractNum w:abstractNumId="80">
    <w:nsid w:val="14E17E33"/>
    <w:multiLevelType w:val="hybridMultilevel"/>
    <w:lvl w:ilvl="0">
      <w:lvlJc w:val="left"/>
      <w:lvlText w:val="%1"/>
      <w:numFmt w:val="lowerLetter"/>
      <w:start w:val="1"/>
    </w:lvl>
    <w:lvl w:ilvl="1">
      <w:lvlJc w:val="left"/>
      <w:lvlText w:val="(%2)"/>
      <w:numFmt w:val="lowerLetter"/>
      <w:start w:val="9"/>
    </w:lvl>
  </w:abstractNum>
  <w:abstractNum w:abstractNumId="81">
    <w:nsid w:val="3222E7CD"/>
    <w:multiLevelType w:val="hybridMultilevel"/>
    <w:lvl w:ilvl="0">
      <w:lvlJc w:val="left"/>
      <w:lvlText w:val="(%1)"/>
      <w:numFmt w:val="lowerLetter"/>
      <w:start w:val="35"/>
    </w:lvl>
    <w:lvl w:ilvl="1">
      <w:lvlJc w:val="left"/>
      <w:lvlText w:val="(%2)"/>
      <w:numFmt w:val="lowerLetter"/>
      <w:start w:val="13"/>
    </w:lvl>
  </w:abstractNum>
  <w:abstractNum w:abstractNumId="82">
    <w:nsid w:val="74DE0EE3"/>
    <w:multiLevelType w:val="hybridMultilevel"/>
    <w:lvl w:ilvl="0">
      <w:lvlJc w:val="left"/>
      <w:lvlText w:val="%1"/>
      <w:numFmt w:val="decimal"/>
      <w:start w:val="1"/>
    </w:lvl>
    <w:lvl w:ilvl="1">
      <w:lvlJc w:val="left"/>
      <w:lvlText w:val="(%2)"/>
      <w:numFmt w:val="lowerLetter"/>
      <w:start w:val="14"/>
    </w:lvl>
  </w:abstractNum>
  <w:abstractNum w:abstractNumId="83">
    <w:nsid w:val="68EBC550"/>
    <w:multiLevelType w:val="hybridMultilevel"/>
    <w:lvl w:ilvl="0">
      <w:lvlJc w:val="left"/>
      <w:lvlText w:val="%1."/>
      <w:numFmt w:val="decimal"/>
      <w:start w:val="4"/>
    </w:lvl>
    <w:lvl w:ilvl="1">
      <w:lvlJc w:val="left"/>
      <w:lvlText w:val="(%2)"/>
      <w:numFmt w:val="lowerLetter"/>
      <w:start w:val="1"/>
    </w:lvl>
  </w:abstractNum>
  <w:abstractNum w:abstractNumId="84">
    <w:nsid w:val="2DF6D648"/>
    <w:multiLevelType w:val="hybridMultilevel"/>
    <w:lvl w:ilvl="0">
      <w:lvlJc w:val="left"/>
      <w:lvlText w:val="%1."/>
      <w:numFmt w:val="decimal"/>
      <w:start w:val="6"/>
    </w:lvl>
    <w:lvl w:ilvl="1">
      <w:lvlJc w:val="left"/>
      <w:lvlText w:val="(%2)"/>
      <w:numFmt w:val="lowerLetter"/>
      <w:start w:val="1"/>
    </w:lvl>
  </w:abstractNum>
  <w:abstractNum w:abstractNumId="85">
    <w:nsid w:val="46B7D447"/>
    <w:multiLevelType w:val="hybridMultilevel"/>
    <w:lvl w:ilvl="0">
      <w:lvlJc w:val="left"/>
      <w:lvlText w:val="(%1)"/>
      <w:numFmt w:val="lowerLetter"/>
      <w:start w:val="2"/>
    </w:lvl>
  </w:abstractNum>
  <w:abstractNum w:abstractNumId="86">
    <w:nsid w:val="4A2AC315"/>
    <w:multiLevelType w:val="hybridMultilevel"/>
    <w:lvl w:ilvl="0">
      <w:lvlJc w:val="left"/>
      <w:lvlText w:val="%1"/>
      <w:numFmt w:val="decimal"/>
      <w:start w:val="1"/>
    </w:lvl>
    <w:lvl w:ilvl="1">
      <w:lvlJc w:val="left"/>
      <w:lvlText w:val="(%2)"/>
      <w:numFmt w:val="lowerLetter"/>
      <w:start w:val="4"/>
    </w:lvl>
  </w:abstractNum>
  <w:abstractNum w:abstractNumId="87">
    <w:nsid w:val="39EE015C"/>
    <w:multiLevelType w:val="hybridMultilevel"/>
    <w:lvl w:ilvl="0">
      <w:lvlJc w:val="left"/>
      <w:lvlText w:val="%1."/>
      <w:numFmt w:val="decimal"/>
      <w:start w:val="7"/>
    </w:lvl>
    <w:lvl w:ilvl="1">
      <w:lvlJc w:val="left"/>
      <w:lvlText w:val="%2"/>
      <w:numFmt w:val="lowerLetter"/>
      <w:start w:val="1"/>
    </w:lvl>
  </w:abstractNum>
  <w:abstractNum w:abstractNumId="88">
    <w:nsid w:val="57FC4FBB"/>
    <w:multiLevelType w:val="hybridMultilevel"/>
    <w:lvl w:ilvl="0">
      <w:lvlJc w:val="left"/>
      <w:lvlText w:val="%1."/>
      <w:numFmt w:val="decimal"/>
      <w:start w:val="8"/>
    </w:lvl>
  </w:abstractNum>
  <w:abstractNum w:abstractNumId="89">
    <w:nsid w:val="CC1016F"/>
    <w:multiLevelType w:val="hybridMultilevel"/>
    <w:lvl w:ilvl="0">
      <w:lvlJc w:val="left"/>
      <w:lvlText w:val="(%1)"/>
      <w:numFmt w:val="lowerLetter"/>
      <w:start w:val="1"/>
    </w:lvl>
  </w:abstractNum>
  <w:abstractNum w:abstractNumId="90">
    <w:nsid w:val="43F18422"/>
    <w:multiLevelType w:val="hybridMultilevel"/>
    <w:lvl w:ilvl="0">
      <w:lvlJc w:val="left"/>
      <w:lvlText w:val="(%1)"/>
      <w:numFmt w:val="lowerLetter"/>
      <w:start w:val="3"/>
    </w:lvl>
  </w:abstractNum>
  <w:abstractNum w:abstractNumId="91">
    <w:nsid w:val="60EF0119"/>
    <w:multiLevelType w:val="hybridMultilevel"/>
    <w:lvl w:ilvl="0">
      <w:lvlJc w:val="left"/>
      <w:lvlText w:val="%1."/>
      <w:numFmt w:val="decimal"/>
      <w:start w:val="9"/>
    </w:lvl>
  </w:abstractNum>
  <w:abstractNum w:abstractNumId="92">
    <w:nsid w:val="26F324BA"/>
    <w:multiLevelType w:val="hybridMultilevel"/>
    <w:lvl w:ilvl="0">
      <w:lvlJc w:val="left"/>
      <w:lvlText w:val="%1."/>
      <w:numFmt w:val="decimal"/>
      <w:start w:val="11"/>
    </w:lvl>
    <w:lvl w:ilvl="1">
      <w:lvlJc w:val="left"/>
      <w:lvlText w:val="(%2)"/>
      <w:numFmt w:val="lowerLetter"/>
      <w:start w:val="1"/>
    </w:lvl>
  </w:abstractNum>
  <w:abstractNum w:abstractNumId="93">
    <w:nsid w:val="7F01579B"/>
    <w:multiLevelType w:val="hybridMultilevel"/>
    <w:lvl w:ilvl="0">
      <w:lvlJc w:val="left"/>
      <w:lvlText w:val="(%1)"/>
      <w:numFmt w:val="lowerLetter"/>
      <w:start w:val="2"/>
    </w:lvl>
  </w:abstractNum>
  <w:abstractNum w:abstractNumId="94">
    <w:nsid w:val="49DA307D"/>
    <w:multiLevelType w:val="hybridMultilevel"/>
    <w:lvl w:ilvl="0">
      <w:lvlJc w:val="left"/>
      <w:lvlText w:val="(%1)"/>
      <w:numFmt w:val="lowerLetter"/>
      <w:start w:val="5"/>
    </w:lvl>
  </w:abstractNum>
  <w:abstractNum w:abstractNumId="95">
    <w:nsid w:val="7055A5F5"/>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2022-12-13T06:34:00Z</dcterms:created>
  <dcterms:modified xsi:type="dcterms:W3CDTF">2022-12-13T06:34:00Z</dcterms:modified>
</cp:coreProperties>
</file>