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February 11,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8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1"/>
              </w:rPr>
              <w:t>Trading</w:t>
            </w:r>
          </w:p>
        </w:tc>
        <w:tc>
          <w:tcPr>
            <w:tcW w:w="474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Symbol(s)</w:t>
            </w:r>
          </w:p>
        </w:tc>
        <w:tc>
          <w:tcPr>
            <w:tcW w:w="4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80" w:type="dxa"/>
            <w:vAlign w:val="bottom"/>
          </w:tcPr>
          <w:p>
            <w:pPr>
              <w:jc w:val="center"/>
              <w:ind w:right="70"/>
              <w:spacing w:after="0"/>
              <w:rPr>
                <w:sz w:val="20"/>
                <w:szCs w:val="20"/>
                <w:color w:val="auto"/>
              </w:rPr>
            </w:pPr>
            <w:r>
              <w:rPr>
                <w:rFonts w:ascii="Arial" w:cs="Arial" w:eastAsia="Arial" w:hAnsi="Arial"/>
                <w:sz w:val="18"/>
                <w:szCs w:val="18"/>
                <w:color w:val="auto"/>
              </w:rPr>
              <w:t>MRKR</w:t>
            </w:r>
          </w:p>
        </w:tc>
        <w:tc>
          <w:tcPr>
            <w:tcW w:w="4740" w:type="dxa"/>
            <w:vAlign w:val="bottom"/>
          </w:tcPr>
          <w:p>
            <w:pPr>
              <w:jc w:val="center"/>
              <w:ind w:right="70"/>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1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February 11, 2020, Marker Therapeutics, Inc. (the “Company”) issued a press release providing an update regarding the Company’s planned Phase 2 trial of its MultiTAA T cell therapy for the treatment of acute myeloid leukemia. A copy of the press release is attached hereto as Exhibit 99.1 and is incorporated herein by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4"/>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392"/>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gridSpan w:val="4"/>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40" w:type="dxa"/>
            <w:vAlign w:val="bottom"/>
          </w:tcPr>
          <w:p>
            <w:pPr>
              <w:spacing w:after="0"/>
              <w:rPr>
                <w:sz w:val="17"/>
                <w:szCs w:val="17"/>
                <w:color w:val="auto"/>
              </w:rPr>
            </w:pPr>
          </w:p>
        </w:tc>
        <w:tc>
          <w:tcPr>
            <w:tcW w:w="10400" w:type="dxa"/>
            <w:vAlign w:val="bottom"/>
            <w:gridSpan w:val="4"/>
          </w:tcPr>
          <w:p>
            <w:pPr>
              <w:ind w:left="56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on February 11, 2020</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120" w:type="dxa"/>
            <w:vAlign w:val="bottom"/>
            <w:tcBorders>
              <w:top w:val="single" w:sz="8" w:color="0000EE"/>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460" w:type="dxa"/>
            <w:vAlign w:val="bottom"/>
            <w:gridSpan w:val="2"/>
          </w:tcPr>
          <w:p>
            <w:pPr>
              <w:ind w:left="2100"/>
              <w:spacing w:after="0"/>
              <w:rPr>
                <w:sz w:val="20"/>
                <w:szCs w:val="20"/>
                <w:color w:val="auto"/>
              </w:rPr>
            </w:pPr>
            <w:r>
              <w:rPr>
                <w:rFonts w:ascii="Arial" w:cs="Arial" w:eastAsia="Arial" w:hAnsi="Arial"/>
                <w:sz w:val="18"/>
                <w:szCs w:val="18"/>
                <w:b w:val="1"/>
                <w:bCs w:val="1"/>
                <w:color w:val="auto"/>
              </w:rPr>
              <w:t>Marker Therapeutics, Inc.</w:t>
            </w:r>
          </w:p>
        </w:tc>
      </w:tr>
      <w:tr>
        <w:trPr>
          <w:trHeight w:val="648"/>
        </w:trPr>
        <w:tc>
          <w:tcPr>
            <w:tcW w:w="3960" w:type="dxa"/>
            <w:vAlign w:val="bottom"/>
          </w:tcPr>
          <w:p>
            <w:pPr>
              <w:spacing w:after="0"/>
              <w:rPr>
                <w:sz w:val="20"/>
                <w:szCs w:val="20"/>
                <w:color w:val="auto"/>
              </w:rPr>
            </w:pPr>
            <w:r>
              <w:rPr>
                <w:rFonts w:ascii="Arial" w:cs="Arial" w:eastAsia="Arial" w:hAnsi="Arial"/>
                <w:sz w:val="18"/>
                <w:szCs w:val="18"/>
                <w:color w:val="auto"/>
              </w:rPr>
              <w:t>Dated: February 11, 2020</w:t>
            </w:r>
          </w:p>
        </w:tc>
        <w:tc>
          <w:tcPr>
            <w:tcW w:w="7460" w:type="dxa"/>
            <w:vAlign w:val="bottom"/>
            <w:gridSpan w:val="2"/>
          </w:tcPr>
          <w:p>
            <w:pPr>
              <w:ind w:left="2100"/>
              <w:spacing w:after="0"/>
              <w:rPr>
                <w:sz w:val="20"/>
                <w:szCs w:val="20"/>
                <w:color w:val="auto"/>
              </w:rPr>
            </w:pPr>
            <w:r>
              <w:rPr>
                <w:rFonts w:ascii="Arial" w:cs="Arial" w:eastAsia="Arial" w:hAnsi="Arial"/>
                <w:sz w:val="18"/>
                <w:szCs w:val="18"/>
                <w:color w:val="auto"/>
              </w:rPr>
              <w:t>By: /s/ Anthony Kim</w:t>
            </w:r>
          </w:p>
        </w:tc>
      </w:tr>
      <w:tr>
        <w:trPr>
          <w:trHeight w:val="195"/>
        </w:trPr>
        <w:tc>
          <w:tcPr>
            <w:tcW w:w="3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9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187325</wp:posOffset>
            </wp:positionV>
            <wp:extent cx="206692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669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Announces Update to its Clinical Program in AML</w:t>
      </w:r>
    </w:p>
    <w:p>
      <w:pPr>
        <w:spacing w:after="0" w:line="229" w:lineRule="exact"/>
        <w:rPr>
          <w:sz w:val="20"/>
          <w:szCs w:val="20"/>
          <w:color w:val="auto"/>
        </w:rPr>
      </w:pPr>
    </w:p>
    <w:p>
      <w:pPr>
        <w:jc w:val="center"/>
        <w:ind w:left="260" w:right="200"/>
        <w:spacing w:after="0" w:line="277" w:lineRule="auto"/>
        <w:rPr>
          <w:sz w:val="20"/>
          <w:szCs w:val="20"/>
          <w:color w:val="auto"/>
        </w:rPr>
      </w:pPr>
      <w:r>
        <w:rPr>
          <w:rFonts w:ascii="Arial" w:cs="Arial" w:eastAsia="Arial" w:hAnsi="Arial"/>
          <w:sz w:val="18"/>
          <w:szCs w:val="18"/>
          <w:i w:val="1"/>
          <w:iCs w:val="1"/>
          <w:color w:val="auto"/>
        </w:rPr>
        <w:t>U.S. FDA lifts clinical hold on Phase 2 AML trial; places partial hold on the trial for the use of a reagent from an alternative vendor until final data and certificate of analysis are accepted by FDA</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Houston, TX – February 11, 2020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Marker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announced that the U.S. Food and Drug Administration (FDA) has lifted the clinical hold on Marker’s planned trial investigating safety and efficacy of its novel MultiTAA T cell therapy in patients with post-transplant acute myeloid leukemia (AML).</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Marker previously announced on November 12, 2019, that the FDA placed the trial on clinical hold. The FDA requested additional information and technical specifications for two legacy reagents supplied by third parties used in the MultiTAA-specific T cell manufacturing process. The technical specifications and data requested by the FDA could not be produced by the original suppliers. The Company identified alternative suppliers, satisfying the Agency’s request.</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data Marker provided, the FDA permitted the Company to initiate its AML trial, beginning with a safety lead-in portion. The FDA placed a partial clinical hold on the trial for the use of the MultiTAA-specific T cell product manufactured using one of the reagents supplied by the alternative supplier, until the final data and certificate of analysis for the reagent are reviewed and accepted by the Agency. The safety lead-in portion of the trial is expected to enroll approximately six patients as part of the amended trial design. Three patients will be dosed with MultiTAA-specific T cells manufactured using the legacy reagent, and three patients will be dosed with T cells manufactured using the reagent from the alternative supplier.</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Marker currently estimates that the alternative supplier will deliver the final reagent, along with the final data and certificate of analysis required by the FDA, by the end of the second quarter of 2020. Marker anticipates to complete enrollment of the first three patients and submission of the final technical specifications and comparability data of the new reagents to the FDA during the second half of 2020, thereby satisfying the requirements for lifting the partial hold on the clinical trial. Given this expected timing, Marker does not currently expect the partial clinical hold to significantly impact site and patient enrollment of the AML trial.</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safety lead-in will be followed by the 160-patient randomized portion of the study at approximately 20 transplant centers. Group 1 will comprise 120 adjuvant (disease-free) patients, with the primary endpoint of relapse-free survival of patients receiving MultiTAA-specific T cell therapy versus a control group. Group 2 will comprise 40 active disease patients in a single arm, with primary endpoints of complete remission and duration of complete remission.</w:t>
      </w:r>
    </w:p>
    <w:p>
      <w:pPr>
        <w:spacing w:after="0" w:line="356"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“With a clear path identified for getting our study of MultiTAA-specific T cell therapy underway in patients with AML, we’re focused on addressing the remaining requirements from the FDA and enrolling up to 20 clinical centers to conduct our Phase 2 trial,” stated Peter L. Hoang, President and CEO of Marker Therapeutics. “We appreciate the productive dialogue with the FDA throughout the process and look forward to advancing MultiTAA-specific T cell therapy for patients with post-transplant AML in a randomized and multicenter clinical trial.”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r>
        <w:rPr>
          <w:rFonts w:ascii="Arial" w:cs="Arial" w:eastAsia="Arial" w:hAnsi="Arial"/>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b w:val="1"/>
          <w:bCs w:val="1"/>
          <w:u w:val="single" w:color="auto"/>
          <w:color w:val="auto"/>
        </w:rPr>
        <w:t>https://www.markertherapeutics.com/email-alerts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 MultiTAA programs or the possible range of application and potential curative effects and safety in the treatment of diseases; expectations regarding our supplier’s delivery of the final reagent, data and certificate of analysis required to advance the MultiTAA program for AML; and expectations regarding, among other things, the timing, design and success of our clinical trials, including the AML trial,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382"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Chiara Russo</w:t>
      </w:r>
    </w:p>
    <w:p>
      <w:pPr>
        <w:spacing w:after="0" w:line="9" w:lineRule="exact"/>
        <w:rPr>
          <w:sz w:val="20"/>
          <w:szCs w:val="20"/>
          <w:color w:val="auto"/>
        </w:rPr>
      </w:pPr>
    </w:p>
    <w:p>
      <w:pPr>
        <w:ind w:right="94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221-9197 </w:t>
      </w:r>
      <w:r>
        <w:rPr>
          <w:rFonts w:ascii="Arial" w:cs="Arial" w:eastAsia="Arial" w:hAnsi="Arial"/>
          <w:sz w:val="16"/>
          <w:szCs w:val="16"/>
          <w:u w:val="single" w:color="auto"/>
          <w:color w:val="auto"/>
        </w:rPr>
        <w:t>crusso@soleburytrout.com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18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450-0349 </w:t>
      </w:r>
      <w:r>
        <w:rPr>
          <w:rFonts w:ascii="Arial" w:cs="Arial" w:eastAsia="Arial" w:hAnsi="Arial"/>
          <w:sz w:val="16"/>
          <w:szCs w:val="16"/>
          <w:u w:val="single" w:color="auto"/>
          <w:color w:val="auto"/>
        </w:rPr>
        <w:t>abonanno@soleburytrout.com</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17"/>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2020-02-11T06:03:10Z</dcterms:created>
  <dcterms:modified xsi:type="dcterms:W3CDTF">2020-02-11T06:03:10Z</dcterms:modified>
</cp:coreProperties>
</file>