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4)*</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73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240" w:right="840" w:hanging="708"/>
        <w:spacing w:after="0" w:line="235"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240" w:right="3000" w:hanging="708"/>
        <w:spacing w:after="0" w:line="219"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660" w:hanging="424"/>
        <w:spacing w:after="0" w:line="189"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660" w:hanging="424"/>
        <w:spacing w:after="0" w:line="202"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240" w:right="220" w:hanging="708"/>
        <w:spacing w:after="0" w:line="232"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2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520" w:right="4960" w:hanging="232"/>
        <w:spacing w:after="0" w:line="336" w:lineRule="auto"/>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520" w:hanging="232"/>
        <w:spacing w:after="0"/>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-130175</wp:posOffset>
            </wp:positionV>
            <wp:extent cx="4682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NUMBER OF SHARES BENEFICIALLY OWNED</w:t>
            </w:r>
          </w:p>
        </w:tc>
        <w:tc>
          <w:tcPr>
            <w:tcW w:w="7380" w:type="dxa"/>
            <w:vAlign w:val="bottom"/>
            <w:tcBorders>
              <w:bottom w:val="single" w:sz="8" w:color="auto"/>
            </w:tcBorders>
          </w:tcPr>
          <w:p>
            <w:pPr>
              <w:jc w:val="right"/>
              <w:ind w:right="5850"/>
              <w:spacing w:after="0"/>
              <w:rPr>
                <w:sz w:val="20"/>
                <w:szCs w:val="20"/>
                <w:color w:val="auto"/>
              </w:rPr>
            </w:pPr>
            <w:r>
              <w:rPr>
                <w:rFonts w:ascii="Arial" w:cs="Arial" w:eastAsia="Arial" w:hAnsi="Arial"/>
                <w:sz w:val="18"/>
                <w:szCs w:val="18"/>
                <w:b w:val="1"/>
                <w:bCs w:val="1"/>
                <w:color w:val="auto"/>
              </w:rPr>
              <w:t>35,000,000*</w:t>
            </w:r>
          </w:p>
        </w:tc>
      </w:tr>
      <w:tr>
        <w:trPr>
          <w:trHeight w:val="217"/>
        </w:trPr>
        <w:tc>
          <w:tcPr>
            <w:tcW w:w="4020" w:type="dxa"/>
            <w:vAlign w:val="bottom"/>
          </w:tcPr>
          <w:p>
            <w:pPr>
              <w:jc w:val="center"/>
              <w:spacing w:after="0" w:line="189" w:lineRule="exact"/>
              <w:rPr>
                <w:sz w:val="20"/>
                <w:szCs w:val="20"/>
                <w:color w:val="auto"/>
              </w:rPr>
            </w:pPr>
            <w:r>
              <w:rPr>
                <w:rFonts w:ascii="Arial" w:cs="Arial" w:eastAsia="Arial" w:hAnsi="Arial"/>
                <w:sz w:val="18"/>
                <w:szCs w:val="18"/>
                <w:color w:val="auto"/>
                <w:w w:val="99"/>
              </w:rPr>
              <w:t>BY EACH REPORTING PERSON WITH</w:t>
            </w:r>
          </w:p>
        </w:tc>
        <w:tc>
          <w:tcPr>
            <w:tcW w:w="7380" w:type="dxa"/>
            <w:vAlign w:val="bottom"/>
          </w:tcPr>
          <w:p>
            <w:pPr>
              <w:jc w:val="right"/>
              <w:ind w:right="443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-0-</w:t>
      </w:r>
    </w:p>
    <w:p>
      <w:pPr>
        <w:ind w:left="4520" w:hanging="332"/>
        <w:spacing w:after="0"/>
        <w:tabs>
          <w:tab w:leader="none" w:pos="4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35,000,000*</w:t>
      </w:r>
    </w:p>
    <w:p>
      <w:pPr>
        <w:spacing w:after="0" w:line="220"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35,000,000*</w:t>
      </w:r>
    </w:p>
    <w:p>
      <w:pPr>
        <w:spacing w:after="0" w:line="17" w:lineRule="exact"/>
        <w:rPr>
          <w:rFonts w:ascii="Arial" w:cs="Arial" w:eastAsia="Arial" w:hAnsi="Arial"/>
          <w:sz w:val="18"/>
          <w:szCs w:val="18"/>
          <w:color w:val="auto"/>
        </w:rPr>
      </w:pPr>
    </w:p>
    <w:p>
      <w:pPr>
        <w:ind w:left="3240" w:right="780" w:hanging="808"/>
        <w:spacing w:after="0" w:line="213" w:lineRule="exact"/>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44.9%</w:t>
      </w:r>
    </w:p>
    <w:p>
      <w:pPr>
        <w:spacing w:after="0" w:line="17"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4,5(a) and 5(b), Eastern Capital Limited beneficially owns 20,000,000 shares of Common Stock and 15,000,000 shares of Common Stock issuable upon exercise of the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-2793365</wp:posOffset>
            </wp:positionV>
            <wp:extent cx="4682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35,000,000*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35,000,000*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35,000,000*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44.9%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4,5(a) and 5(b), Portfolio Services Ltd. beneficially owns 20,000,000 shares of Common Stock, and 15,000,000 shares of Common Stock issuable upon exercise of the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-2793365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-2983230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35,000,000*</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35,000,000*</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35,000,000*</w:t>
      </w:r>
    </w:p>
    <w:p>
      <w:pPr>
        <w:spacing w:after="0" w:line="18" w:lineRule="exact"/>
        <w:rPr>
          <w:sz w:val="20"/>
          <w:szCs w:val="20"/>
          <w:color w:val="auto"/>
        </w:rPr>
      </w:pPr>
    </w:p>
    <w:p>
      <w:pPr>
        <w:ind w:left="3160" w:right="840" w:hanging="782"/>
        <w:spacing w:after="0" w:line="213" w:lineRule="exact"/>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44.9%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*As of the filing date and as described in Items 4,5(a) and 5(b), Kenneth B. Dart beneficially owns 20,000,000 shares of Common Stock, and 15,000,000 shares of Common Stock issuable upon exercise of the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4 to Schedule 13D (the “Schedule 13D”) relates to the common stock (“Common Stock”) of TapImmune Inc. (the “Issuer”), whose principal executive offices are located at 1551 Eastlake Avenue East, Suite 100, Seattle, WA 98102 United States.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4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On September 9, 2015, Eastern Capital Limited gave notice to the Issuer to exercise the entire Issuer’s Series B-1 Warrant at an exercise price of $0.20 per share and to acquire an additional 10,000,000 shares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35,000,000 shares of the Issuer’s Common Stock, representing 44.9%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35,000,000 shares of the Issuer’s Common Stock, representing 44.9% of the Issuer’s outstanding Common Stock. Portfolio Services Ltd. has shared voting and dispositive power of the shares it beneficially owns.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35,000,000 shares of the Issuer’s Common Stock, representing 44.9% of the Issuer’s outstanding Common Stock. Kenneth B. Dart has shared voting and dispositive power of the shares he beneficially owns.</w:t>
      </w:r>
    </w:p>
    <w:p>
      <w:pPr>
        <w:sectPr>
          <w:pgSz w:w="11900" w:h="16838" w:orient="portrait"/>
          <w:cols w:equalWidth="0" w:num="1">
            <w:col w:w="11420"/>
          </w:cols>
          <w:pgMar w:left="240" w:top="827" w:right="239" w:bottom="1440" w:gutter="0" w:footer="0" w:header="0"/>
        </w:sectPr>
      </w:pPr>
    </w:p>
    <w:bookmarkStart w:id="5" w:name="page6"/>
    <w:bookmarkEnd w:id="5"/>
    <w:p>
      <w:pPr>
        <w:spacing w:after="0"/>
        <w:tabs>
          <w:tab w:leader="none" w:pos="596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62,890,762 shares of Common Stock as reported in the Issuer’s Form 8-Q filed with the U.S. Securities and Exchange Commission on September 10, 2015, plus 15,000,000 shares of Common Stock that would become outstanding upon exercise of the Issuer’s Series D-1, Series E-1 or the remainder of the Series C-1 Warrant.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have not effected any transactions in the Issuer’s common stock during the past sixty days.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Securities Purchase Agreement and the Amended and Restated Restructuring Agreement: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will have an initial exercise price of $0.10 per share, will be exercisable beginning on November 28, 2015 and will expire on the five year anniversary of the date of issuance.</w:t>
      </w:r>
    </w:p>
    <w:p>
      <w:pPr>
        <w:spacing w:after="0" w:line="8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Each Series B-1 Warrant, as amended, will have an initial exercise price of $0.20 per share, will be immediately exercisable and will expire on the six month anniversary of the date of issuance. The Issuer may force the exercise of the Series B-1 Warrant in the event that the closing price of the Common Stock is above $0.50 for 10 consecutive trading days (subject to certain conditions, including minimum trading volume requirements and the non-occurrence of an Equity Conditions Failure).</w:t>
      </w:r>
    </w:p>
    <w:p>
      <w:pPr>
        <w:spacing w:after="0" w:line="81"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Each Series C-1 Warrant, as amended, will have an initial exercise price of $0.50 per share, will be immediately exercisable, and will expire on the five year anniversary of the date of issuance. The Issuer may force the exercise of the Series C-1 Warrant in the event that the closing price of the Common Stock is above $1.00 for 10 consecutive trading days (subject to certain conditions, including minimum trading volume requirements and the non-occurrence of an Equity Conditions Failure).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will be exercisable only if and to the extent that the Series B-1 Warrant is exercised, will have an initial exercise price of $0.75 per share, and will expire on the five year anniversary of the date that the Series B-1 Warrant is initially exercised.</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E-1 Warrant will be exercisable only if and to the extent that the Series C-1 Warrant is exercised, will have an initial exercise price of $1.25 per share, and will expire on the five year anniversary of the date that the Series C-1 Warrant is initially exercised.</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37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Copies of the form of the respective warrants are included as Exhibits 4.1 – 4.5 to the Form 8-K filed by the Issuer with the U.S. Securities and Exchange Commission on March 10, 2015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Amended and Restated Restructuring Agreement is included as Exhibit 2 to the Schedule 13 D/A filed by the Reporting Persons with the U.S. Securities and Exchange Commission on June 3, 2015 and is incorporated by reference herein.</w:t>
      </w:r>
    </w:p>
    <w:p>
      <w:pPr>
        <w:sectPr>
          <w:pgSz w:w="11900" w:h="16838" w:orient="portrait"/>
          <w:cols w:equalWidth="0" w:num="1">
            <w:col w:w="11420"/>
          </w:cols>
          <w:pgMar w:left="240" w:top="827" w:right="239" w:bottom="1440" w:gutter="0" w:footer="0" w:header="0"/>
        </w:sectPr>
      </w:pPr>
    </w:p>
    <w:bookmarkStart w:id="6" w:name="page7"/>
    <w:bookmarkEnd w:id="6"/>
    <w:p>
      <w:pPr>
        <w:ind w:left="60"/>
        <w:spacing w:after="0"/>
        <w:tabs>
          <w:tab w:leader="none" w:pos="61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 – Amended and Restated Restructuring Agreement, dated June 2, 2015 (Incorporated herein by reference to Exhibit 2 to the Schedule 13D/A filed by the Reporting Persons with the U.S. Securities and Exchange Commission on June 3,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U.S. Securities and Exchange Commission on March 10, 2015)</w:t>
      </w:r>
    </w:p>
    <w:p>
      <w:pPr>
        <w:sectPr>
          <w:pgSz w:w="11900" w:h="16838" w:orient="portrait"/>
          <w:cols w:equalWidth="0" w:num="1">
            <w:col w:w="11420"/>
          </w:cols>
          <w:pgMar w:left="240" w:top="895" w:right="239" w:bottom="1440" w:gutter="0" w:footer="0" w:header="0"/>
        </w:sectPr>
      </w:pPr>
    </w:p>
    <w:bookmarkStart w:id="7" w:name="page8"/>
    <w:bookmarkEnd w:id="7"/>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6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96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b w:val="1"/>
          <w:bCs w:val="1"/>
          <w:color w:val="auto"/>
        </w:rPr>
        <w:t>Exhibit 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Restructuring Agreement, dated June 2, 2015 (Incorporated herein by reference to Exhibit 2 to the Schedule 13D/A filed by the Reporting Persons with the Securities and Exchange Commission on June 3, 2015.</w:t>
      </w:r>
    </w:p>
    <w:p>
      <w:pPr>
        <w:sectPr>
          <w:pgSz w:w="11900" w:h="16838" w:orient="portrait"/>
          <w:cols w:equalWidth="0" w:num="1">
            <w:col w:w="11100"/>
          </w:cols>
          <w:pgMar w:left="240" w:top="171" w:right="55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211" w:right="299" w:bottom="1440" w:gutter="0" w:footer="0" w:header="0"/>
        </w:sectPr>
      </w:pPr>
    </w:p>
    <w:bookmarkStart w:id="11" w:name="page12"/>
    <w:bookmarkEnd w:id="11"/>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211" w:right="29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211" w:right="279" w:bottom="1440" w:gutter="0" w:footer="0" w:header="0"/>
        </w:sectPr>
      </w:pPr>
    </w:p>
    <w:bookmarkStart w:id="13" w:name="page14"/>
    <w:bookmarkEnd w:id="13"/>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211" w:right="279" w:bottom="1440" w:gutter="0" w:footer="0" w:header="0"/>
        </w:sectPr>
      </w:pPr>
    </w:p>
    <w:bookmarkStart w:id="14" w:name="page15"/>
    <w:bookmarkEnd w:id="14"/>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2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2020-01-24T16:31:53Z</dcterms:created>
  <dcterms:modified xsi:type="dcterms:W3CDTF">2020-01-24T16:31:53Z</dcterms:modified>
</cp:coreProperties>
</file>